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C28" w:rsidRPr="00A34A95" w:rsidRDefault="00412C28" w:rsidP="00412C28">
      <w:pPr>
        <w:rPr>
          <w:b/>
        </w:rPr>
      </w:pPr>
      <w:r w:rsidRPr="00A34A95">
        <w:rPr>
          <w:b/>
        </w:rPr>
        <w:t xml:space="preserve">Experiência de Políticas Públicas e Inclusão Produtiva para Mulheres Trabalhadoras Rurais do município de </w:t>
      </w:r>
      <w:proofErr w:type="spellStart"/>
      <w:r w:rsidRPr="00A34A95">
        <w:rPr>
          <w:b/>
        </w:rPr>
        <w:t>Ichu</w:t>
      </w:r>
      <w:proofErr w:type="spellEnd"/>
      <w:r w:rsidR="00A34A95" w:rsidRPr="00A34A95">
        <w:rPr>
          <w:b/>
        </w:rPr>
        <w:t>-Ba.</w:t>
      </w:r>
    </w:p>
    <w:p w:rsidR="00A34A95" w:rsidRDefault="00A34A95" w:rsidP="00412C28"/>
    <w:p w:rsidR="00A34A95" w:rsidRPr="00A34A95" w:rsidRDefault="00A34A95" w:rsidP="00A34A95">
      <w:pPr>
        <w:jc w:val="right"/>
        <w:rPr>
          <w:i/>
        </w:rPr>
      </w:pPr>
      <w:r w:rsidRPr="00A34A95">
        <w:rPr>
          <w:i/>
        </w:rPr>
        <w:t>Gisleide do Carmo Oliveira Carneiro</w:t>
      </w:r>
    </w:p>
    <w:p w:rsidR="00412C28" w:rsidRDefault="00412C28" w:rsidP="00412C28"/>
    <w:p w:rsidR="00412C28" w:rsidRPr="00412C28" w:rsidRDefault="00412C28" w:rsidP="00412C28">
      <w:r w:rsidRPr="00412C28">
        <w:t xml:space="preserve">Entendendo que as políticas públicas abrangem vários segmentos sociais e possuem variada gama de definições – sendo que nenhuma dentre elas é tida como consensual na comunidade acadêmica –, e tentando evitar as armadilhas da simplificação exagerada e da tentação de mergulhar numa discussão polêmica e virtualmente interminável, adotamos uma definição que serve para os objetivos do presente estudo. Nesse sentido, políticas públicas são aqui inicialmente entendidas como o somatório de ações governamentais que influenciam diretamente na vida dos cidadãos. Acreditamos que este conceito abrange todas as iniciativas conjuntas das mais diferentes esferas do poder público e suas tentativas de, por meio de programas de ação governamental, coordenar os meios à disposição do Estado para a realização de metas de interesse coletivo. </w:t>
      </w:r>
    </w:p>
    <w:p w:rsidR="00412C28" w:rsidRPr="00412C28" w:rsidRDefault="00412C28" w:rsidP="00412C28">
      <w:pPr>
        <w:pStyle w:val="Corpodetexto"/>
        <w:rPr>
          <w:lang w:val="pt-BR"/>
        </w:rPr>
      </w:pPr>
      <w:r w:rsidRPr="00412C28">
        <w:t>As políticas públicas, por serem ações desencadeadas por organismos estatais, abrangem um amplo arco de possibilidades. Elas visam agir sobre os mais diversos segmentos da sociedade civil e costumam envolver algumas etapas que incluem clara percepção de um dado problema, definição de um objetivo e um planejamento de ações que visam à eliminação do problema. No Brasil, uma das vertentes de atuação das políticas públicas se encontra no âmbito da agricultura familiar, segmento produtivo que forma o conjunto dos grandes responsáveis pela geração de renda em zonas interioranas do país. Apesar de sua importância para a economia de uma parcela significativa da população rural, a agricultura familiar possui poucos recursos e escassa capacidade de investimento. Por isso, se faz tão necessári</w:t>
      </w:r>
      <w:r w:rsidRPr="00412C28">
        <w:rPr>
          <w:lang w:val="pt-BR"/>
        </w:rPr>
        <w:t>a</w:t>
      </w:r>
      <w:r w:rsidRPr="00412C28">
        <w:t xml:space="preserve"> </w:t>
      </w:r>
      <w:proofErr w:type="spellStart"/>
      <w:r w:rsidRPr="00412C28">
        <w:rPr>
          <w:lang w:val="pt-BR"/>
        </w:rPr>
        <w:t>a</w:t>
      </w:r>
      <w:proofErr w:type="spellEnd"/>
      <w:r w:rsidRPr="00412C28">
        <w:rPr>
          <w:lang w:val="pt-BR"/>
        </w:rPr>
        <w:t xml:space="preserve"> </w:t>
      </w:r>
      <w:r w:rsidRPr="00412C28">
        <w:t xml:space="preserve">injeção </w:t>
      </w:r>
      <w:proofErr w:type="spellStart"/>
      <w:r w:rsidRPr="00412C28">
        <w:t>cont</w:t>
      </w:r>
      <w:r w:rsidRPr="00412C28">
        <w:rPr>
          <w:lang w:val="pt-BR"/>
        </w:rPr>
        <w:t>í</w:t>
      </w:r>
      <w:proofErr w:type="spellEnd"/>
      <w:r w:rsidRPr="00412C28">
        <w:t xml:space="preserve">nua de recursos financeiros provenientes de programas de apoio e incentivo </w:t>
      </w:r>
      <w:r w:rsidRPr="00412C28">
        <w:rPr>
          <w:lang w:val="pt-BR"/>
        </w:rPr>
        <w:t>à agricultura familiar</w:t>
      </w:r>
      <w:r w:rsidRPr="00412C28">
        <w:t xml:space="preserve">. </w:t>
      </w:r>
    </w:p>
    <w:p w:rsidR="00412C28" w:rsidRPr="00412C28" w:rsidRDefault="00412C28" w:rsidP="00412C28">
      <w:pPr>
        <w:pStyle w:val="Corpodetexto"/>
        <w:rPr>
          <w:lang w:val="pt-BR"/>
        </w:rPr>
      </w:pPr>
      <w:r w:rsidRPr="00412C28">
        <w:rPr>
          <w:lang w:val="pt-BR"/>
        </w:rPr>
        <w:t>Nesse direcionamento, a</w:t>
      </w:r>
      <w:r w:rsidRPr="00412C28">
        <w:t xml:space="preserve"> I Conferência Nacional de Desenvolvimento Rural Sustentável e Solidário (CONDRSS)</w:t>
      </w:r>
      <w:r w:rsidRPr="00412C28">
        <w:rPr>
          <w:lang w:val="pt-BR"/>
        </w:rPr>
        <w:t xml:space="preserve"> – realizada em 2008,</w:t>
      </w:r>
      <w:r w:rsidRPr="00412C28">
        <w:t xml:space="preserve"> </w:t>
      </w:r>
      <w:r w:rsidRPr="00412C28">
        <w:rPr>
          <w:lang w:val="pt-BR"/>
        </w:rPr>
        <w:t>que</w:t>
      </w:r>
      <w:r w:rsidRPr="00412C28">
        <w:t xml:space="preserve"> teve como tema </w:t>
      </w:r>
      <w:r w:rsidRPr="00412C28">
        <w:rPr>
          <w:lang w:val="pt-BR"/>
        </w:rPr>
        <w:t>“</w:t>
      </w:r>
      <w:r w:rsidRPr="00412C28">
        <w:t>Por um Brasil Rural com Gente: Sustentabilidade, Inclusão, Diversidade, Igualdade e Solidariedade</w:t>
      </w:r>
      <w:r w:rsidRPr="00412C28">
        <w:rPr>
          <w:lang w:val="pt-BR"/>
        </w:rPr>
        <w:t xml:space="preserve">”, </w:t>
      </w:r>
      <w:r w:rsidRPr="00412C28">
        <w:t>define</w:t>
      </w:r>
      <w:r w:rsidRPr="00412C28">
        <w:rPr>
          <w:lang w:val="pt-BR"/>
        </w:rPr>
        <w:t>,</w:t>
      </w:r>
      <w:r w:rsidRPr="00412C28">
        <w:t xml:space="preserve"> no seu documento final</w:t>
      </w:r>
      <w:r w:rsidRPr="00412C28">
        <w:rPr>
          <w:lang w:val="pt-BR"/>
        </w:rPr>
        <w:t>,</w:t>
      </w:r>
      <w:r w:rsidRPr="00412C28">
        <w:t xml:space="preserve"> que o país, através das suas </w:t>
      </w:r>
      <w:r w:rsidRPr="00412C28">
        <w:rPr>
          <w:lang w:val="pt-BR"/>
        </w:rPr>
        <w:t xml:space="preserve">instâncias </w:t>
      </w:r>
      <w:r w:rsidRPr="00412C28">
        <w:t xml:space="preserve">de governo, fomente a implantação e o controle de políticas públicas de desenvolvimento rural sustentável e solidário que garantam os recortes em gênero. </w:t>
      </w:r>
    </w:p>
    <w:p w:rsidR="00412C28" w:rsidRPr="00412C28" w:rsidRDefault="00412C28" w:rsidP="00412C28">
      <w:pPr>
        <w:pStyle w:val="Corpodetexto"/>
        <w:rPr>
          <w:lang w:val="pt-BR"/>
        </w:rPr>
      </w:pPr>
      <w:r w:rsidRPr="00412C28">
        <w:rPr>
          <w:lang w:val="pt-BR"/>
        </w:rPr>
        <w:lastRenderedPageBreak/>
        <w:t>Nessa mesma proposta, o</w:t>
      </w:r>
      <w:r w:rsidRPr="00412C28">
        <w:t xml:space="preserve">s rumos da </w:t>
      </w:r>
      <w:r w:rsidRPr="00412C28">
        <w:rPr>
          <w:lang w:val="pt-BR"/>
        </w:rPr>
        <w:t>Política Nacional de Assistência Técnica e Extensão Rural (</w:t>
      </w:r>
      <w:r w:rsidRPr="00412C28">
        <w:t>PNATER</w:t>
      </w:r>
      <w:r w:rsidRPr="00412C28">
        <w:rPr>
          <w:lang w:val="pt-BR"/>
        </w:rPr>
        <w:t>) foram</w:t>
      </w:r>
      <w:r w:rsidRPr="00412C28">
        <w:t xml:space="preserve"> objeto de debate na 2ª Conferência Nacional realizada em 2016 com a abordagem temática </w:t>
      </w:r>
      <w:r w:rsidRPr="00412C28">
        <w:rPr>
          <w:lang w:val="pt-BR"/>
        </w:rPr>
        <w:t>“</w:t>
      </w:r>
      <w:r w:rsidRPr="00412C28">
        <w:t>Agroecologia e Alimentos Saudáveis</w:t>
      </w:r>
      <w:r w:rsidRPr="00412C28">
        <w:rPr>
          <w:lang w:val="pt-BR"/>
        </w:rPr>
        <w:t>”.  A</w:t>
      </w:r>
      <w:proofErr w:type="spellStart"/>
      <w:r w:rsidRPr="00412C28">
        <w:t>vança</w:t>
      </w:r>
      <w:proofErr w:type="spellEnd"/>
      <w:r w:rsidRPr="00412C28">
        <w:t xml:space="preserve"> no debate o Sistema Nacional de Ater, Ater e Políticas Públicas para a Agricultura Familiar, Formação e Construção de Conhecimento na Ater, Ater e Mulheres Rurais, Ater e Jovens Rurais e, </w:t>
      </w:r>
      <w:proofErr w:type="gramStart"/>
      <w:r w:rsidRPr="00412C28">
        <w:t>Ater</w:t>
      </w:r>
      <w:proofErr w:type="gramEnd"/>
      <w:r w:rsidRPr="00412C28">
        <w:t xml:space="preserve"> e Povos e Comunidades Tradicionais. Isso demonstra que novos olhares se voltam para a Agricultura Familiar e</w:t>
      </w:r>
      <w:r w:rsidRPr="00412C28">
        <w:rPr>
          <w:lang w:val="pt-BR"/>
        </w:rPr>
        <w:t xml:space="preserve"> para o</w:t>
      </w:r>
      <w:r w:rsidRPr="00412C28">
        <w:t xml:space="preserve"> Desenvolvimento Sustent</w:t>
      </w:r>
      <w:r w:rsidRPr="00412C28">
        <w:rPr>
          <w:lang w:val="pt-BR"/>
        </w:rPr>
        <w:t>ável</w:t>
      </w:r>
      <w:r w:rsidRPr="00412C28">
        <w:t xml:space="preserve"> do Brasil </w:t>
      </w:r>
      <w:r w:rsidRPr="00412C28">
        <w:rPr>
          <w:lang w:val="pt-BR"/>
        </w:rPr>
        <w:t>R</w:t>
      </w:r>
      <w:proofErr w:type="spellStart"/>
      <w:r w:rsidRPr="00412C28">
        <w:t>ural</w:t>
      </w:r>
      <w:proofErr w:type="spellEnd"/>
      <w:r w:rsidRPr="00412C28">
        <w:t>.</w:t>
      </w:r>
      <w:r w:rsidRPr="00412C28">
        <w:rPr>
          <w:lang w:val="pt-BR"/>
        </w:rPr>
        <w:t xml:space="preserve"> N</w:t>
      </w:r>
      <w:r w:rsidRPr="00412C28">
        <w:t>o Brasil,</w:t>
      </w:r>
      <w:r w:rsidRPr="00412C28">
        <w:rPr>
          <w:lang w:val="pt-BR"/>
        </w:rPr>
        <w:t xml:space="preserve"> </w:t>
      </w:r>
      <w:r w:rsidRPr="00412C28">
        <w:t>em especial na Bahia, a agricultura</w:t>
      </w:r>
      <w:r w:rsidRPr="00412C28">
        <w:rPr>
          <w:lang w:val="pt-BR"/>
        </w:rPr>
        <w:t xml:space="preserve"> familiar</w:t>
      </w:r>
      <w:r w:rsidRPr="00412C28">
        <w:t xml:space="preserve"> passou ao longo dos anos por um grande descaso</w:t>
      </w:r>
      <w:r w:rsidRPr="00412C28">
        <w:rPr>
          <w:lang w:val="pt-BR"/>
        </w:rPr>
        <w:t xml:space="preserve">; na década 1990, pouca atenção foi dada à agricultura familiar. Dos poucos Programas criados para este público, surgiu o Programa Nacional da Agricultura Familiar (PRONAF), voltado para a abertura de crédito para as famílias. Porém, a falta de </w:t>
      </w:r>
      <w:r w:rsidRPr="00412C28">
        <w:t xml:space="preserve">assessoramento técnico permanente e qualificado </w:t>
      </w:r>
      <w:r w:rsidRPr="00412C28">
        <w:rPr>
          <w:lang w:val="pt-BR"/>
        </w:rPr>
        <w:t>para que estas famílias tivessem acesso ao crédito para estruturação da propriedade na geração de trabalho e renda – que não aconteceu devido, também, aos juros altos praticados e à intensificação da burocracia para acesso –, levou</w:t>
      </w:r>
      <w:r w:rsidRPr="00412C28">
        <w:t xml:space="preserve"> as famílias a migrarem para os grandes centros urbanos </w:t>
      </w:r>
      <w:r w:rsidRPr="00412C28">
        <w:rPr>
          <w:lang w:val="pt-BR"/>
        </w:rPr>
        <w:t xml:space="preserve">à </w:t>
      </w:r>
      <w:r w:rsidRPr="00412C28">
        <w:t>procura de melhoria das condições de vida.</w:t>
      </w:r>
      <w:r w:rsidRPr="00412C28">
        <w:rPr>
          <w:lang w:val="pt-BR"/>
        </w:rPr>
        <w:t xml:space="preserve"> O crédito, embora oficialmente disponibilizado, continuou inacessível aos agricultores/as em razão de s</w:t>
      </w:r>
      <w:r w:rsidRPr="00412C28">
        <w:t>er</w:t>
      </w:r>
      <w:r w:rsidRPr="00412C28">
        <w:rPr>
          <w:lang w:val="pt-BR"/>
        </w:rPr>
        <w:t>e</w:t>
      </w:r>
      <w:r w:rsidRPr="00412C28">
        <w:t xml:space="preserve">m financiamentos sem nenhum planejamento ou participação das famílias na escolha dos </w:t>
      </w:r>
      <w:r w:rsidRPr="00412C28">
        <w:rPr>
          <w:lang w:val="pt-BR"/>
        </w:rPr>
        <w:t>í</w:t>
      </w:r>
      <w:r w:rsidRPr="00412C28">
        <w:t>tens financiáveis, elaborado</w:t>
      </w:r>
      <w:r w:rsidRPr="00412C28">
        <w:rPr>
          <w:lang w:val="pt-BR"/>
        </w:rPr>
        <w:t>s</w:t>
      </w:r>
      <w:r w:rsidRPr="00412C28">
        <w:t xml:space="preserve"> em pacotes e fora de sua realidade, fato que levou muitos ao crescente endividamento</w:t>
      </w:r>
      <w:r w:rsidRPr="00412C28">
        <w:rPr>
          <w:lang w:val="pt-BR"/>
        </w:rPr>
        <w:t xml:space="preserve"> e,</w:t>
      </w:r>
      <w:r w:rsidRPr="00412C28">
        <w:t xml:space="preserve"> </w:t>
      </w:r>
      <w:r w:rsidRPr="00412C28">
        <w:rPr>
          <w:lang w:val="pt-BR"/>
        </w:rPr>
        <w:t xml:space="preserve">consequentemente, </w:t>
      </w:r>
      <w:r w:rsidRPr="00412C28">
        <w:t>muitos agricultores ao descrédito em relação ao crédito</w:t>
      </w:r>
      <w:r w:rsidRPr="00412C28">
        <w:rPr>
          <w:lang w:val="pt-BR"/>
        </w:rPr>
        <w:t xml:space="preserve"> – </w:t>
      </w:r>
      <w:r w:rsidRPr="00412C28">
        <w:t xml:space="preserve">dimensão </w:t>
      </w:r>
      <w:proofErr w:type="spellStart"/>
      <w:r w:rsidRPr="00412C28">
        <w:t>esta</w:t>
      </w:r>
      <w:proofErr w:type="spellEnd"/>
      <w:r w:rsidRPr="00412C28">
        <w:t xml:space="preserve"> a ser desconstruída e em seu lugar colocada a real </w:t>
      </w:r>
      <w:r w:rsidRPr="00412C28">
        <w:rPr>
          <w:lang w:val="pt-BR"/>
        </w:rPr>
        <w:t xml:space="preserve">perspectiva </w:t>
      </w:r>
      <w:r w:rsidRPr="00412C28">
        <w:t xml:space="preserve"> do cr</w:t>
      </w:r>
      <w:r w:rsidRPr="00412C28">
        <w:rPr>
          <w:lang w:val="pt-BR"/>
        </w:rPr>
        <w:t>é</w:t>
      </w:r>
      <w:r w:rsidRPr="00412C28">
        <w:t>dito no desenvolvimento da agricultura familiar.</w:t>
      </w:r>
      <w:r w:rsidRPr="00412C28">
        <w:rPr>
          <w:lang w:val="pt-BR"/>
        </w:rPr>
        <w:t xml:space="preserve"> Podemos observar, na nossa análise, que os avanços significativos relativos às mulheres foram a partir do ano de 2002.</w:t>
      </w:r>
    </w:p>
    <w:p w:rsidR="00412C28" w:rsidRPr="00412C28" w:rsidRDefault="00412C28" w:rsidP="00412C28">
      <w:pPr>
        <w:rPr>
          <w:lang w:val="pt-PT"/>
        </w:rPr>
      </w:pPr>
      <w:r w:rsidRPr="00412C28">
        <w:t xml:space="preserve">No movimento de luta, a partir do ano de 2002, foram implementados, no município de </w:t>
      </w:r>
      <w:proofErr w:type="spellStart"/>
      <w:r w:rsidRPr="00412C28">
        <w:t>Ichu</w:t>
      </w:r>
      <w:proofErr w:type="spellEnd"/>
      <w:r w:rsidRPr="00412C28">
        <w:t xml:space="preserve">, localizado no Território do Sisal, o Programa Nacional Geração de Emprego e Renda (PRONAGER) e o Projeto Prosperar, tendo como participantes as famílias rurais do Programa de Erradicação do Trabalho Infantil (PETI). Através destas iniciativas surgiram empreendimentos produtivos informais, a exemplo do Empreendimento Nossa Polpa e, anos após, mulheres e homens rurais constituíram a Cooperativa de Produção Comercialização e Serviço Padre Leopoldo Garcia </w:t>
      </w:r>
      <w:proofErr w:type="spellStart"/>
      <w:r w:rsidRPr="00412C28">
        <w:t>Garcia</w:t>
      </w:r>
      <w:proofErr w:type="spellEnd"/>
      <w:r w:rsidRPr="00412C28">
        <w:t xml:space="preserve"> </w:t>
      </w:r>
      <w:r w:rsidRPr="00412C28">
        <w:rPr>
          <w:shd w:val="clear" w:color="auto" w:fill="FFFFFF"/>
        </w:rPr>
        <w:t>(</w:t>
      </w:r>
      <w:r w:rsidRPr="00412C28">
        <w:t xml:space="preserve">COOPERAGIL), que ganha força no município como um modelo alternativo de economia centrada no trabalho coletivo, tendo como </w:t>
      </w:r>
      <w:r w:rsidRPr="00412C28">
        <w:rPr>
          <w:lang w:val="pt-PT"/>
        </w:rPr>
        <w:t xml:space="preserve">base o cooperativismo, de modo autogerido, visando à reprodução ampliada da vida. </w:t>
      </w:r>
    </w:p>
    <w:p w:rsidR="00412C28" w:rsidRPr="00412C28" w:rsidRDefault="00412C28" w:rsidP="00412C28">
      <w:pPr>
        <w:pStyle w:val="PargrafodaLista"/>
        <w:ind w:left="0" w:firstLine="851"/>
      </w:pPr>
      <w:r w:rsidRPr="00412C28">
        <w:rPr>
          <w:lang w:val="pt-PT"/>
        </w:rPr>
        <w:lastRenderedPageBreak/>
        <w:t>A</w:t>
      </w:r>
      <w:r w:rsidRPr="00412C28">
        <w:t xml:space="preserve"> COOPERAGIL foi fundada em 01 de dezembro de 2007 com a missão de desenvolver, produzir e comercializar produtos da agricultura familiar de forma a garantir a inclusão </w:t>
      </w:r>
      <w:proofErr w:type="spellStart"/>
      <w:r w:rsidRPr="00412C28">
        <w:t>socioprodutiva</w:t>
      </w:r>
      <w:proofErr w:type="spellEnd"/>
      <w:r w:rsidRPr="00412C28">
        <w:t xml:space="preserve"> dos seus cooperados através do trabalho digno, da economia solidária e da responsabilidade socioambiental e com a visão de estar entre as principais cooperativas de produção do mercado e ser referência de excelência em produtos e serviços da agricultura familiar do Estado da Bahia. Atuando no segmento econômico da agricultura familiar através da produção, comercialização de seus produtos e prestação de serviços, está localizada no município de </w:t>
      </w:r>
      <w:proofErr w:type="spellStart"/>
      <w:r w:rsidRPr="00412C28">
        <w:t>Ichu</w:t>
      </w:r>
      <w:proofErr w:type="spellEnd"/>
      <w:r w:rsidRPr="00412C28">
        <w:t xml:space="preserve"> e tem raio de ação para fins de admissão nas comunidades do município. </w:t>
      </w:r>
    </w:p>
    <w:p w:rsidR="00412C28" w:rsidRPr="00412C28" w:rsidRDefault="00412C28" w:rsidP="00412C28">
      <w:pPr>
        <w:pStyle w:val="PargrafodaLista"/>
        <w:ind w:left="0" w:firstLine="851"/>
      </w:pPr>
      <w:r w:rsidRPr="00412C28">
        <w:t xml:space="preserve">Atualmente possui 48 cooperados/as. Seu quadro social é organizado em grupos de produção de associados, nos municípios da área atuação, com a função de articular, entre os seus membros, meios e providências para o melhor funcionamento da cooperativa, sendo suas atividades disciplinadas em regimento próprio, aprovado em Assembleia Geral. Entretanto, estes 48 cooperados/as se agrupam em 04 grupos de produção sendo 02 de derivados da mandioca (bolos, broa, sequilhos, beiju, </w:t>
      </w:r>
      <w:proofErr w:type="spellStart"/>
      <w:r w:rsidRPr="00412C28">
        <w:t>etc</w:t>
      </w:r>
      <w:proofErr w:type="spellEnd"/>
      <w:r w:rsidRPr="00412C28">
        <w:t>), 01 de polpas de frutas, 01 de artesanatos, além de alguns cooperados produtores de hortaliças.</w:t>
      </w:r>
    </w:p>
    <w:p w:rsidR="00412C28" w:rsidRPr="00412C28" w:rsidRDefault="00412C28" w:rsidP="00412C28">
      <w:pPr>
        <w:pStyle w:val="Corpodetexto"/>
        <w:rPr>
          <w:lang w:val="pt-BR"/>
        </w:rPr>
      </w:pPr>
      <w:r w:rsidRPr="00412C28">
        <w:t xml:space="preserve">Apesar de conter elementos novos, o rural no Brasil ainda apresenta a persistência de antigos e graves problemas: concentração de terras, trabalho quase servil, cultura machista, patriarcal e racista. </w:t>
      </w:r>
      <w:r w:rsidRPr="00412C28">
        <w:rPr>
          <w:lang w:val="pt-BR"/>
        </w:rPr>
        <w:t>Neste contexto, a</w:t>
      </w:r>
      <w:r w:rsidRPr="00412C28">
        <w:t xml:space="preserve">s mulheres rurais vivenciam diferentes situações onde suas vidas passam por controle e pelo poder disciplinador da sociedade. Estas mulheres se deparam cotidianamente com afirmações contrárias </w:t>
      </w:r>
      <w:r w:rsidRPr="00412C28">
        <w:rPr>
          <w:lang w:val="pt-BR"/>
        </w:rPr>
        <w:t>às</w:t>
      </w:r>
      <w:r w:rsidRPr="00412C28">
        <w:t xml:space="preserve"> suas realidades, sendo a cada instante negado o seu espaço como protagonista de direitos e </w:t>
      </w:r>
      <w:r w:rsidRPr="00412C28">
        <w:rPr>
          <w:lang w:val="pt-BR"/>
        </w:rPr>
        <w:t>“</w:t>
      </w:r>
      <w:r w:rsidRPr="00412C28">
        <w:t>desqualificada</w:t>
      </w:r>
      <w:r w:rsidRPr="00412C28">
        <w:rPr>
          <w:lang w:val="pt-BR"/>
        </w:rPr>
        <w:t>”</w:t>
      </w:r>
      <w:r w:rsidRPr="00412C28">
        <w:t xml:space="preserve"> sua identidade enquanto mulher rural.</w:t>
      </w:r>
    </w:p>
    <w:p w:rsidR="00412C28" w:rsidRPr="00412C28" w:rsidRDefault="00412C28" w:rsidP="00412C28">
      <w:pPr>
        <w:ind w:firstLine="708"/>
      </w:pPr>
      <w:r w:rsidRPr="00412C28">
        <w:t>Iniciativas são mais que</w:t>
      </w:r>
      <w:r w:rsidRPr="00412C28">
        <w:rPr>
          <w:color w:val="2F5496"/>
        </w:rPr>
        <w:t xml:space="preserve"> </w:t>
      </w:r>
      <w:r w:rsidRPr="00412C28">
        <w:t>necessárias no contexto da zona rural. Segundo dados do IBGE/PNAD (2009), no contexto do Semiárido, a pobreza atinge 52% da sua população rural; dessa população, as mulheres são as mais vulneráveis, pois elas, historicamente, foram excluídas dos processos de participação sociopolítica e econômica. Além do mais, 47,7% das mulheres rurais são consideradas não economicamente ativas, e isso se deve às poucas iniciativas de geração de trabalho e renda, bem como à pouca valorização do trabalho feminino e à sua invisibilidade no campo produtivo.</w:t>
      </w:r>
    </w:p>
    <w:p w:rsidR="00412C28" w:rsidRPr="00412C28" w:rsidRDefault="00412C28" w:rsidP="00412C28">
      <w:r w:rsidRPr="00412C28">
        <w:t xml:space="preserve">No município de </w:t>
      </w:r>
      <w:proofErr w:type="spellStart"/>
      <w:r w:rsidRPr="00412C28">
        <w:t>Ichu</w:t>
      </w:r>
      <w:proofErr w:type="spellEnd"/>
      <w:r w:rsidRPr="00412C28">
        <w:t xml:space="preserve">, local onde se insere este estudo, 17,2% das mulheres são extremamente pobres, contra uma média estadual de 13,79%. Esta desigualdade se acentua quando comparada à média nacional que é de 6,62% em relação aos dados de porcentagem de pobres e de vulneráveis à pobreza. Quase a totalidade da população </w:t>
      </w:r>
      <w:r w:rsidRPr="00412C28">
        <w:lastRenderedPageBreak/>
        <w:t xml:space="preserve">brasileira se encontra nessa margem de risco social, como demonstram os dados apresentados no Atlas Brasil (2013), na tabela 1 a seguir. Em consonância com estes dados, inferem-se, também, números baixos relativos ao Índice de Desenvolvimento Humano Municipal (IDHM), apresentando o município de </w:t>
      </w:r>
      <w:proofErr w:type="spellStart"/>
      <w:r w:rsidRPr="00412C28">
        <w:t>Ichu</w:t>
      </w:r>
      <w:proofErr w:type="spellEnd"/>
      <w:r w:rsidRPr="00412C28">
        <w:t xml:space="preserve"> índice abaixo da média do Estado e da média nacional, constatando o déficit existente em investimentos na educação, na renda, na expectativa de vida, dentre outros parâmetros. </w:t>
      </w:r>
    </w:p>
    <w:p w:rsidR="00412C28" w:rsidRPr="00412C28" w:rsidRDefault="00412C28" w:rsidP="00412C28"/>
    <w:p w:rsidR="00412C28" w:rsidRPr="00412C28" w:rsidRDefault="00412C28" w:rsidP="00412C28">
      <w:pPr>
        <w:rPr>
          <w:sz w:val="20"/>
          <w:szCs w:val="20"/>
        </w:rPr>
      </w:pPr>
      <w:r w:rsidRPr="00412C28">
        <w:rPr>
          <w:sz w:val="20"/>
          <w:szCs w:val="20"/>
        </w:rPr>
        <w:t xml:space="preserve">Tabela 1 – Índice de Desenvolvimento Humano-Comparativo: Brasil, Bahia e </w:t>
      </w:r>
      <w:proofErr w:type="spellStart"/>
      <w:r w:rsidRPr="00412C28">
        <w:rPr>
          <w:sz w:val="20"/>
          <w:szCs w:val="20"/>
        </w:rPr>
        <w:t>Ichu</w:t>
      </w:r>
      <w:proofErr w:type="spellEnd"/>
      <w:r w:rsidRPr="00412C28">
        <w:rPr>
          <w:sz w:val="20"/>
          <w:szCs w:val="20"/>
        </w:rPr>
        <w:t xml:space="preserve"> </w:t>
      </w:r>
    </w:p>
    <w:tbl>
      <w:tblPr>
        <w:tblW w:w="8364" w:type="dxa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620"/>
        <w:gridCol w:w="960"/>
        <w:gridCol w:w="1807"/>
        <w:gridCol w:w="1276"/>
        <w:gridCol w:w="1701"/>
      </w:tblGrid>
      <w:tr w:rsidR="00412C28" w:rsidRPr="00412C28" w:rsidTr="00BA34B5">
        <w:trPr>
          <w:trHeight w:val="900"/>
          <w:jc w:val="center"/>
        </w:trPr>
        <w:tc>
          <w:tcPr>
            <w:tcW w:w="26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12C28" w:rsidRPr="00412C28" w:rsidRDefault="00412C28" w:rsidP="00BA34B5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12C28">
              <w:rPr>
                <w:rFonts w:eastAsia="Arial"/>
                <w:b/>
                <w:bCs/>
                <w:sz w:val="22"/>
                <w:szCs w:val="22"/>
              </w:rPr>
              <w:t>Espacialidades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12C28" w:rsidRPr="00412C28" w:rsidRDefault="00412C28" w:rsidP="00BA34B5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12C28">
              <w:rPr>
                <w:b/>
                <w:bCs/>
                <w:sz w:val="22"/>
                <w:szCs w:val="22"/>
              </w:rPr>
              <w:t>IDHM 2010</w:t>
            </w:r>
          </w:p>
        </w:tc>
        <w:tc>
          <w:tcPr>
            <w:tcW w:w="18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12C28" w:rsidRPr="00412C28" w:rsidRDefault="00412C28" w:rsidP="00BA34B5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12C28">
              <w:rPr>
                <w:b/>
                <w:bCs/>
                <w:sz w:val="22"/>
                <w:szCs w:val="22"/>
              </w:rPr>
              <w:t>% de extremamente pobres 2010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12C28" w:rsidRPr="00412C28" w:rsidRDefault="00412C28" w:rsidP="00BA34B5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12C28">
              <w:rPr>
                <w:b/>
                <w:bCs/>
                <w:sz w:val="22"/>
                <w:szCs w:val="22"/>
              </w:rPr>
              <w:t>% de pobres 2010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12C28" w:rsidRPr="00412C28" w:rsidRDefault="00412C28" w:rsidP="00BA34B5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412C28">
              <w:rPr>
                <w:b/>
                <w:bCs/>
                <w:sz w:val="22"/>
                <w:szCs w:val="22"/>
              </w:rPr>
              <w:t>% de vulneráveis à pobreza 2010</w:t>
            </w:r>
          </w:p>
        </w:tc>
      </w:tr>
      <w:tr w:rsidR="00412C28" w:rsidRPr="00412C28" w:rsidTr="00BA34B5">
        <w:trPr>
          <w:trHeight w:val="300"/>
          <w:jc w:val="center"/>
        </w:trPr>
        <w:tc>
          <w:tcPr>
            <w:tcW w:w="2620" w:type="dxa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412C28" w:rsidRPr="00412C28" w:rsidRDefault="00412C28" w:rsidP="00BA34B5">
            <w:pPr>
              <w:rPr>
                <w:b/>
                <w:bCs/>
                <w:sz w:val="22"/>
                <w:szCs w:val="22"/>
              </w:rPr>
            </w:pPr>
            <w:r w:rsidRPr="00412C28">
              <w:rPr>
                <w:b/>
                <w:bCs/>
                <w:sz w:val="22"/>
                <w:szCs w:val="22"/>
              </w:rPr>
              <w:t>Brasil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412C28" w:rsidRPr="00412C28" w:rsidRDefault="00412C28" w:rsidP="00BA34B5">
            <w:pPr>
              <w:ind w:firstLine="0"/>
              <w:rPr>
                <w:sz w:val="22"/>
                <w:szCs w:val="22"/>
              </w:rPr>
            </w:pPr>
            <w:r w:rsidRPr="00412C28">
              <w:rPr>
                <w:sz w:val="22"/>
                <w:szCs w:val="22"/>
              </w:rPr>
              <w:t>0,727</w:t>
            </w:r>
          </w:p>
        </w:tc>
        <w:tc>
          <w:tcPr>
            <w:tcW w:w="1807" w:type="dxa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412C28" w:rsidRPr="00412C28" w:rsidRDefault="00412C28" w:rsidP="00BA34B5">
            <w:pPr>
              <w:rPr>
                <w:sz w:val="22"/>
                <w:szCs w:val="22"/>
              </w:rPr>
            </w:pPr>
            <w:r w:rsidRPr="00412C28">
              <w:rPr>
                <w:sz w:val="22"/>
                <w:szCs w:val="22"/>
              </w:rPr>
              <w:t>6,62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412C28" w:rsidRPr="00412C28" w:rsidRDefault="00412C28" w:rsidP="00BA34B5">
            <w:pPr>
              <w:ind w:firstLine="0"/>
              <w:rPr>
                <w:sz w:val="22"/>
                <w:szCs w:val="22"/>
              </w:rPr>
            </w:pPr>
            <w:r w:rsidRPr="00412C28">
              <w:rPr>
                <w:sz w:val="22"/>
                <w:szCs w:val="22"/>
              </w:rPr>
              <w:t>15,2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412C28" w:rsidRPr="00412C28" w:rsidRDefault="00412C28" w:rsidP="00BA34B5">
            <w:pPr>
              <w:rPr>
                <w:sz w:val="22"/>
                <w:szCs w:val="22"/>
              </w:rPr>
            </w:pPr>
            <w:r w:rsidRPr="00412C28">
              <w:rPr>
                <w:sz w:val="22"/>
                <w:szCs w:val="22"/>
              </w:rPr>
              <w:t>32,56</w:t>
            </w:r>
          </w:p>
        </w:tc>
      </w:tr>
      <w:tr w:rsidR="00412C28" w:rsidRPr="00412C28" w:rsidTr="00BA34B5">
        <w:trPr>
          <w:trHeight w:val="300"/>
          <w:jc w:val="center"/>
        </w:trPr>
        <w:tc>
          <w:tcPr>
            <w:tcW w:w="2620" w:type="dxa"/>
            <w:shd w:val="clear" w:color="auto" w:fill="auto"/>
            <w:noWrap/>
            <w:hideMark/>
          </w:tcPr>
          <w:p w:rsidR="00412C28" w:rsidRPr="00412C28" w:rsidRDefault="00412C28" w:rsidP="00BA34B5">
            <w:pPr>
              <w:rPr>
                <w:b/>
                <w:bCs/>
                <w:sz w:val="22"/>
                <w:szCs w:val="22"/>
              </w:rPr>
            </w:pPr>
            <w:r w:rsidRPr="00412C28">
              <w:rPr>
                <w:b/>
                <w:bCs/>
                <w:sz w:val="22"/>
                <w:szCs w:val="22"/>
              </w:rPr>
              <w:t>Bahia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12C28" w:rsidRPr="00412C28" w:rsidRDefault="00412C28" w:rsidP="00BA34B5">
            <w:pPr>
              <w:ind w:firstLine="0"/>
              <w:rPr>
                <w:sz w:val="22"/>
                <w:szCs w:val="22"/>
              </w:rPr>
            </w:pPr>
            <w:r w:rsidRPr="00412C28">
              <w:rPr>
                <w:sz w:val="22"/>
                <w:szCs w:val="22"/>
              </w:rPr>
              <w:t>0,66</w:t>
            </w:r>
          </w:p>
        </w:tc>
        <w:tc>
          <w:tcPr>
            <w:tcW w:w="1807" w:type="dxa"/>
            <w:shd w:val="clear" w:color="auto" w:fill="auto"/>
            <w:noWrap/>
            <w:hideMark/>
          </w:tcPr>
          <w:p w:rsidR="00412C28" w:rsidRPr="00412C28" w:rsidRDefault="00412C28" w:rsidP="00BA34B5">
            <w:pPr>
              <w:rPr>
                <w:sz w:val="22"/>
                <w:szCs w:val="22"/>
              </w:rPr>
            </w:pPr>
            <w:r w:rsidRPr="00412C28">
              <w:rPr>
                <w:sz w:val="22"/>
                <w:szCs w:val="22"/>
              </w:rPr>
              <w:t>13,79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12C28" w:rsidRPr="00412C28" w:rsidRDefault="00412C28" w:rsidP="00BA34B5">
            <w:pPr>
              <w:ind w:firstLine="0"/>
              <w:rPr>
                <w:sz w:val="22"/>
                <w:szCs w:val="22"/>
              </w:rPr>
            </w:pPr>
            <w:r w:rsidRPr="00412C28">
              <w:rPr>
                <w:sz w:val="22"/>
                <w:szCs w:val="22"/>
              </w:rPr>
              <w:t>28,72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12C28" w:rsidRPr="00412C28" w:rsidRDefault="00412C28" w:rsidP="00BA34B5">
            <w:pPr>
              <w:rPr>
                <w:sz w:val="22"/>
                <w:szCs w:val="22"/>
              </w:rPr>
            </w:pPr>
            <w:r w:rsidRPr="00412C28">
              <w:rPr>
                <w:sz w:val="22"/>
                <w:szCs w:val="22"/>
              </w:rPr>
              <w:t>52,71</w:t>
            </w:r>
          </w:p>
        </w:tc>
      </w:tr>
      <w:tr w:rsidR="00412C28" w:rsidRPr="00412C28" w:rsidTr="00BA34B5">
        <w:trPr>
          <w:trHeight w:val="300"/>
          <w:jc w:val="center"/>
        </w:trPr>
        <w:tc>
          <w:tcPr>
            <w:tcW w:w="2620" w:type="dxa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412C28" w:rsidRPr="00412C28" w:rsidRDefault="00412C28" w:rsidP="00BA34B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412C28">
              <w:rPr>
                <w:b/>
                <w:bCs/>
                <w:sz w:val="22"/>
                <w:szCs w:val="22"/>
              </w:rPr>
              <w:t>Ichu</w:t>
            </w:r>
            <w:proofErr w:type="spellEnd"/>
            <w:r w:rsidRPr="00412C28">
              <w:rPr>
                <w:b/>
                <w:bCs/>
                <w:sz w:val="22"/>
                <w:szCs w:val="22"/>
              </w:rPr>
              <w:t xml:space="preserve"> (BA)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412C28" w:rsidRPr="00412C28" w:rsidRDefault="00412C28" w:rsidP="00BA34B5">
            <w:pPr>
              <w:ind w:firstLine="0"/>
              <w:rPr>
                <w:sz w:val="22"/>
                <w:szCs w:val="22"/>
              </w:rPr>
            </w:pPr>
            <w:r w:rsidRPr="00412C28">
              <w:rPr>
                <w:sz w:val="22"/>
                <w:szCs w:val="22"/>
              </w:rPr>
              <w:t>0,631</w:t>
            </w:r>
          </w:p>
        </w:tc>
        <w:tc>
          <w:tcPr>
            <w:tcW w:w="1807" w:type="dxa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412C28" w:rsidRPr="00412C28" w:rsidRDefault="00412C28" w:rsidP="00BA34B5">
            <w:pPr>
              <w:rPr>
                <w:sz w:val="22"/>
                <w:szCs w:val="22"/>
              </w:rPr>
            </w:pPr>
            <w:r w:rsidRPr="00412C28">
              <w:rPr>
                <w:sz w:val="22"/>
                <w:szCs w:val="22"/>
              </w:rPr>
              <w:t>17,2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412C28" w:rsidRPr="00412C28" w:rsidRDefault="00412C28" w:rsidP="00BA34B5">
            <w:pPr>
              <w:ind w:firstLine="0"/>
              <w:rPr>
                <w:sz w:val="22"/>
                <w:szCs w:val="22"/>
              </w:rPr>
            </w:pPr>
            <w:r w:rsidRPr="00412C28">
              <w:rPr>
                <w:sz w:val="22"/>
                <w:szCs w:val="22"/>
              </w:rPr>
              <w:t>34,31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412C28" w:rsidRPr="00412C28" w:rsidRDefault="00412C28" w:rsidP="00BA34B5">
            <w:pPr>
              <w:rPr>
                <w:sz w:val="22"/>
                <w:szCs w:val="22"/>
              </w:rPr>
            </w:pPr>
            <w:r w:rsidRPr="00412C28">
              <w:rPr>
                <w:sz w:val="22"/>
                <w:szCs w:val="22"/>
              </w:rPr>
              <w:t>56,78</w:t>
            </w:r>
          </w:p>
        </w:tc>
      </w:tr>
    </w:tbl>
    <w:p w:rsidR="00412C28" w:rsidRPr="00412C28" w:rsidRDefault="00412C28" w:rsidP="00412C28">
      <w:r w:rsidRPr="00412C28">
        <w:rPr>
          <w:sz w:val="20"/>
          <w:szCs w:val="20"/>
        </w:rPr>
        <w:t>Fonte: Atlas Brasil, 2013</w:t>
      </w:r>
      <w:r w:rsidRPr="00412C28">
        <w:t>.</w:t>
      </w:r>
    </w:p>
    <w:p w:rsidR="00412C28" w:rsidRPr="00412C28" w:rsidRDefault="00412C28" w:rsidP="00412C28"/>
    <w:p w:rsidR="00412C28" w:rsidRPr="00412C28" w:rsidRDefault="00412C28" w:rsidP="00412C28">
      <w:r w:rsidRPr="00412C28">
        <w:t>Desse modo, as desigualdades sociais que afetam a vida das mulheres no meio rural e, da mesma forma, os resquícios culturais do coronelismo nordestino – que atribui grande poder ao homem e coloca a mulher em uma situação de submissão e subordinação social –, estão presentes no Território do Sisal. A partir deste contexto, é que se percebe que as mulheres rurais buscaram alternativas de geração de trabalho e renda, organizando-se em empreendimentos de produção, através dos quais elas têm se ajudado mutuamente, buscando a superação das desigualdades de gênero, raça e classe.</w:t>
      </w:r>
    </w:p>
    <w:p w:rsidR="00412C28" w:rsidRPr="00412C28" w:rsidRDefault="00412C28" w:rsidP="00412C28">
      <w:pPr>
        <w:pStyle w:val="Corpodetexto2"/>
        <w:spacing w:after="0" w:line="360" w:lineRule="auto"/>
        <w:rPr>
          <w:lang w:val="pt-PT"/>
        </w:rPr>
      </w:pPr>
      <w:r w:rsidRPr="00412C28">
        <w:t>Para as mulheres</w:t>
      </w:r>
      <w:r w:rsidRPr="00412C28">
        <w:rPr>
          <w:lang w:val="pt-BR"/>
        </w:rPr>
        <w:t xml:space="preserve"> rurais</w:t>
      </w:r>
      <w:r w:rsidRPr="00412C28">
        <w:rPr>
          <w:lang w:val="pt-BR"/>
        </w:rPr>
        <w:t xml:space="preserve">, </w:t>
      </w:r>
      <w:r w:rsidRPr="00412C28">
        <w:t>a alternativa de se organizar</w:t>
      </w:r>
      <w:r w:rsidRPr="00412C28">
        <w:rPr>
          <w:lang w:val="pt-BR"/>
        </w:rPr>
        <w:t>em</w:t>
      </w:r>
      <w:r w:rsidRPr="00412C28">
        <w:t xml:space="preserve"> em </w:t>
      </w:r>
      <w:r w:rsidRPr="00412C28">
        <w:rPr>
          <w:lang w:val="pt-BR"/>
        </w:rPr>
        <w:t>empreendimentos</w:t>
      </w:r>
      <w:r w:rsidRPr="00412C28">
        <w:t xml:space="preserve"> de produção, na geração de trabalho e renda, garante a </w:t>
      </w:r>
      <w:r w:rsidRPr="00412C28">
        <w:rPr>
          <w:lang w:val="pt-BR"/>
        </w:rPr>
        <w:t xml:space="preserve">sua </w:t>
      </w:r>
      <w:r w:rsidRPr="00412C28">
        <w:t>permanência no campo</w:t>
      </w:r>
      <w:r w:rsidRPr="00412C28">
        <w:rPr>
          <w:lang w:val="pt-BR"/>
        </w:rPr>
        <w:t xml:space="preserve">. </w:t>
      </w:r>
      <w:r w:rsidRPr="00412C28">
        <w:rPr>
          <w:lang w:val="pt-PT"/>
        </w:rPr>
        <w:t xml:space="preserve">Também colaboram para esta permanência  as ações de políticas públicas traçadas para as mulheres agricultoras familiares que têm como objetivo fundamental organizarem-se em </w:t>
      </w:r>
      <w:r w:rsidRPr="00412C28">
        <w:t>Empreendimento Econômico Solidário</w:t>
      </w:r>
      <w:r w:rsidRPr="00412C28">
        <w:rPr>
          <w:lang w:val="pt-PT"/>
        </w:rPr>
        <w:t xml:space="preserve"> (EES). A união destas mulheres não é apenas  em função do  beneficiamento da  produção, mas também para que elas possam ocupar espaços nos acessos à política, interferindo na construção e implementação de política para agricultura familiar </w:t>
      </w:r>
      <w:r w:rsidRPr="00412C28">
        <w:t>que mobiliza mulheres na perspectiva de v</w:t>
      </w:r>
      <w:r w:rsidRPr="00412C28">
        <w:rPr>
          <w:lang w:val="pt-BR"/>
        </w:rPr>
        <w:t>á</w:t>
      </w:r>
      <w:r w:rsidRPr="00412C28">
        <w:t xml:space="preserve">ris </w:t>
      </w:r>
      <w:r w:rsidRPr="00412C28">
        <w:rPr>
          <w:lang w:val="pt-BR"/>
        </w:rPr>
        <w:t>políticas</w:t>
      </w:r>
      <w:r w:rsidRPr="00412C28">
        <w:t xml:space="preserve">, </w:t>
      </w:r>
      <w:r w:rsidRPr="00412C28">
        <w:rPr>
          <w:lang w:val="pt-BR"/>
        </w:rPr>
        <w:t>a exemplo</w:t>
      </w:r>
      <w:r w:rsidRPr="00412C28">
        <w:t xml:space="preserve"> </w:t>
      </w:r>
      <w:r w:rsidRPr="00412C28">
        <w:rPr>
          <w:lang w:val="pt-BR"/>
        </w:rPr>
        <w:t>d</w:t>
      </w:r>
      <w:r w:rsidRPr="00412C28">
        <w:t xml:space="preserve">a aplicação da Lei Maria da Penha, a campanha de documentação, o enfrentamento </w:t>
      </w:r>
      <w:r w:rsidRPr="00412C28">
        <w:rPr>
          <w:lang w:val="pt-BR"/>
        </w:rPr>
        <w:t>à</w:t>
      </w:r>
      <w:r w:rsidRPr="00412C28">
        <w:t xml:space="preserve"> violência doméstica, </w:t>
      </w:r>
      <w:r w:rsidRPr="00412C28">
        <w:rPr>
          <w:lang w:val="pt-BR"/>
        </w:rPr>
        <w:t xml:space="preserve">ATER para mulheres, </w:t>
      </w:r>
      <w:r w:rsidRPr="00412C28">
        <w:t>acesso ao cr</w:t>
      </w:r>
      <w:r w:rsidRPr="00412C28">
        <w:rPr>
          <w:lang w:val="pt-BR"/>
        </w:rPr>
        <w:t>é</w:t>
      </w:r>
      <w:r w:rsidRPr="00412C28">
        <w:t xml:space="preserve">dito </w:t>
      </w:r>
      <w:r w:rsidRPr="00412C28">
        <w:rPr>
          <w:lang w:val="pt-BR"/>
        </w:rPr>
        <w:t>específico</w:t>
      </w:r>
      <w:r w:rsidRPr="00412C28">
        <w:t xml:space="preserve"> via PRONAF, inserção das mulheres em comissões municipais de água, de diretorias </w:t>
      </w:r>
      <w:r w:rsidRPr="00412C28">
        <w:lastRenderedPageBreak/>
        <w:t>sindicais e de associações</w:t>
      </w:r>
      <w:r w:rsidRPr="00412C28">
        <w:rPr>
          <w:lang w:val="pt-BR"/>
        </w:rPr>
        <w:t>,</w:t>
      </w:r>
      <w:r w:rsidRPr="00412C28">
        <w:t xml:space="preserve"> dentre outros. Destaca-se neste campo, igualmente, a organização das mulheres em cooperativas de serviço e de beneficiamento da produção para gerar renda, ter acesso aos mercados, beneficiar seus produtos e participar dos programas governamentais</w:t>
      </w:r>
      <w:r w:rsidRPr="00412C28">
        <w:rPr>
          <w:lang w:val="pt-BR"/>
        </w:rPr>
        <w:t xml:space="preserve"> – com destaque aqui para o Programa de Aquisição de Alimentos (</w:t>
      </w:r>
      <w:r w:rsidRPr="00412C28">
        <w:t>PAA</w:t>
      </w:r>
      <w:r w:rsidRPr="00412C28">
        <w:rPr>
          <w:lang w:val="pt-BR"/>
        </w:rPr>
        <w:t>)</w:t>
      </w:r>
      <w:r w:rsidRPr="00412C28">
        <w:t xml:space="preserve"> e</w:t>
      </w:r>
      <w:r w:rsidRPr="00412C28">
        <w:rPr>
          <w:lang w:val="pt-BR"/>
        </w:rPr>
        <w:t xml:space="preserve"> o</w:t>
      </w:r>
      <w:r w:rsidRPr="00412C28">
        <w:t xml:space="preserve"> </w:t>
      </w:r>
      <w:r w:rsidRPr="00412C28">
        <w:rPr>
          <w:lang w:val="pt-BR"/>
        </w:rPr>
        <w:t>Programa Nacional da Alimentação Escolar (</w:t>
      </w:r>
      <w:r w:rsidRPr="00412C28">
        <w:t>PNAE</w:t>
      </w:r>
      <w:r w:rsidRPr="00412C28">
        <w:rPr>
          <w:lang w:val="pt-BR"/>
        </w:rPr>
        <w:t>) –,</w:t>
      </w:r>
      <w:r w:rsidRPr="00412C28">
        <w:t xml:space="preserve"> </w:t>
      </w:r>
      <w:r w:rsidRPr="00412C28">
        <w:rPr>
          <w:lang w:val="pt-PT"/>
        </w:rPr>
        <w:t xml:space="preserve">especialmente os voltados para as mulheres rurais. </w:t>
      </w:r>
    </w:p>
    <w:p w:rsidR="00412C28" w:rsidRPr="00412C28" w:rsidRDefault="00412C28" w:rsidP="00412C28">
      <w:pPr>
        <w:pStyle w:val="Corpodetexto2"/>
        <w:spacing w:after="0" w:line="360" w:lineRule="auto"/>
        <w:rPr>
          <w:rStyle w:val="texto1"/>
          <w:color w:val="auto"/>
          <w:sz w:val="24"/>
          <w:szCs w:val="24"/>
          <w:lang w:val="pt-PT"/>
        </w:rPr>
      </w:pPr>
      <w:r w:rsidRPr="00412C28">
        <w:rPr>
          <w:lang w:val="pt-PT"/>
        </w:rPr>
        <w:t xml:space="preserve">Considerando todo este contexto e o fato de que </w:t>
      </w:r>
      <w:r w:rsidRPr="00412C28">
        <w:t xml:space="preserve">as políticas públicas se apresentam como um dos vieses de possíveis ajustes sociais buscando uma sociedade mais igualitária, torna-se pertinente o estudo destas ações uma vez que elas interferem no desenvolvimento social com um todo. </w:t>
      </w:r>
      <w:r w:rsidRPr="00412C28">
        <w:rPr>
          <w:rStyle w:val="texto1"/>
          <w:color w:val="auto"/>
          <w:sz w:val="24"/>
          <w:szCs w:val="24"/>
        </w:rPr>
        <w:t>A relevância deste estudo situa-se, também, no reconhecimento do papel das mulheres rurais na sociedade, papel este que permite desenvolver a compreensão sobre a problemática das questões ligadas a</w:t>
      </w:r>
      <w:r w:rsidRPr="00412C28">
        <w:rPr>
          <w:rStyle w:val="texto1"/>
          <w:color w:val="auto"/>
          <w:sz w:val="24"/>
          <w:szCs w:val="24"/>
          <w:lang w:val="pt-BR"/>
        </w:rPr>
        <w:t>o</w:t>
      </w:r>
      <w:r w:rsidRPr="00412C28">
        <w:rPr>
          <w:rStyle w:val="texto1"/>
          <w:color w:val="auto"/>
          <w:sz w:val="24"/>
          <w:szCs w:val="24"/>
        </w:rPr>
        <w:t xml:space="preserve"> gênero, à emancipação, à agricultura familiar e à geração de trabalho e renda</w:t>
      </w:r>
      <w:r w:rsidRPr="00412C28">
        <w:rPr>
          <w:rStyle w:val="texto1"/>
          <w:color w:val="auto"/>
          <w:sz w:val="24"/>
          <w:szCs w:val="24"/>
          <w:lang w:val="pt-BR"/>
        </w:rPr>
        <w:t>.</w:t>
      </w:r>
      <w:r w:rsidRPr="00412C28">
        <w:rPr>
          <w:rStyle w:val="texto1"/>
          <w:color w:val="auto"/>
          <w:sz w:val="24"/>
          <w:szCs w:val="24"/>
        </w:rPr>
        <w:t xml:space="preserve"> </w:t>
      </w:r>
      <w:r w:rsidRPr="00412C28">
        <w:rPr>
          <w:rStyle w:val="texto1"/>
          <w:color w:val="auto"/>
          <w:sz w:val="24"/>
          <w:szCs w:val="24"/>
          <w:lang w:val="pt-BR"/>
        </w:rPr>
        <w:t>Problemáticas estas refletidas n</w:t>
      </w:r>
      <w:r w:rsidRPr="00412C28">
        <w:rPr>
          <w:rStyle w:val="texto1"/>
          <w:color w:val="auto"/>
          <w:sz w:val="24"/>
          <w:szCs w:val="24"/>
        </w:rPr>
        <w:t xml:space="preserve">a luta das mulheres para o exercício pleno da cidadania, </w:t>
      </w:r>
      <w:r w:rsidRPr="00412C28">
        <w:rPr>
          <w:rStyle w:val="texto1"/>
          <w:color w:val="auto"/>
          <w:sz w:val="24"/>
          <w:szCs w:val="24"/>
          <w:lang w:val="pt-BR"/>
        </w:rPr>
        <w:t>n</w:t>
      </w:r>
      <w:r w:rsidRPr="00412C28">
        <w:rPr>
          <w:rStyle w:val="texto1"/>
          <w:color w:val="auto"/>
          <w:sz w:val="24"/>
          <w:szCs w:val="24"/>
        </w:rPr>
        <w:t xml:space="preserve">a busca de seus direitos e </w:t>
      </w:r>
      <w:r w:rsidRPr="00412C28">
        <w:rPr>
          <w:rStyle w:val="texto1"/>
          <w:color w:val="auto"/>
          <w:sz w:val="24"/>
          <w:szCs w:val="24"/>
          <w:lang w:val="pt-BR"/>
        </w:rPr>
        <w:t>n</w:t>
      </w:r>
      <w:r w:rsidRPr="00412C28">
        <w:rPr>
          <w:rStyle w:val="texto1"/>
          <w:color w:val="auto"/>
          <w:sz w:val="24"/>
          <w:szCs w:val="24"/>
        </w:rPr>
        <w:t xml:space="preserve">o embate no próprio contexto familiar e no espaço de trabalho pelo reconhecimento de ser pessoa e usufruir dos direitos e deveres até mesmo previstos legalmente. </w:t>
      </w:r>
    </w:p>
    <w:p w:rsidR="00412C28" w:rsidRPr="00412C28" w:rsidRDefault="00412C28" w:rsidP="00412C28">
      <w:r w:rsidRPr="00412C28">
        <w:t>Entendemos que os efeitos advindos do acesso às políticas públicas da agricultura familiar, no Território do Sisal, ajudarão a problematizar o campo de trabalho bem como a aperfeiçoar as possibilidades de pensá-lo, questioná-lo, criando, assim, condições de aprofundá-lo e, desta forma, contribuir na melhoria de vida dos sujeitos envolvidos no processo além de dar possibilidade de sistematizar e dar cientificidade às curiosidades e hipóteses geradas no campo de trabalho.</w:t>
      </w:r>
    </w:p>
    <w:p w:rsidR="00412C28" w:rsidRPr="00412C28" w:rsidRDefault="00412C28" w:rsidP="00412C28">
      <w:r w:rsidRPr="00412C28">
        <w:t xml:space="preserve">No universo tão amplo de questões a serem estudadas, no qual se encontram as políticas públicas da agricultura familiar, nesta pesquisa optamos por discutir sobre os sentires e fazeres das mulheres rurais – especificamente as da comunidade de Barra pertencente ao município de </w:t>
      </w:r>
      <w:proofErr w:type="spellStart"/>
      <w:r w:rsidRPr="00412C28">
        <w:t>Ichu</w:t>
      </w:r>
      <w:proofErr w:type="spellEnd"/>
      <w:r w:rsidRPr="00412C28">
        <w:t>-BA – entendendo-os como efeitos do acesso destas mulheres a estes programas governamentais. Em tese, buscamos analisar como elas se organizam para estar nos espaços de incidência política, participação social e de geração do trabalho e renda, conciliando-os com as labutas do dia a dia e com os afazeres de casa.</w:t>
      </w:r>
    </w:p>
    <w:p w:rsidR="00412C28" w:rsidRPr="00412C28" w:rsidRDefault="00412C28" w:rsidP="00412C28">
      <w:r w:rsidRPr="00412C28">
        <w:t>Esta experiência</w:t>
      </w:r>
      <w:r w:rsidRPr="00412C28">
        <w:t xml:space="preserve"> se dá no município de </w:t>
      </w:r>
      <w:proofErr w:type="spellStart"/>
      <w:r w:rsidRPr="00412C28">
        <w:t>Ichu</w:t>
      </w:r>
      <w:proofErr w:type="spellEnd"/>
      <w:r w:rsidRPr="00412C28">
        <w:t xml:space="preserve">, pertencente ao Território de Identidade do Sisal, na comunidade de Barra com 10 mulheres rurais do Empreendimento “Nossa Polpa”, filiadas a COOPERAGIL (Figura 1). Estas mulheres participantes deste </w:t>
      </w:r>
      <w:r w:rsidRPr="00412C28">
        <w:lastRenderedPageBreak/>
        <w:t>processo fazem parte do programa do governo de transferência de renda, o Bolsa Família, e buscam iniciativas no enfrentamento à pobreza e na garantia de direitos.</w:t>
      </w:r>
    </w:p>
    <w:p w:rsidR="00412C28" w:rsidRPr="00412C28" w:rsidRDefault="00412C28" w:rsidP="00412C28"/>
    <w:p w:rsidR="00412C28" w:rsidRPr="00412C28" w:rsidRDefault="00412C28" w:rsidP="00412C28"/>
    <w:p w:rsidR="00412C28" w:rsidRPr="00412C28" w:rsidRDefault="00412C28" w:rsidP="00412C28"/>
    <w:p w:rsidR="00412C28" w:rsidRPr="00412C28" w:rsidRDefault="00412C28" w:rsidP="00412C28"/>
    <w:p w:rsidR="00412C28" w:rsidRPr="00412C28" w:rsidRDefault="00412C28" w:rsidP="00412C28">
      <w:pPr>
        <w:ind w:firstLine="0"/>
        <w:rPr>
          <w:sz w:val="20"/>
          <w:szCs w:val="20"/>
        </w:rPr>
      </w:pPr>
      <w:r w:rsidRPr="00412C28">
        <w:rPr>
          <w:sz w:val="20"/>
          <w:szCs w:val="20"/>
        </w:rPr>
        <w:t xml:space="preserve">                                Figura 1 – Grupo de Mulheres “Nossa Polpa”</w:t>
      </w:r>
    </w:p>
    <w:p w:rsidR="00412C28" w:rsidRPr="00412C28" w:rsidRDefault="00412C28" w:rsidP="00412C28">
      <w:r w:rsidRPr="00412C28">
        <w:rPr>
          <w:noProof/>
        </w:rPr>
        <w:drawing>
          <wp:inline distT="0" distB="0" distL="0" distR="0">
            <wp:extent cx="5143500" cy="2887980"/>
            <wp:effectExtent l="0" t="0" r="0" b="7620"/>
            <wp:docPr id="1" name="Imagem 1" descr="29883747_1876893002352380_345952414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9883747_1876893002352380_345952414_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C28" w:rsidRPr="00A76BE5" w:rsidRDefault="00412C28" w:rsidP="00412C28">
      <w:pPr>
        <w:ind w:left="426" w:firstLine="0"/>
        <w:rPr>
          <w:sz w:val="20"/>
          <w:szCs w:val="20"/>
          <w:shd w:val="clear" w:color="auto" w:fill="FFFFFF"/>
        </w:rPr>
      </w:pPr>
      <w:r w:rsidRPr="00412C28">
        <w:rPr>
          <w:shd w:val="clear" w:color="auto" w:fill="FFFFFF"/>
        </w:rPr>
        <w:t xml:space="preserve">           </w:t>
      </w:r>
      <w:r w:rsidRPr="00412C28">
        <w:rPr>
          <w:sz w:val="20"/>
          <w:szCs w:val="20"/>
          <w:shd w:val="clear" w:color="auto" w:fill="FFFFFF"/>
        </w:rPr>
        <w:t>Fonte: Dados da pesquisa, 2017.</w:t>
      </w:r>
      <w:r w:rsidRPr="00A76BE5">
        <w:rPr>
          <w:sz w:val="20"/>
          <w:szCs w:val="20"/>
          <w:shd w:val="clear" w:color="auto" w:fill="FFFFFF"/>
        </w:rPr>
        <w:t xml:space="preserve"> </w:t>
      </w:r>
    </w:p>
    <w:p w:rsidR="00412C28" w:rsidRPr="00BB19BC" w:rsidRDefault="00412C28" w:rsidP="00412C28"/>
    <w:p w:rsidR="002212EF" w:rsidRDefault="002212EF">
      <w:bookmarkStart w:id="0" w:name="_GoBack"/>
    </w:p>
    <w:p w:rsidR="000C0DC5" w:rsidRPr="00BB19BC" w:rsidRDefault="000C0DC5" w:rsidP="000C0DC5">
      <w:pPr>
        <w:ind w:firstLine="0"/>
      </w:pPr>
      <w:bookmarkStart w:id="1" w:name="_Toc13563450"/>
      <w:r w:rsidRPr="00BB19BC">
        <w:rPr>
          <w:rStyle w:val="Ttulo1Char"/>
          <w:rFonts w:ascii="Times New Roman" w:hAnsi="Times New Roman"/>
          <w:sz w:val="24"/>
          <w:szCs w:val="24"/>
        </w:rPr>
        <w:t>REFERÊNCIAS</w:t>
      </w:r>
      <w:bookmarkEnd w:id="1"/>
      <w:r w:rsidRPr="00BB19BC">
        <w:t xml:space="preserve">: </w:t>
      </w:r>
    </w:p>
    <w:p w:rsidR="000C0DC5" w:rsidRPr="002513E6" w:rsidRDefault="000C0DC5" w:rsidP="000C0DC5">
      <w:pPr>
        <w:spacing w:line="240" w:lineRule="auto"/>
        <w:ind w:firstLine="0"/>
        <w:jc w:val="left"/>
      </w:pPr>
    </w:p>
    <w:p w:rsidR="000C0DC5" w:rsidRPr="00020093" w:rsidRDefault="000C0DC5" w:rsidP="000C0DC5">
      <w:pPr>
        <w:spacing w:line="240" w:lineRule="auto"/>
        <w:ind w:firstLine="0"/>
      </w:pPr>
      <w:r w:rsidRPr="00020093">
        <w:t xml:space="preserve">AGUIAR, </w:t>
      </w:r>
      <w:proofErr w:type="spellStart"/>
      <w:r w:rsidRPr="00020093">
        <w:t>Vilenia</w:t>
      </w:r>
      <w:proofErr w:type="spellEnd"/>
      <w:r w:rsidRPr="00020093">
        <w:t xml:space="preserve"> Venâncio Porto. Mulheres Rurais, Movimento Social e Participação: Reflexões a partir da Marcha das Margaridas.  </w:t>
      </w:r>
      <w:r w:rsidRPr="00020093">
        <w:rPr>
          <w:b/>
        </w:rPr>
        <w:t>Revista Política e Sociedade</w:t>
      </w:r>
      <w:r w:rsidRPr="00020093">
        <w:t>. Universidade Federal de Santa Catarina, 2016. P 261-293</w:t>
      </w:r>
    </w:p>
    <w:p w:rsidR="000C0DC5" w:rsidRPr="00020093" w:rsidRDefault="000C0DC5" w:rsidP="000C0DC5">
      <w:pPr>
        <w:spacing w:line="240" w:lineRule="auto"/>
        <w:ind w:firstLine="0"/>
      </w:pPr>
    </w:p>
    <w:p w:rsidR="000C0DC5" w:rsidRPr="00020093" w:rsidRDefault="000C0DC5" w:rsidP="000C0DC5">
      <w:pPr>
        <w:autoSpaceDE w:val="0"/>
        <w:autoSpaceDN w:val="0"/>
        <w:adjustRightInd w:val="0"/>
        <w:spacing w:line="240" w:lineRule="auto"/>
        <w:ind w:firstLine="0"/>
      </w:pPr>
      <w:r w:rsidRPr="00020093">
        <w:t xml:space="preserve">ANJOS, F.S; GODOY, W.I; CALDAS, N.V: GOMES, M.C. Agricultura familiar e políticas públicas: o impacto do PRONAF no Rio Grande do Sul. </w:t>
      </w:r>
      <w:r w:rsidRPr="00020093">
        <w:rPr>
          <w:b/>
          <w:bCs/>
        </w:rPr>
        <w:t>Revista Economia e Sociologia</w:t>
      </w:r>
      <w:r w:rsidRPr="00020093">
        <w:t xml:space="preserve"> </w:t>
      </w:r>
      <w:r w:rsidRPr="00020093">
        <w:rPr>
          <w:b/>
          <w:bCs/>
        </w:rPr>
        <w:t>Rural</w:t>
      </w:r>
      <w:r w:rsidRPr="00020093">
        <w:rPr>
          <w:bCs/>
        </w:rPr>
        <w:t xml:space="preserve">. </w:t>
      </w:r>
      <w:r w:rsidRPr="00020093">
        <w:t>2004, Vol.42, n.3.</w:t>
      </w:r>
    </w:p>
    <w:p w:rsidR="000C0DC5" w:rsidRPr="00020093" w:rsidRDefault="000C0DC5" w:rsidP="000C0DC5">
      <w:pPr>
        <w:autoSpaceDE w:val="0"/>
        <w:autoSpaceDN w:val="0"/>
        <w:adjustRightInd w:val="0"/>
        <w:spacing w:line="240" w:lineRule="auto"/>
        <w:ind w:firstLine="0"/>
      </w:pPr>
    </w:p>
    <w:p w:rsidR="000C0DC5" w:rsidRPr="00020093" w:rsidRDefault="000C0DC5" w:rsidP="000C0DC5">
      <w:pPr>
        <w:spacing w:line="240" w:lineRule="auto"/>
        <w:ind w:firstLine="0"/>
      </w:pPr>
      <w:r w:rsidRPr="00020093">
        <w:t xml:space="preserve">ARENDT, Hannah. </w:t>
      </w:r>
      <w:r w:rsidRPr="00020093">
        <w:rPr>
          <w:b/>
        </w:rPr>
        <w:t>A Condição Humana</w:t>
      </w:r>
      <w:r w:rsidRPr="00020093">
        <w:t>. São Paulo: Forense Universitária, 2004.</w:t>
      </w:r>
    </w:p>
    <w:p w:rsidR="000C0DC5" w:rsidRPr="00020093" w:rsidRDefault="000C0DC5" w:rsidP="000C0DC5">
      <w:pPr>
        <w:spacing w:line="240" w:lineRule="auto"/>
        <w:ind w:firstLine="0"/>
      </w:pPr>
    </w:p>
    <w:p w:rsidR="000C0DC5" w:rsidRPr="00020093" w:rsidRDefault="000C0DC5" w:rsidP="000C0DC5">
      <w:pPr>
        <w:spacing w:line="240" w:lineRule="auto"/>
        <w:ind w:firstLine="0"/>
      </w:pPr>
      <w:r w:rsidRPr="00020093">
        <w:t xml:space="preserve">ARIÉS, </w:t>
      </w:r>
      <w:proofErr w:type="spellStart"/>
      <w:r w:rsidRPr="00020093">
        <w:t>Phillipe</w:t>
      </w:r>
      <w:proofErr w:type="spellEnd"/>
      <w:r w:rsidRPr="00020093">
        <w:t xml:space="preserve">; DUBY, George. </w:t>
      </w:r>
      <w:r w:rsidRPr="00020093">
        <w:rPr>
          <w:b/>
        </w:rPr>
        <w:t>História das Mulheres no Ocidente</w:t>
      </w:r>
      <w:r w:rsidRPr="00020093">
        <w:t>. Porto: Edições Afrontamento, 2004.</w:t>
      </w:r>
    </w:p>
    <w:p w:rsidR="000C0DC5" w:rsidRPr="00020093" w:rsidRDefault="000C0DC5" w:rsidP="000C0DC5">
      <w:pPr>
        <w:spacing w:line="240" w:lineRule="auto"/>
        <w:ind w:firstLine="0"/>
      </w:pPr>
    </w:p>
    <w:p w:rsidR="000C0DC5" w:rsidRPr="00020093" w:rsidRDefault="000C0DC5" w:rsidP="000C0DC5">
      <w:pPr>
        <w:pStyle w:val="NormalWeb"/>
        <w:shd w:val="clear" w:color="auto" w:fill="FFFFFF"/>
        <w:spacing w:before="0" w:beforeAutospacing="0" w:after="0" w:afterAutospacing="0" w:line="240" w:lineRule="auto"/>
        <w:ind w:firstLine="0"/>
      </w:pPr>
      <w:r w:rsidRPr="00020093">
        <w:t xml:space="preserve">ARON, Raymond. </w:t>
      </w:r>
      <w:r w:rsidRPr="00020093">
        <w:rPr>
          <w:b/>
        </w:rPr>
        <w:t>Estudos Políticos</w:t>
      </w:r>
      <w:r w:rsidRPr="00020093">
        <w:t>. Brasília: Editora da Universidade de Brasília, 1985.</w:t>
      </w:r>
    </w:p>
    <w:p w:rsidR="000C0DC5" w:rsidRPr="00020093" w:rsidRDefault="000C0DC5" w:rsidP="000C0DC5">
      <w:pPr>
        <w:pStyle w:val="NormalWeb"/>
        <w:shd w:val="clear" w:color="auto" w:fill="FFFFFF"/>
        <w:spacing w:before="0" w:beforeAutospacing="0" w:after="0" w:afterAutospacing="0" w:line="240" w:lineRule="auto"/>
        <w:ind w:firstLine="0"/>
      </w:pPr>
    </w:p>
    <w:p w:rsidR="000C0DC5" w:rsidRPr="00020093" w:rsidRDefault="000C0DC5" w:rsidP="000C0DC5">
      <w:pPr>
        <w:autoSpaceDE w:val="0"/>
        <w:autoSpaceDN w:val="0"/>
        <w:adjustRightInd w:val="0"/>
        <w:spacing w:line="240" w:lineRule="auto"/>
        <w:ind w:firstLine="0"/>
      </w:pPr>
    </w:p>
    <w:p w:rsidR="000C0DC5" w:rsidRPr="00020093" w:rsidRDefault="000C0DC5" w:rsidP="000C0DC5">
      <w:pPr>
        <w:autoSpaceDE w:val="0"/>
        <w:autoSpaceDN w:val="0"/>
        <w:adjustRightInd w:val="0"/>
        <w:spacing w:line="240" w:lineRule="auto"/>
        <w:ind w:firstLine="0"/>
        <w:rPr>
          <w:rFonts w:eastAsia="Calibri"/>
        </w:rPr>
      </w:pPr>
      <w:r w:rsidRPr="00020093">
        <w:rPr>
          <w:rFonts w:eastAsia="Calibri"/>
        </w:rPr>
        <w:t xml:space="preserve">BRASIL. </w:t>
      </w:r>
      <w:r w:rsidRPr="00020093">
        <w:rPr>
          <w:rFonts w:eastAsia="Calibri"/>
          <w:bCs/>
        </w:rPr>
        <w:t xml:space="preserve">Lei Nº 11.326, de 24 de </w:t>
      </w:r>
      <w:proofErr w:type="gramStart"/>
      <w:r w:rsidRPr="00020093">
        <w:rPr>
          <w:rFonts w:eastAsia="Calibri"/>
          <w:bCs/>
        </w:rPr>
        <w:t>Julho</w:t>
      </w:r>
      <w:proofErr w:type="gramEnd"/>
      <w:r w:rsidRPr="00020093">
        <w:rPr>
          <w:rFonts w:eastAsia="Calibri"/>
          <w:bCs/>
        </w:rPr>
        <w:t xml:space="preserve"> de 2006</w:t>
      </w:r>
      <w:r w:rsidRPr="00020093">
        <w:rPr>
          <w:rFonts w:eastAsia="Calibri"/>
          <w:b/>
          <w:bCs/>
        </w:rPr>
        <w:t xml:space="preserve">. </w:t>
      </w:r>
      <w:r w:rsidRPr="00020093">
        <w:rPr>
          <w:rFonts w:eastAsia="Calibri"/>
        </w:rPr>
        <w:t>Estabelece as diretrizes para a formulação da Política Nacional da Agricultura Familiar e Empreendimentos Familiares Rurais. Disponível em: &lt; http://www.planalto.gov.br/ccivil_03/_Ato2004-2006/2006/Lei/L11326.htm &gt;. Acesso em: maio, 2018.</w:t>
      </w:r>
    </w:p>
    <w:p w:rsidR="000C0DC5" w:rsidRPr="00020093" w:rsidRDefault="000C0DC5" w:rsidP="000C0DC5">
      <w:pPr>
        <w:autoSpaceDE w:val="0"/>
        <w:autoSpaceDN w:val="0"/>
        <w:adjustRightInd w:val="0"/>
        <w:spacing w:line="240" w:lineRule="auto"/>
        <w:ind w:firstLine="0"/>
        <w:rPr>
          <w:rFonts w:eastAsia="Calibri"/>
        </w:rPr>
      </w:pPr>
    </w:p>
    <w:p w:rsidR="000C0DC5" w:rsidRPr="00020093" w:rsidRDefault="000C0DC5" w:rsidP="000C0DC5">
      <w:pPr>
        <w:autoSpaceDE w:val="0"/>
        <w:autoSpaceDN w:val="0"/>
        <w:adjustRightInd w:val="0"/>
        <w:spacing w:line="240" w:lineRule="auto"/>
        <w:ind w:firstLine="0"/>
      </w:pPr>
      <w:r w:rsidRPr="00020093">
        <w:rPr>
          <w:rFonts w:eastAsia="Calibri"/>
        </w:rPr>
        <w:t>BRASIL. Lei 11.947 de 16 de junho, 2009.   Dispõe sobre o atendimento da alimentação escolar e do Programa Dinheiro Direto na Escola aos alunos da educação básica; altera as Leis nos 10.880, de 9 de junho de 2004, 11.273, de 6 de fevereiro de 2006, 11.507, de 20 de julho de 2007; revoga dispositivos da Medida Provisória no 2.178-36, de 24 de agosto de 2001, e a Lei no 8.913, de 12 de julho de 1994; e dá outras providências.</w:t>
      </w:r>
      <w:r w:rsidRPr="00020093">
        <w:t xml:space="preserve"> Brasília, </w:t>
      </w:r>
      <w:proofErr w:type="gramStart"/>
      <w:r w:rsidRPr="00020093">
        <w:t>16  de</w:t>
      </w:r>
      <w:proofErr w:type="gramEnd"/>
      <w:r w:rsidRPr="00020093">
        <w:t xml:space="preserve"> junho de 2009; 188</w:t>
      </w:r>
      <w:r w:rsidRPr="00020093">
        <w:rPr>
          <w:u w:val="single"/>
          <w:vertAlign w:val="superscript"/>
        </w:rPr>
        <w:t>o</w:t>
      </w:r>
      <w:r w:rsidRPr="00020093">
        <w:t> da Independência e 121</w:t>
      </w:r>
      <w:r w:rsidRPr="00020093">
        <w:rPr>
          <w:u w:val="single"/>
          <w:vertAlign w:val="superscript"/>
        </w:rPr>
        <w:t>o</w:t>
      </w:r>
      <w:r w:rsidRPr="00020093">
        <w:t xml:space="preserve"> da República. Disponível em:&lt; </w:t>
      </w:r>
      <w:hyperlink r:id="rId6" w:history="1">
        <w:r w:rsidRPr="00020093">
          <w:rPr>
            <w:rStyle w:val="Hyperlink"/>
          </w:rPr>
          <w:t>http://www.planalto.gov.br/ccivil_03/_ato2007-2010/2009/lei/l11947.htm</w:t>
        </w:r>
      </w:hyperlink>
      <w:r w:rsidRPr="00020093">
        <w:t>&gt;. Acesso em: jun., 2017.</w:t>
      </w:r>
    </w:p>
    <w:p w:rsidR="000C0DC5" w:rsidRPr="00020093" w:rsidRDefault="000C0DC5" w:rsidP="000C0DC5">
      <w:pPr>
        <w:autoSpaceDE w:val="0"/>
        <w:autoSpaceDN w:val="0"/>
        <w:adjustRightInd w:val="0"/>
        <w:spacing w:line="240" w:lineRule="auto"/>
        <w:ind w:firstLine="0"/>
        <w:rPr>
          <w:rFonts w:eastAsia="Calibri"/>
        </w:rPr>
      </w:pPr>
    </w:p>
    <w:p w:rsidR="000C0DC5" w:rsidRPr="00020093" w:rsidRDefault="000C0DC5" w:rsidP="000C0DC5">
      <w:pPr>
        <w:pStyle w:val="NormalWeb"/>
        <w:spacing w:before="0" w:beforeAutospacing="0" w:after="0" w:afterAutospacing="0" w:line="240" w:lineRule="auto"/>
        <w:ind w:firstLine="0"/>
        <w:rPr>
          <w:shd w:val="clear" w:color="auto" w:fill="FFFFFF"/>
        </w:rPr>
      </w:pPr>
      <w:r w:rsidRPr="00020093">
        <w:rPr>
          <w:rFonts w:eastAsia="Calibri"/>
        </w:rPr>
        <w:t>BRASIL. Lei Nº 10.696, de 2 de julho de 2003. D</w:t>
      </w:r>
      <w:r w:rsidRPr="00020093">
        <w:t>ispõe sobre a repactuação e o alongamento de dívidas oriundas de operações de crédito rural, e dá outras providências.</w:t>
      </w:r>
      <w:r w:rsidRPr="00020093">
        <w:rPr>
          <w:shd w:val="clear" w:color="auto" w:fill="FFFFFF"/>
        </w:rPr>
        <w:t xml:space="preserve"> Disponível em: &lt;Brasília, 2 de julho de 2003; 182</w:t>
      </w:r>
      <w:r w:rsidRPr="00020093">
        <w:rPr>
          <w:u w:val="single"/>
          <w:shd w:val="clear" w:color="auto" w:fill="FFFFFF"/>
          <w:vertAlign w:val="superscript"/>
        </w:rPr>
        <w:t>o</w:t>
      </w:r>
      <w:r w:rsidRPr="00020093">
        <w:rPr>
          <w:shd w:val="clear" w:color="auto" w:fill="FFFFFF"/>
        </w:rPr>
        <w:t> da Independência e 115</w:t>
      </w:r>
      <w:r w:rsidRPr="00020093">
        <w:rPr>
          <w:u w:val="single"/>
          <w:shd w:val="clear" w:color="auto" w:fill="FFFFFF"/>
          <w:vertAlign w:val="superscript"/>
        </w:rPr>
        <w:t>o</w:t>
      </w:r>
      <w:r w:rsidRPr="00020093">
        <w:rPr>
          <w:shd w:val="clear" w:color="auto" w:fill="FFFFFF"/>
        </w:rPr>
        <w:t> da República&gt;. Acesso em: maio, 2018.</w:t>
      </w:r>
    </w:p>
    <w:p w:rsidR="000C0DC5" w:rsidRPr="00020093" w:rsidRDefault="000C0DC5" w:rsidP="000C0DC5">
      <w:pPr>
        <w:pStyle w:val="NormalWeb"/>
        <w:spacing w:before="0" w:beforeAutospacing="0" w:after="0" w:afterAutospacing="0" w:line="240" w:lineRule="auto"/>
        <w:ind w:firstLine="0"/>
        <w:rPr>
          <w:shd w:val="clear" w:color="auto" w:fill="FFFFFF"/>
        </w:rPr>
      </w:pPr>
    </w:p>
    <w:p w:rsidR="000C0DC5" w:rsidRPr="00020093" w:rsidRDefault="000C0DC5" w:rsidP="000C0DC5">
      <w:pPr>
        <w:autoSpaceDE w:val="0"/>
        <w:autoSpaceDN w:val="0"/>
        <w:adjustRightInd w:val="0"/>
        <w:spacing w:line="240" w:lineRule="auto"/>
        <w:ind w:firstLine="0"/>
      </w:pPr>
      <w:r w:rsidRPr="00020093">
        <w:t xml:space="preserve">FARIA, </w:t>
      </w:r>
      <w:proofErr w:type="spellStart"/>
      <w:r w:rsidRPr="00020093">
        <w:t>Nalu</w:t>
      </w:r>
      <w:proofErr w:type="spellEnd"/>
      <w:r w:rsidRPr="00020093">
        <w:t xml:space="preserve">. </w:t>
      </w:r>
      <w:r w:rsidRPr="00020093">
        <w:rPr>
          <w:b/>
          <w:bCs/>
        </w:rPr>
        <w:t xml:space="preserve">Análise sobre a participação das mulheres e suas organizações na economia solidária nos Territórios da Cidadania, </w:t>
      </w:r>
      <w:r w:rsidRPr="00020093">
        <w:t>Projeto de Cooperação Técnica</w:t>
      </w:r>
      <w:r w:rsidRPr="00020093">
        <w:rPr>
          <w:b/>
          <w:bCs/>
        </w:rPr>
        <w:t xml:space="preserve"> </w:t>
      </w:r>
      <w:r w:rsidRPr="00020093">
        <w:t>“Apoio às políticas e à participação social no desenvolvimento rural sustentável" – PCT</w:t>
      </w:r>
      <w:r w:rsidRPr="00020093">
        <w:rPr>
          <w:b/>
          <w:bCs/>
        </w:rPr>
        <w:t xml:space="preserve"> </w:t>
      </w:r>
      <w:r w:rsidRPr="00020093">
        <w:t>IICA/MDA – NEAD. Contrato Nº: 108499, março, 2009.</w:t>
      </w:r>
    </w:p>
    <w:p w:rsidR="000C0DC5" w:rsidRPr="00020093" w:rsidRDefault="000C0DC5" w:rsidP="000C0DC5">
      <w:pPr>
        <w:autoSpaceDE w:val="0"/>
        <w:autoSpaceDN w:val="0"/>
        <w:adjustRightInd w:val="0"/>
        <w:spacing w:line="240" w:lineRule="auto"/>
        <w:ind w:firstLine="0"/>
      </w:pPr>
    </w:p>
    <w:p w:rsidR="000C0DC5" w:rsidRPr="00020093" w:rsidRDefault="000C0DC5" w:rsidP="000C0DC5">
      <w:pPr>
        <w:spacing w:line="240" w:lineRule="auto"/>
        <w:ind w:firstLine="0"/>
      </w:pPr>
      <w:r w:rsidRPr="00020093">
        <w:t xml:space="preserve">KRAYCHETE, Gabriel. Viabilidade econômica e sustentabilidade dos empreendimentos econômicos da Economia Solidária: conceitos </w:t>
      </w:r>
      <w:proofErr w:type="gramStart"/>
      <w:r w:rsidRPr="00020093">
        <w:t>básicos In</w:t>
      </w:r>
      <w:proofErr w:type="gramEnd"/>
      <w:r w:rsidRPr="00020093">
        <w:t xml:space="preserve">: </w:t>
      </w:r>
      <w:r w:rsidRPr="00020093">
        <w:rPr>
          <w:b/>
        </w:rPr>
        <w:t>Economia Solidária</w:t>
      </w:r>
      <w:r w:rsidRPr="00020093">
        <w:t xml:space="preserve">. Salvador: </w:t>
      </w:r>
      <w:proofErr w:type="spellStart"/>
      <w:r w:rsidRPr="00020093">
        <w:t>Setre</w:t>
      </w:r>
      <w:proofErr w:type="spellEnd"/>
      <w:r w:rsidRPr="00020093">
        <w:t>, 2011.</w:t>
      </w:r>
    </w:p>
    <w:p w:rsidR="000C0DC5" w:rsidRPr="00020093" w:rsidRDefault="000C0DC5" w:rsidP="000C0DC5">
      <w:pPr>
        <w:spacing w:line="240" w:lineRule="auto"/>
        <w:ind w:firstLine="0"/>
      </w:pPr>
    </w:p>
    <w:p w:rsidR="000C0DC5" w:rsidRPr="00020093" w:rsidRDefault="000C0DC5" w:rsidP="000C0DC5">
      <w:pPr>
        <w:pStyle w:val="NormalWeb"/>
        <w:shd w:val="clear" w:color="auto" w:fill="FFFFFF"/>
        <w:spacing w:before="0" w:beforeAutospacing="0" w:after="0" w:afterAutospacing="0" w:line="240" w:lineRule="auto"/>
        <w:ind w:firstLine="0"/>
      </w:pPr>
    </w:p>
    <w:p w:rsidR="000C0DC5" w:rsidRPr="00020093" w:rsidRDefault="000C0DC5" w:rsidP="000C0DC5">
      <w:pPr>
        <w:autoSpaceDE w:val="0"/>
        <w:autoSpaceDN w:val="0"/>
        <w:adjustRightInd w:val="0"/>
        <w:spacing w:line="240" w:lineRule="auto"/>
        <w:ind w:firstLine="0"/>
      </w:pPr>
      <w:r w:rsidRPr="00020093">
        <w:t xml:space="preserve">MINISTÉRIO DE DESENVOLVIMENTO AGRÁRIO – MDA. </w:t>
      </w:r>
      <w:r w:rsidRPr="00020093">
        <w:rPr>
          <w:b/>
        </w:rPr>
        <w:t>Programa de Aquisição de Alimentos</w:t>
      </w:r>
      <w:r w:rsidRPr="00020093">
        <w:t>. Disponível em:</w:t>
      </w:r>
      <w:r w:rsidRPr="00020093">
        <w:rPr>
          <w:b/>
        </w:rPr>
        <w:t xml:space="preserve"> </w:t>
      </w:r>
      <w:r w:rsidRPr="00020093">
        <w:t>&lt;http://www.mda.gov.br&gt;. Acesso em</w:t>
      </w:r>
      <w:r w:rsidRPr="00020093">
        <w:rPr>
          <w:b/>
          <w:bCs/>
        </w:rPr>
        <w:t xml:space="preserve"> </w:t>
      </w:r>
      <w:r w:rsidRPr="00020093">
        <w:t>08/006/2017.</w:t>
      </w:r>
    </w:p>
    <w:p w:rsidR="000C0DC5" w:rsidRPr="00020093" w:rsidRDefault="000C0DC5" w:rsidP="000C0DC5">
      <w:pPr>
        <w:autoSpaceDE w:val="0"/>
        <w:autoSpaceDN w:val="0"/>
        <w:adjustRightInd w:val="0"/>
        <w:spacing w:line="240" w:lineRule="auto"/>
        <w:ind w:firstLine="0"/>
      </w:pPr>
    </w:p>
    <w:p w:rsidR="000C0DC5" w:rsidRPr="00020093" w:rsidRDefault="000C0DC5" w:rsidP="000C0DC5">
      <w:pPr>
        <w:autoSpaceDE w:val="0"/>
        <w:autoSpaceDN w:val="0"/>
        <w:adjustRightInd w:val="0"/>
        <w:spacing w:line="240" w:lineRule="auto"/>
        <w:ind w:firstLine="0"/>
      </w:pPr>
      <w:r w:rsidRPr="00020093">
        <w:t xml:space="preserve">MINISTÉRIO DE DESENVOLVIMENTO SOCIAL E COMBATE A FOME – MDS. </w:t>
      </w:r>
      <w:r w:rsidRPr="00020093">
        <w:rPr>
          <w:b/>
        </w:rPr>
        <w:t>Programa de Aquisição de Alimentos</w:t>
      </w:r>
      <w:r w:rsidRPr="00020093">
        <w:t>. Disponível em:</w:t>
      </w:r>
      <w:r w:rsidRPr="00020093">
        <w:rPr>
          <w:b/>
        </w:rPr>
        <w:t xml:space="preserve"> </w:t>
      </w:r>
      <w:r w:rsidRPr="00020093">
        <w:t>&lt;http://www.mds.gov.br&gt;. Acesso em</w:t>
      </w:r>
      <w:r w:rsidRPr="00020093">
        <w:rPr>
          <w:b/>
          <w:bCs/>
        </w:rPr>
        <w:t xml:space="preserve">: </w:t>
      </w:r>
      <w:r w:rsidRPr="00020093">
        <w:rPr>
          <w:bCs/>
        </w:rPr>
        <w:t xml:space="preserve">jun., </w:t>
      </w:r>
      <w:r w:rsidRPr="00020093">
        <w:t>2017.</w:t>
      </w:r>
    </w:p>
    <w:p w:rsidR="000C0DC5" w:rsidRPr="00020093" w:rsidRDefault="000C0DC5" w:rsidP="000C0DC5">
      <w:pPr>
        <w:autoSpaceDE w:val="0"/>
        <w:autoSpaceDN w:val="0"/>
        <w:adjustRightInd w:val="0"/>
        <w:spacing w:line="240" w:lineRule="auto"/>
        <w:ind w:firstLine="0"/>
        <w:rPr>
          <w:b/>
          <w:bCs/>
        </w:rPr>
      </w:pPr>
    </w:p>
    <w:p w:rsidR="000C0DC5" w:rsidRPr="00020093" w:rsidRDefault="000C0DC5" w:rsidP="000C0DC5">
      <w:pPr>
        <w:spacing w:line="240" w:lineRule="auto"/>
        <w:ind w:firstLine="0"/>
      </w:pPr>
      <w:r w:rsidRPr="00020093">
        <w:t xml:space="preserve">MINISTÉRIO DO DESENVOLVIMENTO SOCIAL E COMBATE A FOME/Secretaria Nacional de Segurança Alimentar e Nutricional. </w:t>
      </w:r>
      <w:r w:rsidRPr="00020093">
        <w:rPr>
          <w:b/>
          <w:bCs/>
        </w:rPr>
        <w:t>Manual operacional e de orientação ao</w:t>
      </w:r>
      <w:r w:rsidRPr="00020093">
        <w:t xml:space="preserve"> </w:t>
      </w:r>
      <w:r w:rsidRPr="00020093">
        <w:rPr>
          <w:b/>
          <w:bCs/>
        </w:rPr>
        <w:t>Programa de Aquisição de Alimentos – Compra da Agricultura Familiar para</w:t>
      </w:r>
      <w:r w:rsidRPr="00020093">
        <w:t xml:space="preserve"> </w:t>
      </w:r>
      <w:r w:rsidRPr="00020093">
        <w:rPr>
          <w:b/>
          <w:bCs/>
        </w:rPr>
        <w:t>Doação Simultânea – PAA Municipal – Ano 2010</w:t>
      </w:r>
      <w:r w:rsidRPr="00020093">
        <w:t xml:space="preserve">. </w:t>
      </w:r>
      <w:proofErr w:type="spellStart"/>
      <w:proofErr w:type="gramStart"/>
      <w:r w:rsidRPr="00020093">
        <w:t>Brasília:Secretaria</w:t>
      </w:r>
      <w:proofErr w:type="spellEnd"/>
      <w:proofErr w:type="gramEnd"/>
      <w:r w:rsidRPr="00020093">
        <w:t xml:space="preserve"> Nacional de Segurança Alimentar e Nutricional, 2010b. Disponível em: &lt;</w:t>
      </w:r>
      <w:proofErr w:type="spellStart"/>
      <w:r w:rsidRPr="00020093">
        <w:t>htpp</w:t>
      </w:r>
      <w:proofErr w:type="spellEnd"/>
      <w:r w:rsidRPr="00020093">
        <w:t>://www.mds.gov.br/</w:t>
      </w:r>
      <w:proofErr w:type="spellStart"/>
      <w:r w:rsidRPr="00020093">
        <w:t>sesan</w:t>
      </w:r>
      <w:proofErr w:type="spellEnd"/>
      <w:r w:rsidRPr="00020093">
        <w:t xml:space="preserve">&gt;. Acesso em: </w:t>
      </w:r>
      <w:proofErr w:type="gramStart"/>
      <w:r w:rsidRPr="00020093">
        <w:t>nov.,</w:t>
      </w:r>
      <w:proofErr w:type="gramEnd"/>
      <w:r w:rsidRPr="00020093">
        <w:t xml:space="preserve"> 2017.</w:t>
      </w:r>
    </w:p>
    <w:p w:rsidR="000C0DC5" w:rsidRPr="00020093" w:rsidRDefault="000C0DC5" w:rsidP="000C0DC5">
      <w:pPr>
        <w:spacing w:line="240" w:lineRule="auto"/>
        <w:ind w:firstLine="0"/>
      </w:pPr>
    </w:p>
    <w:p w:rsidR="000C0DC5" w:rsidRPr="00020093" w:rsidRDefault="000C0DC5" w:rsidP="000C0DC5">
      <w:pPr>
        <w:pStyle w:val="NormalWeb"/>
        <w:spacing w:before="0" w:beforeAutospacing="0" w:after="0" w:afterAutospacing="0" w:line="240" w:lineRule="auto"/>
        <w:ind w:firstLine="0"/>
        <w:rPr>
          <w:shd w:val="clear" w:color="auto" w:fill="FFFFFF"/>
        </w:rPr>
      </w:pPr>
      <w:r w:rsidRPr="00020093">
        <w:t xml:space="preserve">MINISTÉRIO DO DESENVOLVIMENTO AGRÁRIO CONSELHO NACIONAL DE DESENVOLVIMENTO RURAL SUSTENTÁVEL – CONDRAF. </w:t>
      </w:r>
      <w:r w:rsidRPr="00020093">
        <w:rPr>
          <w:b/>
        </w:rPr>
        <w:t>1ª Conferência Nacional de Desenvolvimento Rural Sustentável e Solidário (I CNDRSS)</w:t>
      </w:r>
      <w:r w:rsidRPr="00020093">
        <w:t xml:space="preserve">, realizada no Centro de Convenções de Pernambuco (em Olinda), no período de 25 a 28 de junho de 2008. Brasília, agosto de 2008.Disponível em: </w:t>
      </w:r>
      <w:hyperlink r:id="rId7" w:history="1">
        <w:r w:rsidRPr="00020093">
          <w:rPr>
            <w:rStyle w:val="Hyperlink"/>
          </w:rPr>
          <w:t>http://www.ipea.gov.br/participacao/images/pdfs/conferencias/Desenvolvimento_Rural_Sustentavel/deliberacoes_1_conferencia_desenvolvimento_rural_sustentavel.pdf</w:t>
        </w:r>
      </w:hyperlink>
      <w:r w:rsidRPr="00020093">
        <w:t>. Acesso em jan.2019.</w:t>
      </w:r>
    </w:p>
    <w:p w:rsidR="000C0DC5" w:rsidRPr="00020093" w:rsidRDefault="000C0DC5" w:rsidP="000C0DC5">
      <w:pPr>
        <w:autoSpaceDE w:val="0"/>
        <w:autoSpaceDN w:val="0"/>
        <w:adjustRightInd w:val="0"/>
        <w:spacing w:line="240" w:lineRule="auto"/>
        <w:ind w:firstLine="0"/>
      </w:pPr>
    </w:p>
    <w:p w:rsidR="000C0DC5" w:rsidRPr="00020093" w:rsidRDefault="000C0DC5" w:rsidP="000C0DC5">
      <w:pPr>
        <w:spacing w:line="240" w:lineRule="auto"/>
        <w:ind w:firstLine="0"/>
        <w:rPr>
          <w:bCs/>
        </w:rPr>
      </w:pPr>
    </w:p>
    <w:p w:rsidR="000C0DC5" w:rsidRPr="00020093" w:rsidRDefault="000C0DC5" w:rsidP="000C0DC5">
      <w:pPr>
        <w:pStyle w:val="NormalWeb"/>
        <w:spacing w:before="0" w:beforeAutospacing="0" w:after="0" w:afterAutospacing="0" w:line="240" w:lineRule="auto"/>
        <w:ind w:firstLine="0"/>
      </w:pPr>
      <w:r w:rsidRPr="00020093">
        <w:rPr>
          <w:rStyle w:val="CitaoHTML"/>
          <w:i w:val="0"/>
        </w:rPr>
        <w:t xml:space="preserve">PAA DATA. </w:t>
      </w:r>
      <w:r w:rsidRPr="00020093">
        <w:rPr>
          <w:rStyle w:val="CitaoHTML"/>
          <w:b/>
          <w:i w:val="0"/>
        </w:rPr>
        <w:t>Secretaria de Avaliação e Gestão da Informação – SAGI. MDS</w:t>
      </w:r>
      <w:r w:rsidRPr="00020093">
        <w:rPr>
          <w:rStyle w:val="CitaoHTML"/>
          <w:i w:val="0"/>
        </w:rPr>
        <w:t>.</w:t>
      </w:r>
      <w:r w:rsidRPr="00020093">
        <w:rPr>
          <w:b/>
          <w:i/>
        </w:rPr>
        <w:t xml:space="preserve"> </w:t>
      </w:r>
      <w:r w:rsidRPr="00020093">
        <w:t>Disponível em:</w:t>
      </w:r>
      <w:r w:rsidRPr="00020093">
        <w:rPr>
          <w:b/>
        </w:rPr>
        <w:t xml:space="preserve"> </w:t>
      </w:r>
      <w:r w:rsidRPr="00020093">
        <w:t>&lt;http://</w:t>
      </w:r>
      <w:r w:rsidRPr="00020093">
        <w:rPr>
          <w:rStyle w:val="CitaoHTML"/>
          <w:i w:val="0"/>
        </w:rPr>
        <w:t>aplicacoes.mds.gov.br/sagi/</w:t>
      </w:r>
      <w:r w:rsidRPr="00020093">
        <w:rPr>
          <w:rStyle w:val="CitaoHTML"/>
          <w:bCs/>
          <w:i w:val="0"/>
        </w:rPr>
        <w:t>paa</w:t>
      </w:r>
      <w:r w:rsidRPr="00020093">
        <w:rPr>
          <w:rStyle w:val="CitaoHTML"/>
          <w:i w:val="0"/>
        </w:rPr>
        <w:t>/</w:t>
      </w:r>
      <w:r w:rsidRPr="00020093">
        <w:rPr>
          <w:i/>
        </w:rPr>
        <w:t xml:space="preserve">&gt;. </w:t>
      </w:r>
      <w:r w:rsidRPr="00020093">
        <w:t>Acesso em</w:t>
      </w:r>
      <w:r w:rsidRPr="00020093">
        <w:rPr>
          <w:bCs/>
        </w:rPr>
        <w:t xml:space="preserve">: jun., </w:t>
      </w:r>
      <w:r w:rsidRPr="00020093">
        <w:t>2017.</w:t>
      </w:r>
    </w:p>
    <w:p w:rsidR="000C0DC5" w:rsidRPr="00020093" w:rsidRDefault="000C0DC5" w:rsidP="000C0DC5">
      <w:pPr>
        <w:pStyle w:val="NormalWeb"/>
        <w:spacing w:before="0" w:beforeAutospacing="0" w:after="0" w:afterAutospacing="0" w:line="240" w:lineRule="auto"/>
        <w:ind w:firstLine="0"/>
        <w:rPr>
          <w:bCs/>
        </w:rPr>
      </w:pPr>
    </w:p>
    <w:p w:rsidR="000C0DC5" w:rsidRPr="00020093" w:rsidRDefault="000C0DC5" w:rsidP="000C0DC5">
      <w:pPr>
        <w:pStyle w:val="NormalWeb"/>
        <w:spacing w:before="0" w:beforeAutospacing="0" w:after="0" w:afterAutospacing="0" w:line="240" w:lineRule="auto"/>
        <w:ind w:firstLine="0"/>
      </w:pPr>
      <w:r w:rsidRPr="00020093">
        <w:rPr>
          <w:bCs/>
        </w:rPr>
        <w:t>SECRETARIA NACIONAL DE SEGURANÇA ALIMENTAR E NUTRICIONAL: PROGRAMA DE AQUISIÇÃO DE ALIMENTO. Resolução nº 44, de 16 de agosto de 2011.</w:t>
      </w:r>
      <w:r w:rsidRPr="00020093">
        <w:t xml:space="preserve"> </w:t>
      </w:r>
      <w:r w:rsidRPr="00020093">
        <w:rPr>
          <w:bCs/>
        </w:rPr>
        <w:t xml:space="preserve">Fomenta o acesso de mulheres ao Programa de Aquisição de Alimentos. </w:t>
      </w:r>
      <w:r w:rsidRPr="00020093">
        <w:rPr>
          <w:b/>
          <w:bCs/>
        </w:rPr>
        <w:t xml:space="preserve">Resolução publicada no DOU </w:t>
      </w:r>
      <w:r w:rsidRPr="00020093">
        <w:rPr>
          <w:bCs/>
        </w:rPr>
        <w:t xml:space="preserve">– Seção 1, de 17 de agosto de 2011. </w:t>
      </w:r>
      <w:r w:rsidRPr="00020093">
        <w:t>Disponível em: &lt;</w:t>
      </w:r>
      <w:hyperlink r:id="rId8" w:history="1">
        <w:r w:rsidRPr="00020093">
          <w:rPr>
            <w:rStyle w:val="Hyperlink"/>
          </w:rPr>
          <w:t>https://www.jusbrasil.com.br/diarios/DOU/&gt; Acesso, jun. 201</w:t>
        </w:r>
      </w:hyperlink>
      <w:r w:rsidRPr="00020093">
        <w:t>7.</w:t>
      </w:r>
    </w:p>
    <w:p w:rsidR="000C0DC5" w:rsidRPr="00020093" w:rsidRDefault="000C0DC5" w:rsidP="000C0DC5">
      <w:pPr>
        <w:spacing w:line="240" w:lineRule="auto"/>
        <w:ind w:firstLine="0"/>
        <w:jc w:val="left"/>
      </w:pPr>
    </w:p>
    <w:p w:rsidR="000C0DC5" w:rsidRPr="00BB19BC" w:rsidRDefault="000C0DC5" w:rsidP="000C0DC5"/>
    <w:p w:rsidR="000C0DC5" w:rsidRPr="00BB19BC" w:rsidRDefault="000C0DC5" w:rsidP="000C0DC5"/>
    <w:bookmarkEnd w:id="0"/>
    <w:p w:rsidR="000C0DC5" w:rsidRDefault="000C0DC5"/>
    <w:sectPr w:rsidR="000C0D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17315"/>
    <w:multiLevelType w:val="hybridMultilevel"/>
    <w:tmpl w:val="964ECC4A"/>
    <w:lvl w:ilvl="0" w:tplc="75B043E4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28"/>
    <w:rsid w:val="000C0DC5"/>
    <w:rsid w:val="002212EF"/>
    <w:rsid w:val="00412C28"/>
    <w:rsid w:val="00A3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463BB-B06F-41EE-80A6-BB8F1148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C2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C0D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12C28"/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412C28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PargrafodaLista">
    <w:name w:val="List Paragraph"/>
    <w:basedOn w:val="Normal"/>
    <w:uiPriority w:val="34"/>
    <w:qFormat/>
    <w:rsid w:val="00412C28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412C28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412C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1">
    <w:name w:val="texto1"/>
    <w:rsid w:val="00412C28"/>
    <w:rPr>
      <w:b w:val="0"/>
      <w:bCs w:val="0"/>
      <w:color w:val="333333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0C0DC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Forte">
    <w:name w:val="Strong"/>
    <w:uiPriority w:val="22"/>
    <w:qFormat/>
    <w:rsid w:val="000C0DC5"/>
    <w:rPr>
      <w:b/>
      <w:bCs/>
    </w:rPr>
  </w:style>
  <w:style w:type="paragraph" w:styleId="NormalWeb">
    <w:name w:val="Normal (Web)"/>
    <w:aliases w:val="webb, webb"/>
    <w:basedOn w:val="Normal"/>
    <w:link w:val="NormalWebChar"/>
    <w:qFormat/>
    <w:rsid w:val="000C0DC5"/>
    <w:pPr>
      <w:spacing w:before="100" w:beforeAutospacing="1" w:after="100" w:afterAutospacing="1"/>
    </w:pPr>
  </w:style>
  <w:style w:type="character" w:styleId="Hyperlink">
    <w:name w:val="Hyperlink"/>
    <w:uiPriority w:val="99"/>
    <w:rsid w:val="000C0DC5"/>
    <w:rPr>
      <w:color w:val="0000FF"/>
      <w:u w:val="single"/>
    </w:rPr>
  </w:style>
  <w:style w:type="character" w:styleId="CitaoHTML">
    <w:name w:val="HTML Cite"/>
    <w:uiPriority w:val="99"/>
    <w:unhideWhenUsed/>
    <w:rsid w:val="000C0DC5"/>
    <w:rPr>
      <w:i/>
      <w:iCs/>
    </w:rPr>
  </w:style>
  <w:style w:type="character" w:customStyle="1" w:styleId="NormalWebChar">
    <w:name w:val="Normal (Web) Char"/>
    <w:aliases w:val="webb Char, webb Char"/>
    <w:link w:val="NormalWeb"/>
    <w:locked/>
    <w:rsid w:val="000C0DC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brasil.com.br/diarios/DOU/%3e%20Acesso,%20jun.%202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ea.gov.br/participacao/images/pdfs/conferencias/Desenvolvimento_Rural_Sustentavel/deliberacoes_1_conferencia_desenvolvimento_rural_sustentave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alto.gov.br/ccivil_03/_ato2007-2010/2009/lei/l11947.ht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2720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2023-01-02T13:46:00Z</dcterms:created>
  <dcterms:modified xsi:type="dcterms:W3CDTF">2023-01-02T14:25:00Z</dcterms:modified>
</cp:coreProperties>
</file>