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RESPONSABILIDADE CIVIL NA DISSOLUÇÃO DO CASAMENTO: </w:t>
      </w:r>
      <w:r>
        <w:rPr>
          <w:rFonts w:cs="Times New Roman" w:ascii="Times New Roman" w:hAnsi="Times New Roman"/>
          <w:sz w:val="24"/>
          <w:szCs w:val="24"/>
        </w:rPr>
        <w:t xml:space="preserve">Danos morais e Materiais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Francislaine Gomes dos Santos </w:t>
      </w:r>
      <w:r>
        <w:rPr>
          <w:rStyle w:val="Ncoradanotaderodap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RESUMO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presente artigo discutirá o seguinte tema: responsabilidade civil na dissolução do casamento: danos morais e materiais. O casamento consiste em um tipo de contrato caracterizado como solene, formal e personalíssimo. Nos primórdios da sociedade, o casamento era apenas um negócio, isto é, as pessoas se casavam com o intuito de perpetuação da família. Hodiernamente, o casamento se constitui alicerçado na afetividade. Deste modo, o estudo se desenvolve a partir da seguinte problemática:</w:t>
      </w:r>
      <w:r>
        <w:rPr>
          <w:rFonts w:ascii="Times New Roman" w:hAnsi="Times New Roman"/>
          <w:sz w:val="24"/>
          <w:szCs w:val="24"/>
        </w:rPr>
        <w:t xml:space="preserve"> é possível pleitear indenização a título de danos morais e materiais em decorrência de injusta agressão havida dentro do casamento? Neste sentido, já existe um entendimento jurisprudencial e doutrinário em que, se comprovada a existência de condutas que atinjam a personalidade durante a permanência da união, a parte lesada poderá pleitear indenização a título de danos morais e materiais. Genericamente, o estudo tem como objetivo analisar a possibilidade de se pleitear ação de indenização a título de danos morais e materiais em caso de violência durante a permanência do casamento. Tem como objetivo específico delinear o panorama histórico do casamento no Brasil e aspectos contemporâneos; estudar todos os aspectos doutrinários e legais do divórcio e, por derradeiro, analisar decisões jurisprudenciais que ilustrem a possibilidade de se pleitear ação indenizatória em função de dissolução conjugal ocorrida por injusta agressão. O método de abordagem no estudo é o dedutivo, fundamentado na pesquisa bibliográfica e documental. O trabalho tem como justificativa demonstrar os impactos psíquicos em decorrência da agressão e como o cônjuge vitimado pode reparar o dano.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sz w:val="24"/>
          <w:szCs w:val="24"/>
        </w:rPr>
        <w:t>Casamento.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Dano. Moral. Material.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INTRODUÇÃO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trabalho adotou a seguinte temática: responsabilidade civil na dissolução do casamento: danos morais e materiais. De modo que para adentrar na temática far-se-á necessário fazer uma breve explanação do matrimônio e alguns aspectos relacionados a legislação brasileira. </w:t>
      </w:r>
    </w:p>
    <w:p>
      <w:pPr>
        <w:pStyle w:val="ListParagraph"/>
        <w:spacing w:lineRule="auto" w:line="360" w:before="0" w:after="0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Todos os aspectos legais do matrimônio encontram-se disciplinados no Código Civil. Juridicamente o matrimônio ou casamento trata-se da união de duas pessoas, em consonância com a legislação vigente, com o intuito de se reproduzirem e se ajudarem mutuamente no desenvolvimento familiar. </w:t>
      </w:r>
    </w:p>
    <w:p>
      <w:pPr>
        <w:pStyle w:val="ListParagraph"/>
        <w:spacing w:lineRule="auto" w:line="360" w:before="0" w:after="0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matrimônio pode ser constituído em alguns regimes, quais sejam: comunhão parcial; comunhão universal; participação final nos aquestos e separação convencional de bens. Deste modo, indaga-se: é possível pleitear indenização a título de danos morais e materiais em decorrência de injusta agressão havida dentro do casamento?</w:t>
      </w:r>
    </w:p>
    <w:p>
      <w:pPr>
        <w:pStyle w:val="ListParagraph"/>
        <w:spacing w:lineRule="auto" w:line="360" w:before="0" w:after="0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reputado como hipótese que existe um entendimento doutrinário e jurisprudencial que atesta que violência moral, física ou psíquica, ou seja, condutas que atinjam a personalidade, pode ensejar a reparação moral e material. Insta salientar que essa que essa reparação é cabível não por força de quebra de deveres conjugais, mas sim pela ilicitude da conduta. </w:t>
      </w:r>
    </w:p>
    <w:p>
      <w:pPr>
        <w:pStyle w:val="ListParagraph"/>
        <w:spacing w:lineRule="auto" w:line="360" w:before="0" w:after="0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trabalho tem como objetivo geral analisar a possibilidade de se pleitear ação indenizatória a título de danos morais e materiais por dissolução do casamento em decorrência de condutas que atinjam a personalidade. Especificamente, objetiva-se: delinear o panorama histórico do casamento no Brasil e aspectos contemporâneos; estudar todos os aspectos doutrinários e legais do divórcio e, por derradeiro, analisar decisões jurisprudenciais que ilustrem a possibilidade de se pleitear ação indenizatória em função de dissolução conjugal ocorrida por agressão.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METODOLOGIA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pesquisa será bibliográfica e tem como marco teórico os seguintes dispositivos legais: Código Civil de 2002, o Código de Processo Civil, Código Penal e a Lei 6.15 de 26 de dezembro de 1977, bem como artigos científicos e obras acadêmicas atinentes ao tema em comento.</w:t>
      </w:r>
    </w:p>
    <w:p>
      <w:pPr>
        <w:pStyle w:val="Normal"/>
        <w:spacing w:lineRule="auto" w:line="36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artigos científicos que serão selecionados estarão em português. A busca será realizada em portais acadêmicos como, Scielo, Google Acadêmico e repositórios. Durante a escolha dos artigos serão utilizadas as seguintes palavras-chave: casamento, divórcio, indenização e danos. As obras selecionadas serão aquelas que apresentarem melhor adequação ao tema.</w:t>
      </w:r>
    </w:p>
    <w:p>
      <w:pPr>
        <w:pStyle w:val="Normal"/>
        <w:spacing w:lineRule="auto" w:line="36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Serão estudados os aspectos jurídicos relacionados ao casamento, divórcio e o cabimento de indenização a título de danos morais e materiais em caso de separação por injusta agressão. A pesquisa será realizada durante o primeiro semestre do ano de 2021, no Instituto Luterano de Ensino de Itumbiara – ILES ULBRA. O trabalho tem como método de abordagem o método dedutivo, onde, com base em teorias e leis constrói uma análise e explicação dos fenômenos particulares.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DESENVOLVIMENTO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PANORAMA HISTÓRICO DO CASAMENTO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notório que o casamento é um dos institutos mais relevantes no âmbito do Direito de Família. Assim como a família, o casamento é uma entidade histórica e sua noção foi sendo construída no passar dos séculos. Com relação ao começo da evolução do casamento, tem-se:</w:t>
      </w:r>
    </w:p>
    <w:p>
      <w:pPr>
        <w:pStyle w:val="Normal"/>
        <w:spacing w:lineRule="auto" w:line="36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268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Por muito tempo na história da civilização, inclusive durante toda a Idade Média, em todas as classes o casamento independia de qualquer conotação afetiva, ou seja, o casamento era instituto obrigatório com a única finalidade de constituir família e gerar filhos para dar continuidade ao nome da família, independente de afeto ou não entre os nubentes.</w:t>
      </w:r>
      <w:r>
        <w:rPr>
          <w:rStyle w:val="Ncoradanotaderodap"/>
          <w:rFonts w:ascii="Times New Roman" w:hAnsi="Times New Roman"/>
          <w:sz w:val="20"/>
          <w:szCs w:val="20"/>
        </w:rPr>
        <w:footnoteReference w:id="3"/>
      </w:r>
    </w:p>
    <w:p>
      <w:pPr>
        <w:pStyle w:val="Normal"/>
        <w:spacing w:lineRule="auto" w:line="240" w:before="0" w:after="0"/>
        <w:ind w:left="2268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Depreende-se que nos primórdios da formação da sociedade, o casamento não era realizado pautado em qualquer sentimento ou afetividade. Muito pelo contrário, o casamento era enxergado como um negócio e sua finalidade era exclusivamente a constituição de uma família e a reprodução. </w:t>
      </w:r>
    </w:p>
    <w:p>
      <w:pPr>
        <w:pStyle w:val="Normal"/>
        <w:spacing w:lineRule="auto" w:line="36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Seguindo a mesma perspectiva, Tânia Rocha Andrade Cunha e Ivana Patrícia da Silva asseverou que durante a antiguidade e a Idade Média, o casamento era considerado um negócio, além de manter a família e a reprodução, ainda tinha como escopo atender os interesses da família e manter a condição financeira das mesmas. </w:t>
      </w:r>
      <w:r>
        <w:rPr>
          <w:rFonts w:ascii="Times New Roman" w:hAnsi="Times New Roman"/>
          <w:i/>
          <w:sz w:val="24"/>
          <w:szCs w:val="24"/>
        </w:rPr>
        <w:t>In verbis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Ncoradanotaderodap"/>
          <w:rFonts w:ascii="Times New Roman" w:hAnsi="Times New Roman"/>
          <w:sz w:val="24"/>
          <w:szCs w:val="24"/>
        </w:rPr>
        <w:footnoteReference w:id="4"/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268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antiguidade à idade média, eram os pais que cuidavam do casamento dos filhos. Tratava-se de um negócio de família, um contrato que dois indivíduos faziam não visando o prazer, mas atender os interesses de suas famílias, as quais reconheciam que a garantia da igualdade econômica entre os cônjuges era fundamental para a preservação de suas fortunas.</w:t>
      </w:r>
      <w:r>
        <w:rPr>
          <w:rStyle w:val="Ncoradanotaderodap"/>
          <w:rFonts w:ascii="Times New Roman" w:hAnsi="Times New Roman"/>
          <w:sz w:val="20"/>
          <w:szCs w:val="20"/>
        </w:rPr>
        <w:footnoteReference w:id="5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Vislumbra-se que naquela época, não se tinha preocupação alguma com a existência de algum sentimento ou aspecto de conotação afetiva para constituir o casamento. Preocupava-se exclusivamente na perpetuação da espécie e da família e na situação financeira que iria se manter a partir do matrimônio. </w:t>
      </w:r>
    </w:p>
    <w:p>
      <w:pPr>
        <w:pStyle w:val="Normal"/>
        <w:spacing w:lineRule="auto" w:line="360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Santo Agostinho foi um dos filósofos e teólogos mais conhecidos nos primeiros séculos do cristianismo e em suas lições, contemplou o instituto do casamento. Para Santo Agostinho, o casamento possuía duas únicas finalidades: a procriação e cuidado aos filhos. O prazer estaria então relacionado ao pecado e a força do desejo seria de origem Satânica e não divina. </w:t>
      </w:r>
      <w:r>
        <w:rPr>
          <w:rStyle w:val="Ncoradanotaderodap"/>
          <w:rFonts w:ascii="Times New Roman" w:hAnsi="Times New Roman"/>
          <w:sz w:val="24"/>
          <w:szCs w:val="24"/>
        </w:rPr>
        <w:footnoteReference w:id="6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CAVALLARI, Alisson. </w:t>
      </w:r>
      <w:r>
        <w:rPr>
          <w:rFonts w:cs="Times New Roman" w:ascii="Times New Roman" w:hAnsi="Times New Roman"/>
          <w:b/>
        </w:rPr>
        <w:t>Do casamento: Aspectos Históricos, Mudanças no Instituto e Responsabilidades Civis</w:t>
      </w:r>
      <w:r>
        <w:rPr>
          <w:rFonts w:cs="Times New Roman" w:ascii="Times New Roman" w:hAnsi="Times New Roman"/>
        </w:rPr>
        <w:t>. Disponível em: &lt;jusbrasil.com.br&gt;. Acesso em: 23/04/2021.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CUNHA, Tânia Rocha Andrade; SILVA, Ivana Patrícia Almeida da. </w:t>
      </w:r>
      <w:r>
        <w:rPr>
          <w:rFonts w:cs="Times New Roman" w:ascii="Times New Roman" w:hAnsi="Times New Roman"/>
          <w:b/>
        </w:rPr>
        <w:t>CASAMENTO: representações, mudanças e permanências a partir do olhar feminino</w:t>
      </w:r>
      <w:r>
        <w:rPr>
          <w:rFonts w:cs="Times New Roman" w:ascii="Times New Roman" w:hAnsi="Times New Roman"/>
        </w:rPr>
        <w:t>. Disponível em: &lt;fg2013.eventos.dype.com.br&gt;. Acesso em: 23/04/2021.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PIORE, Mary Del. Pequena História de amor conjugal no Ocidente Moderno</w:t>
      </w:r>
      <w:r>
        <w:rPr>
          <w:rFonts w:cs="Times New Roman" w:ascii="Times New Roman" w:hAnsi="Times New Roman"/>
          <w:b/>
        </w:rPr>
        <w:t>. Estudos de Religião</w:t>
      </w:r>
      <w:r>
        <w:rPr>
          <w:rFonts w:cs="Times New Roman" w:ascii="Times New Roman" w:hAnsi="Times New Roman"/>
        </w:rPr>
        <w:t>, ano XX, n° 33, jul/dez 2007. Disponível em: &lt;core.uc.uk&gt;. Acesso em: 20/05/2021.</w:t>
      </w:r>
      <w:bookmarkStart w:id="0" w:name="_GoBack"/>
      <w:bookmarkEnd w:id="0"/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jc w:val="both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Acadêmica do curso de bacharelado em direito do Instituto Luterano de Ensino Superior de Itumbiara – ILES ULBRA.</w:t>
      </w:r>
    </w:p>
  </w:footnote>
  <w:footnote w:id="3">
    <w:p>
      <w:pPr>
        <w:pStyle w:val="Notaderodap"/>
        <w:jc w:val="both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CAVALLARI, Alisson. </w:t>
      </w:r>
      <w:r>
        <w:rPr>
          <w:rFonts w:cs="Times New Roman" w:ascii="Times New Roman" w:hAnsi="Times New Roman"/>
          <w:b/>
        </w:rPr>
        <w:t>Do casamento: Aspectos Históricos, Mudanças no Instituto e Responsabilidades Civis</w:t>
      </w:r>
      <w:r>
        <w:rPr>
          <w:rFonts w:cs="Times New Roman" w:ascii="Times New Roman" w:hAnsi="Times New Roman"/>
        </w:rPr>
        <w:t xml:space="preserve">. Disponível em: &lt;jusbrasil.com.br&gt;. Acesso em: 23/04/2021. </w:t>
      </w:r>
    </w:p>
  </w:footnote>
  <w:footnote w:id="4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CUNHA, Tânia Rocha Andrade; SILVA, Ivana Patrícia Almeida da. </w:t>
      </w:r>
      <w:r>
        <w:rPr>
          <w:rFonts w:cs="Times New Roman" w:ascii="Times New Roman" w:hAnsi="Times New Roman"/>
          <w:b/>
        </w:rPr>
        <w:t>CASAMENTO: representações, mudanças e permanências a partir do olhar feminino</w:t>
      </w:r>
      <w:r>
        <w:rPr>
          <w:rFonts w:cs="Times New Roman" w:ascii="Times New Roman" w:hAnsi="Times New Roman"/>
        </w:rPr>
        <w:t>. Disponível em: &lt;fg2013.eventos.dype.com.br&gt;. Acesso em: 23/04/2021.</w:t>
      </w:r>
    </w:p>
  </w:footnote>
  <w:footnote w:id="5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  <w:i/>
        </w:rPr>
        <w:t>Ibid</w:t>
      </w:r>
      <w:r>
        <w:rPr>
          <w:rFonts w:cs="Times New Roman" w:ascii="Times New Roman" w:hAnsi="Times New Roman"/>
        </w:rPr>
        <w:t xml:space="preserve">, p. 2. </w:t>
      </w:r>
    </w:p>
  </w:footnote>
  <w:footnote w:id="6">
    <w:p>
      <w:pPr>
        <w:pStyle w:val="Notaderodap"/>
        <w:jc w:val="both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PIORE, Mary Del. Pequena História de amor conjugal no Ocidente Moderno</w:t>
      </w:r>
      <w:r>
        <w:rPr>
          <w:rFonts w:cs="Times New Roman" w:ascii="Times New Roman" w:hAnsi="Times New Roman"/>
          <w:b/>
        </w:rPr>
        <w:t>. Estudos de Religião</w:t>
      </w:r>
      <w:r>
        <w:rPr>
          <w:rFonts w:cs="Times New Roman" w:ascii="Times New Roman" w:hAnsi="Times New Roman"/>
        </w:rPr>
        <w:t>, ano XX, n° 33, jul/dez 2007. Disponível em: &lt;core.uc.uk&gt;. Acesso em: 20/05/2021.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7162e7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162e7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162e7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7291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EB53-4DF0-439B-8CE8-0A578451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LibreOffice/7.0.1.2$Windows_X86_64 LibreOffice_project/7cbcfc562f6eb6708b5ff7d7397325de9e764452</Application>
  <Pages>3</Pages>
  <Words>1227</Words>
  <Characters>7065</Characters>
  <CharactersWithSpaces>8274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2021-06-18T18:08:00Z</dcterms:created>
  <dc:creator>Idealize Personalizados</dc:creator>
  <dc:description/>
  <dc:language>pt-BR</dc:language>
  <cp:lastModifiedBy>Idealize Personalizados</cp:lastModifiedBy>
  <dcterms:modified xsi:type="dcterms:W3CDTF">2021-06-18T19:38:00Z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