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B5" w:rsidRDefault="009719B5" w:rsidP="009719B5">
      <w:pPr>
        <w:spacing w:line="360" w:lineRule="auto"/>
        <w:ind w:firstLineChars="125" w:firstLine="301"/>
        <w:jc w:val="center"/>
        <w:outlineLvl w:val="0"/>
        <w:rPr>
          <w:b/>
        </w:rPr>
      </w:pPr>
    </w:p>
    <w:p w:rsidR="009719B5" w:rsidRDefault="009719B5" w:rsidP="009719B5">
      <w:pPr>
        <w:spacing w:line="360" w:lineRule="auto"/>
        <w:ind w:firstLineChars="125" w:firstLine="301"/>
        <w:jc w:val="center"/>
        <w:outlineLvl w:val="0"/>
        <w:rPr>
          <w:b/>
        </w:rPr>
      </w:pPr>
      <w:r>
        <w:rPr>
          <w:b/>
        </w:rPr>
        <w:t>UNIDADE ACADÊMICA DE GRADUAÇÃO</w:t>
      </w:r>
    </w:p>
    <w:p w:rsidR="009719B5" w:rsidRDefault="009719B5" w:rsidP="009719B5">
      <w:pPr>
        <w:spacing w:line="360" w:lineRule="auto"/>
        <w:jc w:val="center"/>
        <w:outlineLvl w:val="0"/>
        <w:rPr>
          <w:b/>
        </w:rPr>
      </w:pPr>
    </w:p>
    <w:p w:rsidR="009719B5" w:rsidRPr="00147AA8" w:rsidRDefault="009719B5" w:rsidP="009719B5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</w:rPr>
        <w:t xml:space="preserve">CURSO DE DIREITO </w:t>
      </w:r>
      <w:r>
        <w:rPr>
          <w:b/>
          <w:sz w:val="28"/>
          <w:szCs w:val="28"/>
        </w:rPr>
        <w:t>– 8</w:t>
      </w:r>
      <w:r w:rsidRPr="00147AA8">
        <w:rPr>
          <w:b/>
          <w:sz w:val="28"/>
          <w:szCs w:val="28"/>
        </w:rPr>
        <w:t>º Semestre</w:t>
      </w:r>
    </w:p>
    <w:p w:rsidR="009719B5" w:rsidRDefault="009719B5" w:rsidP="009719B5">
      <w:pPr>
        <w:rPr>
          <w:sz w:val="40"/>
          <w:szCs w:val="40"/>
        </w:rPr>
      </w:pPr>
    </w:p>
    <w:p w:rsidR="009719B5" w:rsidRDefault="009719B5" w:rsidP="009719B5">
      <w:pPr>
        <w:rPr>
          <w:sz w:val="40"/>
          <w:szCs w:val="40"/>
        </w:rPr>
      </w:pPr>
    </w:p>
    <w:p w:rsidR="009719B5" w:rsidRDefault="009719B5" w:rsidP="009719B5">
      <w:pPr>
        <w:rPr>
          <w:sz w:val="40"/>
          <w:szCs w:val="40"/>
        </w:rPr>
      </w:pPr>
    </w:p>
    <w:p w:rsidR="009719B5" w:rsidRDefault="009719B5" w:rsidP="009719B5">
      <w:pPr>
        <w:jc w:val="center"/>
        <w:rPr>
          <w:sz w:val="40"/>
          <w:szCs w:val="40"/>
        </w:rPr>
      </w:pPr>
    </w:p>
    <w:p w:rsidR="009719B5" w:rsidRDefault="009719B5" w:rsidP="009719B5">
      <w:pPr>
        <w:jc w:val="center"/>
        <w:rPr>
          <w:b/>
          <w:sz w:val="40"/>
          <w:szCs w:val="40"/>
        </w:rPr>
      </w:pPr>
    </w:p>
    <w:p w:rsidR="009719B5" w:rsidRDefault="009719B5" w:rsidP="009719B5">
      <w:pPr>
        <w:jc w:val="center"/>
        <w:rPr>
          <w:b/>
          <w:sz w:val="40"/>
          <w:szCs w:val="40"/>
        </w:rPr>
      </w:pPr>
    </w:p>
    <w:p w:rsidR="009719B5" w:rsidRDefault="009719B5" w:rsidP="009719B5">
      <w:pPr>
        <w:jc w:val="center"/>
        <w:rPr>
          <w:b/>
          <w:sz w:val="40"/>
          <w:szCs w:val="40"/>
        </w:rPr>
      </w:pPr>
    </w:p>
    <w:p w:rsidR="009719B5" w:rsidRDefault="009719B5" w:rsidP="009719B5">
      <w:pPr>
        <w:jc w:val="center"/>
        <w:rPr>
          <w:b/>
          <w:sz w:val="40"/>
          <w:szCs w:val="40"/>
        </w:rPr>
      </w:pPr>
    </w:p>
    <w:p w:rsidR="009719B5" w:rsidRPr="00147AA8" w:rsidRDefault="009719B5" w:rsidP="009719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CRIMINOLOGIA</w:t>
      </w:r>
    </w:p>
    <w:p w:rsidR="009719B5" w:rsidRDefault="009719B5" w:rsidP="009719B5">
      <w:pPr>
        <w:jc w:val="center"/>
        <w:rPr>
          <w:b/>
          <w:sz w:val="28"/>
          <w:szCs w:val="28"/>
          <w:shd w:val="clear" w:color="auto" w:fill="FFFFFF"/>
        </w:rPr>
      </w:pPr>
    </w:p>
    <w:p w:rsidR="009719B5" w:rsidRPr="001800E8" w:rsidRDefault="009719B5" w:rsidP="009719B5">
      <w:pPr>
        <w:jc w:val="center"/>
        <w:rPr>
          <w:b/>
          <w:sz w:val="28"/>
          <w:szCs w:val="28"/>
          <w:shd w:val="clear" w:color="auto" w:fill="FFFFFF"/>
        </w:rPr>
      </w:pPr>
      <w:r w:rsidRPr="001800E8">
        <w:rPr>
          <w:b/>
          <w:sz w:val="28"/>
          <w:szCs w:val="28"/>
          <w:shd w:val="clear" w:color="auto" w:fill="FFFFFF"/>
        </w:rPr>
        <w:t>Sugestão Legislativa:</w:t>
      </w:r>
    </w:p>
    <w:p w:rsidR="009719B5" w:rsidRPr="001800E8" w:rsidRDefault="009719B5" w:rsidP="009719B5">
      <w:pPr>
        <w:jc w:val="center"/>
        <w:rPr>
          <w:b/>
          <w:sz w:val="28"/>
          <w:szCs w:val="28"/>
        </w:rPr>
      </w:pPr>
      <w:r w:rsidRPr="001800E8">
        <w:rPr>
          <w:b/>
          <w:sz w:val="28"/>
          <w:szCs w:val="28"/>
          <w:shd w:val="clear" w:color="auto" w:fill="FFFFFF"/>
        </w:rPr>
        <w:t>Torna</w:t>
      </w:r>
      <w:r>
        <w:rPr>
          <w:b/>
          <w:sz w:val="28"/>
          <w:szCs w:val="28"/>
          <w:shd w:val="clear" w:color="auto" w:fill="FFFFFF"/>
        </w:rPr>
        <w:t>r</w:t>
      </w:r>
      <w:r w:rsidRPr="001800E8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a </w:t>
      </w:r>
      <w:r w:rsidRPr="001800E8">
        <w:rPr>
          <w:b/>
          <w:sz w:val="28"/>
          <w:szCs w:val="28"/>
          <w:shd w:val="clear" w:color="auto" w:fill="FFFFFF"/>
        </w:rPr>
        <w:t xml:space="preserve">falsa acusação de estupro </w:t>
      </w:r>
      <w:r>
        <w:rPr>
          <w:b/>
          <w:sz w:val="28"/>
          <w:szCs w:val="28"/>
          <w:shd w:val="clear" w:color="auto" w:fill="FFFFFF"/>
        </w:rPr>
        <w:t xml:space="preserve">em </w:t>
      </w:r>
      <w:r w:rsidRPr="001800E8">
        <w:rPr>
          <w:b/>
          <w:sz w:val="28"/>
          <w:szCs w:val="28"/>
          <w:shd w:val="clear" w:color="auto" w:fill="FFFFFF"/>
        </w:rPr>
        <w:t>crime hediondo e inafiançável</w:t>
      </w:r>
    </w:p>
    <w:p w:rsidR="009719B5" w:rsidRPr="005C1C50" w:rsidRDefault="009719B5" w:rsidP="009719B5">
      <w:pPr>
        <w:ind w:left="2124"/>
        <w:rPr>
          <w:b/>
          <w:sz w:val="28"/>
          <w:szCs w:val="28"/>
        </w:rPr>
      </w:pPr>
    </w:p>
    <w:p w:rsidR="009719B5" w:rsidRPr="00147AA8" w:rsidRDefault="009719B5" w:rsidP="009719B5">
      <w:pPr>
        <w:ind w:left="2124"/>
        <w:rPr>
          <w:b/>
          <w:sz w:val="28"/>
          <w:szCs w:val="28"/>
        </w:rPr>
      </w:pPr>
    </w:p>
    <w:p w:rsidR="009719B5" w:rsidRPr="00147AA8" w:rsidRDefault="009719B5" w:rsidP="009719B5">
      <w:pPr>
        <w:ind w:left="2124"/>
        <w:rPr>
          <w:b/>
          <w:sz w:val="28"/>
          <w:szCs w:val="28"/>
        </w:rPr>
      </w:pPr>
    </w:p>
    <w:p w:rsidR="009719B5" w:rsidRPr="00147AA8" w:rsidRDefault="009719B5" w:rsidP="009719B5">
      <w:pPr>
        <w:rPr>
          <w:b/>
          <w:sz w:val="28"/>
          <w:szCs w:val="28"/>
        </w:rPr>
      </w:pPr>
    </w:p>
    <w:p w:rsidR="009719B5" w:rsidRDefault="009719B5" w:rsidP="009719B5">
      <w:pPr>
        <w:rPr>
          <w:b/>
          <w:sz w:val="28"/>
          <w:szCs w:val="28"/>
        </w:rPr>
      </w:pPr>
      <w:r w:rsidRPr="00147AA8">
        <w:rPr>
          <w:b/>
          <w:sz w:val="28"/>
          <w:szCs w:val="28"/>
        </w:rPr>
        <w:tab/>
      </w:r>
      <w:r w:rsidRPr="00147AA8">
        <w:rPr>
          <w:b/>
          <w:sz w:val="28"/>
          <w:szCs w:val="28"/>
        </w:rPr>
        <w:tab/>
      </w:r>
      <w:r w:rsidRPr="00147AA8">
        <w:rPr>
          <w:b/>
          <w:sz w:val="28"/>
          <w:szCs w:val="28"/>
        </w:rPr>
        <w:tab/>
      </w:r>
      <w:r w:rsidRPr="00147AA8">
        <w:rPr>
          <w:b/>
          <w:sz w:val="28"/>
          <w:szCs w:val="28"/>
        </w:rPr>
        <w:tab/>
      </w:r>
      <w:r w:rsidRPr="00147AA8">
        <w:rPr>
          <w:b/>
          <w:sz w:val="28"/>
          <w:szCs w:val="28"/>
        </w:rPr>
        <w:tab/>
        <w:t xml:space="preserve">       </w:t>
      </w:r>
    </w:p>
    <w:p w:rsidR="009719B5" w:rsidRDefault="009719B5" w:rsidP="009719B5">
      <w:pPr>
        <w:ind w:left="2832" w:firstLine="708"/>
        <w:rPr>
          <w:b/>
          <w:sz w:val="28"/>
          <w:szCs w:val="28"/>
        </w:rPr>
      </w:pPr>
    </w:p>
    <w:p w:rsidR="009719B5" w:rsidRPr="00147AA8" w:rsidRDefault="009719B5" w:rsidP="009719B5">
      <w:pPr>
        <w:ind w:left="4248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Audilene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Damasceno</w:t>
      </w:r>
      <w:proofErr w:type="spellEnd"/>
      <w:r>
        <w:rPr>
          <w:b/>
          <w:sz w:val="28"/>
          <w:szCs w:val="28"/>
          <w:lang w:val="en-US"/>
        </w:rPr>
        <w:t xml:space="preserve"> da Silva</w:t>
      </w:r>
    </w:p>
    <w:p w:rsidR="009719B5" w:rsidRDefault="009719B5" w:rsidP="009719B5">
      <w:pPr>
        <w:rPr>
          <w:b/>
          <w:sz w:val="28"/>
          <w:szCs w:val="28"/>
          <w:lang w:val="en-US"/>
        </w:rPr>
      </w:pPr>
    </w:p>
    <w:p w:rsidR="009719B5" w:rsidRDefault="009719B5" w:rsidP="009719B5">
      <w:pPr>
        <w:rPr>
          <w:b/>
          <w:sz w:val="28"/>
          <w:szCs w:val="28"/>
          <w:lang w:val="en-US"/>
        </w:rPr>
      </w:pPr>
    </w:p>
    <w:p w:rsidR="009719B5" w:rsidRDefault="009719B5" w:rsidP="009719B5">
      <w:pPr>
        <w:rPr>
          <w:b/>
          <w:sz w:val="28"/>
          <w:szCs w:val="28"/>
          <w:lang w:val="en-US"/>
        </w:rPr>
      </w:pPr>
    </w:p>
    <w:p w:rsidR="009719B5" w:rsidRDefault="009719B5" w:rsidP="009719B5">
      <w:pPr>
        <w:rPr>
          <w:b/>
          <w:sz w:val="28"/>
          <w:szCs w:val="28"/>
          <w:lang w:val="en-US"/>
        </w:rPr>
      </w:pPr>
    </w:p>
    <w:p w:rsidR="009719B5" w:rsidRDefault="009719B5" w:rsidP="009719B5">
      <w:pPr>
        <w:rPr>
          <w:b/>
          <w:sz w:val="28"/>
          <w:szCs w:val="28"/>
          <w:lang w:val="en-US"/>
        </w:rPr>
      </w:pPr>
    </w:p>
    <w:p w:rsidR="009719B5" w:rsidRDefault="009719B5" w:rsidP="009719B5">
      <w:pPr>
        <w:rPr>
          <w:b/>
          <w:sz w:val="28"/>
          <w:szCs w:val="28"/>
          <w:lang w:val="en-US"/>
        </w:rPr>
      </w:pPr>
    </w:p>
    <w:p w:rsidR="009719B5" w:rsidRDefault="009719B5" w:rsidP="009719B5">
      <w:pPr>
        <w:rPr>
          <w:b/>
          <w:sz w:val="28"/>
          <w:szCs w:val="28"/>
          <w:lang w:val="en-US"/>
        </w:rPr>
      </w:pPr>
    </w:p>
    <w:p w:rsidR="009719B5" w:rsidRDefault="009719B5" w:rsidP="009719B5">
      <w:pPr>
        <w:rPr>
          <w:b/>
          <w:sz w:val="28"/>
          <w:szCs w:val="28"/>
          <w:lang w:val="en-US"/>
        </w:rPr>
      </w:pPr>
    </w:p>
    <w:p w:rsidR="009719B5" w:rsidRDefault="009719B5" w:rsidP="009719B5">
      <w:pPr>
        <w:jc w:val="center"/>
        <w:rPr>
          <w:b/>
          <w:sz w:val="28"/>
          <w:szCs w:val="28"/>
          <w:lang w:val="en-US"/>
        </w:rPr>
      </w:pPr>
    </w:p>
    <w:p w:rsidR="009719B5" w:rsidRDefault="009719B5" w:rsidP="009719B5">
      <w:pPr>
        <w:jc w:val="center"/>
        <w:rPr>
          <w:b/>
          <w:sz w:val="28"/>
          <w:szCs w:val="28"/>
        </w:rPr>
      </w:pPr>
    </w:p>
    <w:p w:rsidR="009719B5" w:rsidRDefault="009719B5" w:rsidP="009719B5">
      <w:pPr>
        <w:jc w:val="center"/>
        <w:rPr>
          <w:b/>
          <w:sz w:val="28"/>
          <w:szCs w:val="28"/>
        </w:rPr>
      </w:pPr>
    </w:p>
    <w:p w:rsidR="009719B5" w:rsidRDefault="009719B5" w:rsidP="009719B5">
      <w:pPr>
        <w:jc w:val="center"/>
        <w:rPr>
          <w:b/>
          <w:sz w:val="28"/>
          <w:szCs w:val="28"/>
        </w:rPr>
      </w:pPr>
    </w:p>
    <w:p w:rsidR="009719B5" w:rsidRPr="00147AA8" w:rsidRDefault="009719B5" w:rsidP="009719B5">
      <w:pPr>
        <w:jc w:val="center"/>
        <w:rPr>
          <w:b/>
          <w:sz w:val="28"/>
          <w:szCs w:val="28"/>
        </w:rPr>
      </w:pPr>
      <w:r w:rsidRPr="00147AA8">
        <w:rPr>
          <w:b/>
          <w:sz w:val="28"/>
          <w:szCs w:val="28"/>
        </w:rPr>
        <w:t>Juazeiro do Norte – CE</w:t>
      </w:r>
    </w:p>
    <w:p w:rsidR="009719B5" w:rsidRDefault="009719B5" w:rsidP="00971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</w:p>
    <w:p w:rsidR="009719B5" w:rsidRDefault="009719B5" w:rsidP="009719B5">
      <w:pPr>
        <w:jc w:val="center"/>
        <w:rPr>
          <w:b/>
          <w:sz w:val="28"/>
          <w:szCs w:val="28"/>
        </w:rPr>
      </w:pPr>
    </w:p>
    <w:p w:rsidR="009719B5" w:rsidRDefault="009719B5" w:rsidP="009719B5">
      <w:pPr>
        <w:jc w:val="center"/>
        <w:rPr>
          <w:b/>
        </w:rPr>
      </w:pPr>
    </w:p>
    <w:p w:rsidR="009719B5" w:rsidRPr="009B02BB" w:rsidRDefault="009719B5" w:rsidP="009719B5">
      <w:pPr>
        <w:jc w:val="center"/>
        <w:rPr>
          <w:b/>
        </w:rPr>
      </w:pPr>
      <w:r>
        <w:rPr>
          <w:b/>
        </w:rPr>
        <w:t>AUDILENE DAMASCENO DA SILVA</w:t>
      </w: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Default="009719B5" w:rsidP="009719B5">
      <w:pPr>
        <w:spacing w:line="360" w:lineRule="auto"/>
        <w:ind w:firstLineChars="125" w:firstLine="301"/>
        <w:jc w:val="center"/>
        <w:rPr>
          <w:b/>
        </w:rPr>
      </w:pPr>
      <w:bookmarkStart w:id="0" w:name="OLE_LINK2"/>
      <w:r>
        <w:rPr>
          <w:b/>
        </w:rPr>
        <w:t>SUG 7/2017</w:t>
      </w:r>
    </w:p>
    <w:bookmarkEnd w:id="0"/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7C4CE5">
      <w:pPr>
        <w:ind w:left="3402"/>
        <w:jc w:val="both"/>
      </w:pPr>
      <w:r>
        <w:rPr>
          <w:noProof/>
        </w:rPr>
        <w:t xml:space="preserve">Trabalho </w:t>
      </w:r>
      <w:r w:rsidRPr="009B02BB">
        <w:t xml:space="preserve">apresentado </w:t>
      </w:r>
      <w:r>
        <w:t>para nota referente à disciplina de Criminologia. Como uma das</w:t>
      </w:r>
      <w:r w:rsidRPr="009B02BB">
        <w:t xml:space="preserve"> </w:t>
      </w:r>
      <w:r>
        <w:t xml:space="preserve">exigências parciais </w:t>
      </w:r>
      <w:r w:rsidRPr="009B02BB">
        <w:t>para a obtenção</w:t>
      </w:r>
      <w:r>
        <w:t xml:space="preserve"> da nota da segunda avaliação</w:t>
      </w:r>
      <w:r w:rsidRPr="009B02BB">
        <w:t>.</w:t>
      </w:r>
    </w:p>
    <w:p w:rsidR="009719B5" w:rsidRPr="009B02BB" w:rsidRDefault="009719B5" w:rsidP="009719B5">
      <w:pPr>
        <w:ind w:left="3960"/>
        <w:jc w:val="both"/>
      </w:pPr>
    </w:p>
    <w:p w:rsidR="009719B5" w:rsidRPr="009B02BB" w:rsidRDefault="009719B5" w:rsidP="009719B5">
      <w:pPr>
        <w:ind w:left="3960"/>
        <w:jc w:val="both"/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jc w:val="center"/>
        <w:rPr>
          <w:b/>
          <w:sz w:val="28"/>
          <w:szCs w:val="28"/>
        </w:rPr>
      </w:pPr>
    </w:p>
    <w:p w:rsidR="009719B5" w:rsidRPr="009B02BB" w:rsidRDefault="009719B5" w:rsidP="009719B5">
      <w:pPr>
        <w:rPr>
          <w:b/>
          <w:sz w:val="28"/>
          <w:szCs w:val="28"/>
        </w:rPr>
      </w:pPr>
    </w:p>
    <w:p w:rsidR="009719B5" w:rsidRDefault="009719B5" w:rsidP="009719B5">
      <w:pPr>
        <w:jc w:val="center"/>
        <w:rPr>
          <w:b/>
          <w:sz w:val="28"/>
          <w:szCs w:val="28"/>
        </w:rPr>
      </w:pPr>
    </w:p>
    <w:p w:rsidR="009719B5" w:rsidRDefault="009719B5" w:rsidP="009719B5">
      <w:pPr>
        <w:jc w:val="center"/>
        <w:rPr>
          <w:b/>
          <w:sz w:val="28"/>
          <w:szCs w:val="28"/>
        </w:rPr>
      </w:pPr>
    </w:p>
    <w:p w:rsidR="009719B5" w:rsidRDefault="009719B5" w:rsidP="009719B5">
      <w:pPr>
        <w:jc w:val="center"/>
        <w:rPr>
          <w:b/>
          <w:sz w:val="28"/>
          <w:szCs w:val="28"/>
        </w:rPr>
      </w:pPr>
    </w:p>
    <w:p w:rsidR="009719B5" w:rsidRDefault="009719B5" w:rsidP="009719B5">
      <w:pPr>
        <w:jc w:val="center"/>
        <w:rPr>
          <w:b/>
          <w:sz w:val="28"/>
          <w:szCs w:val="28"/>
        </w:rPr>
      </w:pPr>
    </w:p>
    <w:p w:rsidR="009719B5" w:rsidRDefault="009719B5" w:rsidP="009719B5">
      <w:pPr>
        <w:jc w:val="center"/>
        <w:rPr>
          <w:b/>
        </w:rPr>
      </w:pPr>
      <w:r>
        <w:rPr>
          <w:b/>
        </w:rPr>
        <w:t>JUAZEIRO DO NORTE</w:t>
      </w:r>
    </w:p>
    <w:p w:rsidR="009719B5" w:rsidRPr="009B02BB" w:rsidRDefault="009719B5" w:rsidP="009719B5">
      <w:pPr>
        <w:jc w:val="center"/>
        <w:rPr>
          <w:b/>
        </w:rPr>
      </w:pPr>
      <w:r>
        <w:rPr>
          <w:b/>
        </w:rPr>
        <w:t>2018</w:t>
      </w:r>
    </w:p>
    <w:p w:rsidR="009719B5" w:rsidRDefault="009719B5" w:rsidP="009719B5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9719B5" w:rsidRDefault="009719B5" w:rsidP="009719B5">
      <w:pPr>
        <w:jc w:val="center"/>
        <w:rPr>
          <w:b/>
          <w:sz w:val="28"/>
          <w:szCs w:val="28"/>
          <w:shd w:val="clear" w:color="auto" w:fill="FFFFFF"/>
        </w:rPr>
      </w:pPr>
    </w:p>
    <w:p w:rsidR="009719B5" w:rsidRPr="00511623" w:rsidRDefault="009719B5" w:rsidP="009719B5">
      <w:pPr>
        <w:jc w:val="center"/>
        <w:rPr>
          <w:b/>
          <w:sz w:val="28"/>
          <w:szCs w:val="28"/>
          <w:shd w:val="clear" w:color="auto" w:fill="FFFFFF"/>
        </w:rPr>
      </w:pPr>
      <w:r w:rsidRPr="00511623">
        <w:rPr>
          <w:b/>
          <w:sz w:val="28"/>
          <w:szCs w:val="28"/>
          <w:shd w:val="clear" w:color="auto" w:fill="FFFFFF"/>
        </w:rPr>
        <w:lastRenderedPageBreak/>
        <w:t>PARECER</w:t>
      </w:r>
    </w:p>
    <w:p w:rsidR="009719B5" w:rsidRPr="00511623" w:rsidRDefault="009719B5" w:rsidP="009719B5">
      <w:pPr>
        <w:pStyle w:val="SemEspaamento"/>
        <w:rPr>
          <w:shd w:val="clear" w:color="auto" w:fill="FFFFFF"/>
        </w:rPr>
      </w:pPr>
    </w:p>
    <w:p w:rsidR="009719B5" w:rsidRPr="00511623" w:rsidRDefault="009719B5" w:rsidP="009719B5">
      <w:pPr>
        <w:jc w:val="right"/>
        <w:rPr>
          <w:b/>
          <w:sz w:val="28"/>
          <w:szCs w:val="28"/>
          <w:shd w:val="clear" w:color="auto" w:fill="FFFFFF"/>
        </w:rPr>
      </w:pPr>
      <w:r w:rsidRPr="00511623">
        <w:rPr>
          <w:b/>
          <w:sz w:val="28"/>
          <w:szCs w:val="28"/>
          <w:shd w:val="clear" w:color="auto" w:fill="FFFFFF"/>
        </w:rPr>
        <w:t xml:space="preserve">Sugestão Legislativa: </w:t>
      </w:r>
    </w:p>
    <w:p w:rsidR="009719B5" w:rsidRPr="00511623" w:rsidRDefault="009719B5" w:rsidP="009719B5">
      <w:pPr>
        <w:jc w:val="right"/>
        <w:rPr>
          <w:b/>
          <w:sz w:val="28"/>
          <w:szCs w:val="28"/>
          <w:shd w:val="clear" w:color="auto" w:fill="FFFFFF"/>
        </w:rPr>
      </w:pPr>
      <w:r w:rsidRPr="00511623">
        <w:rPr>
          <w:b/>
          <w:sz w:val="28"/>
          <w:szCs w:val="28"/>
          <w:shd w:val="clear" w:color="auto" w:fill="FFFFFF"/>
        </w:rPr>
        <w:t>Torna</w:t>
      </w:r>
      <w:r>
        <w:rPr>
          <w:b/>
          <w:sz w:val="28"/>
          <w:szCs w:val="28"/>
          <w:shd w:val="clear" w:color="auto" w:fill="FFFFFF"/>
        </w:rPr>
        <w:t>r</w:t>
      </w:r>
      <w:r w:rsidRPr="00511623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a </w:t>
      </w:r>
      <w:r w:rsidRPr="00511623">
        <w:rPr>
          <w:b/>
          <w:sz w:val="28"/>
          <w:szCs w:val="28"/>
          <w:shd w:val="clear" w:color="auto" w:fill="FFFFFF"/>
        </w:rPr>
        <w:t xml:space="preserve">falsa acusação de estupro </w:t>
      </w:r>
      <w:r>
        <w:rPr>
          <w:b/>
          <w:sz w:val="28"/>
          <w:szCs w:val="28"/>
          <w:shd w:val="clear" w:color="auto" w:fill="FFFFFF"/>
        </w:rPr>
        <w:t xml:space="preserve">em </w:t>
      </w:r>
      <w:r w:rsidRPr="00511623">
        <w:rPr>
          <w:b/>
          <w:sz w:val="28"/>
          <w:szCs w:val="28"/>
          <w:shd w:val="clear" w:color="auto" w:fill="FFFFFF"/>
        </w:rPr>
        <w:t>crime hediondo e inafiançável</w:t>
      </w:r>
    </w:p>
    <w:p w:rsidR="009719B5" w:rsidRPr="00511623" w:rsidRDefault="009719B5" w:rsidP="009719B5">
      <w:pPr>
        <w:pStyle w:val="SemEspaamen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19B5" w:rsidRPr="00D5541C" w:rsidRDefault="009719B5" w:rsidP="009719B5">
      <w:pPr>
        <w:pStyle w:val="SemEspaamento"/>
      </w:pPr>
    </w:p>
    <w:p w:rsidR="009719B5" w:rsidRPr="00511623" w:rsidRDefault="009719B5" w:rsidP="009719B5">
      <w:pPr>
        <w:pStyle w:val="SemEspaamen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16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RELATÓRIO</w:t>
      </w:r>
    </w:p>
    <w:p w:rsidR="009719B5" w:rsidRPr="00511623" w:rsidRDefault="009719B5" w:rsidP="00712A85">
      <w:pPr>
        <w:pStyle w:val="SemEspaamento"/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9B5" w:rsidRPr="00255D97" w:rsidRDefault="009719B5" w:rsidP="00712A85">
      <w:pPr>
        <w:pStyle w:val="SemEspaamento"/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16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55D97">
        <w:rPr>
          <w:rFonts w:ascii="Times New Roman" w:hAnsi="Times New Roman" w:cs="Times New Roman"/>
          <w:sz w:val="24"/>
          <w:szCs w:val="24"/>
        </w:rPr>
        <w:t>Trata-se da sugestão de n° 7, de 2017</w:t>
      </w:r>
      <w:r>
        <w:rPr>
          <w:rFonts w:ascii="Times New Roman" w:hAnsi="Times New Roman" w:cs="Times New Roman"/>
          <w:sz w:val="24"/>
          <w:szCs w:val="24"/>
        </w:rPr>
        <w:t>, também chamada Ideia Legislativa nº 64.353,</w:t>
      </w:r>
      <w:r w:rsidRPr="00255D97">
        <w:rPr>
          <w:rFonts w:ascii="Times New Roman" w:hAnsi="Times New Roman" w:cs="Times New Roman"/>
          <w:sz w:val="24"/>
          <w:szCs w:val="24"/>
        </w:rPr>
        <w:t xml:space="preserve"> em que sua tramitação teve início na </w:t>
      </w:r>
      <w:r w:rsidRPr="00255D97">
        <w:rPr>
          <w:rFonts w:ascii="Times New Roman" w:hAnsi="Times New Roman" w:cs="Times New Roman"/>
          <w:sz w:val="24"/>
          <w:szCs w:val="24"/>
          <w:shd w:val="clear" w:color="auto" w:fill="FFFFFF"/>
        </w:rPr>
        <w:t>Comissão de Direitos Humanos e Legislação Participativa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sugeriu</w:t>
      </w:r>
      <w:r w:rsidRPr="00255D97">
        <w:rPr>
          <w:rFonts w:ascii="Times New Roman" w:hAnsi="Times New Roman" w:cs="Times New Roman"/>
          <w:sz w:val="24"/>
          <w:szCs w:val="24"/>
        </w:rPr>
        <w:t xml:space="preserve"> a criação de uma Lei para tornar crime </w:t>
      </w:r>
      <w:r w:rsidRPr="00255D97">
        <w:rPr>
          <w:rFonts w:ascii="Times New Roman" w:hAnsi="Times New Roman" w:cs="Times New Roman"/>
          <w:sz w:val="24"/>
          <w:szCs w:val="24"/>
          <w:shd w:val="clear" w:color="auto" w:fill="FFFFFF"/>
        </w:rPr>
        <w:t>hediondo e inafiançável à falsa acusação de estupro.</w:t>
      </w:r>
    </w:p>
    <w:p w:rsidR="009719B5" w:rsidRPr="00255D97" w:rsidRDefault="009719B5" w:rsidP="00712A85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5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A sugestão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foi proposta por </w:t>
      </w:r>
      <w:r w:rsidRPr="00255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Rafael </w:t>
      </w:r>
      <w:proofErr w:type="spellStart"/>
      <w:r w:rsidRPr="00255D97">
        <w:rPr>
          <w:rFonts w:ascii="Times New Roman" w:hAnsi="Times New Roman" w:cs="Times New Roman"/>
          <w:sz w:val="24"/>
          <w:szCs w:val="24"/>
          <w:shd w:val="clear" w:color="auto" w:fill="FFFFFF"/>
        </w:rPr>
        <w:t>Zucco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 </w:t>
      </w:r>
      <w:r w:rsidRPr="00255D97">
        <w:rPr>
          <w:rFonts w:ascii="Times New Roman" w:hAnsi="Times New Roman" w:cs="Times New Roman"/>
          <w:sz w:val="24"/>
          <w:szCs w:val="24"/>
          <w:shd w:val="clear" w:color="auto" w:fill="FFFFFF"/>
        </w:rPr>
        <w:t>contou com o apoio de mais de 20 mil cidadãos através do portal e Cidadania, sendo em seguida encaminhada para a CDH para anális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e. </w:t>
      </w:r>
    </w:p>
    <w:p w:rsidR="009719B5" w:rsidRDefault="009719B5" w:rsidP="00712A85">
      <w:pPr>
        <w:pStyle w:val="SemEspaamento"/>
        <w:spacing w:line="360" w:lineRule="auto"/>
        <w:rPr>
          <w:shd w:val="clear" w:color="auto" w:fill="FFFFFF"/>
        </w:rPr>
      </w:pPr>
    </w:p>
    <w:p w:rsidR="009719B5" w:rsidRPr="001800E8" w:rsidRDefault="009719B5" w:rsidP="009719B5">
      <w:pPr>
        <w:shd w:val="clear" w:color="auto" w:fill="FFFFFF"/>
        <w:jc w:val="both"/>
        <w:rPr>
          <w:b/>
          <w:shd w:val="clear" w:color="auto" w:fill="FFFFFF"/>
        </w:rPr>
      </w:pPr>
      <w:r w:rsidRPr="001800E8">
        <w:rPr>
          <w:b/>
          <w:shd w:val="clear" w:color="auto" w:fill="FFFFFF"/>
        </w:rPr>
        <w:t>FUNDAMENTAÇÃO</w:t>
      </w:r>
    </w:p>
    <w:p w:rsidR="009719B5" w:rsidRPr="001800E8" w:rsidRDefault="009719B5" w:rsidP="009719B5">
      <w:pPr>
        <w:pStyle w:val="SemEspaamento"/>
        <w:rPr>
          <w:shd w:val="clear" w:color="auto" w:fill="FFFFFF"/>
        </w:rPr>
      </w:pPr>
    </w:p>
    <w:p w:rsidR="009719B5" w:rsidRPr="00255D97" w:rsidRDefault="009719B5" w:rsidP="00712A85">
      <w:pPr>
        <w:pStyle w:val="NormalWeb"/>
        <w:shd w:val="clear" w:color="auto" w:fill="FFFFFF"/>
        <w:tabs>
          <w:tab w:val="left" w:pos="851"/>
          <w:tab w:val="left" w:pos="993"/>
        </w:tabs>
        <w:spacing w:before="0" w:beforeAutospacing="0" w:after="288" w:afterAutospacing="0" w:line="360" w:lineRule="auto"/>
        <w:jc w:val="both"/>
      </w:pPr>
      <w:r w:rsidRPr="001800E8">
        <w:rPr>
          <w:shd w:val="clear" w:color="auto" w:fill="FFFFFF"/>
        </w:rPr>
        <w:t xml:space="preserve">             </w:t>
      </w:r>
      <w:r w:rsidRPr="00255D97">
        <w:rPr>
          <w:shd w:val="clear" w:color="auto" w:fill="FFFFFF"/>
        </w:rPr>
        <w:t xml:space="preserve">A SUG 7/2017 requer que a pena máxima seja para dez anos quando a acusação for falsa envolvendo o crime de estupro. Crime de estupro </w:t>
      </w:r>
      <w:r>
        <w:rPr>
          <w:shd w:val="clear" w:color="auto" w:fill="FFFFFF"/>
        </w:rPr>
        <w:t xml:space="preserve">está </w:t>
      </w:r>
      <w:r w:rsidRPr="00255D97">
        <w:rPr>
          <w:shd w:val="clear" w:color="auto" w:fill="FFFFFF"/>
        </w:rPr>
        <w:t xml:space="preserve">previsto no Código penal </w:t>
      </w:r>
      <w:r w:rsidRPr="00255D97">
        <w:rPr>
          <w:rStyle w:val="nfase"/>
          <w:i w:val="0"/>
        </w:rPr>
        <w:t>Art. 213. Constranger alguém, mediante </w:t>
      </w:r>
      <w:r>
        <w:rPr>
          <w:rStyle w:val="nfase"/>
          <w:i w:val="0"/>
        </w:rPr>
        <w:t>violência</w:t>
      </w:r>
      <w:r w:rsidRPr="008C262A">
        <w:rPr>
          <w:rStyle w:val="nfase"/>
          <w:i w:val="0"/>
        </w:rPr>
        <w:t> </w:t>
      </w:r>
      <w:r w:rsidRPr="00255D97">
        <w:rPr>
          <w:rStyle w:val="nfase"/>
          <w:i w:val="0"/>
        </w:rPr>
        <w:t xml:space="preserve">ou grave ameaça, a ter conjunção carnal ou a praticar ou permitir que com ele se pratique outro ato libidinoso: </w:t>
      </w:r>
      <w:r w:rsidRPr="00255D97">
        <w:t xml:space="preserve">Pena - reclusão, de seis a 10 dez anos. </w:t>
      </w:r>
      <w:r w:rsidRPr="00255D97">
        <w:rPr>
          <w:shd w:val="clear" w:color="auto" w:fill="FFFFFF"/>
        </w:rPr>
        <w:t xml:space="preserve">O Código também pune a denúncia caluniosa de qualquer crime com até oito anos de reclusão, conforme menciona no artigo 399. </w:t>
      </w:r>
      <w:r w:rsidRPr="00255D97">
        <w:t>Dar causa a instauração de investigação policial ou de processo judicial contra alguém, imputando-lhe crime de que o sabe inocente:</w:t>
      </w:r>
    </w:p>
    <w:p w:rsidR="009719B5" w:rsidRPr="00D1743F" w:rsidRDefault="009719B5" w:rsidP="00053848">
      <w:pPr>
        <w:pStyle w:val="Citao"/>
        <w:ind w:left="2835"/>
        <w:jc w:val="both"/>
        <w:rPr>
          <w:rStyle w:val="nfase"/>
          <w:i/>
          <w:sz w:val="20"/>
          <w:szCs w:val="20"/>
        </w:rPr>
      </w:pPr>
      <w:r w:rsidRPr="00D1743F">
        <w:rPr>
          <w:rStyle w:val="nfase"/>
          <w:sz w:val="20"/>
          <w:szCs w:val="20"/>
        </w:rPr>
        <w:t>Art. 339. Dar causa à instauração de investigação policial, de processo judicial, instauração de investigação administrativa, inquérito civil ou ação de improbidade administrativa contra alguém, imputando-lhe crime de que o sabe inocente</w:t>
      </w:r>
      <w:r>
        <w:rPr>
          <w:rStyle w:val="nfase"/>
          <w:sz w:val="20"/>
          <w:szCs w:val="20"/>
        </w:rPr>
        <w:t>.</w:t>
      </w:r>
    </w:p>
    <w:p w:rsidR="009719B5" w:rsidRPr="00D1743F" w:rsidRDefault="009719B5" w:rsidP="00053848">
      <w:pPr>
        <w:pStyle w:val="Citao"/>
        <w:ind w:left="2835"/>
        <w:jc w:val="both"/>
        <w:rPr>
          <w:rStyle w:val="nfase"/>
          <w:i/>
          <w:sz w:val="20"/>
          <w:szCs w:val="20"/>
        </w:rPr>
      </w:pPr>
      <w:r w:rsidRPr="00D1743F">
        <w:rPr>
          <w:rStyle w:val="nfase"/>
          <w:sz w:val="20"/>
          <w:szCs w:val="20"/>
        </w:rPr>
        <w:t>Pena - reclusão, de dois a oito anos, e multa.</w:t>
      </w:r>
    </w:p>
    <w:p w:rsidR="009719B5" w:rsidRPr="00D1743F" w:rsidRDefault="009719B5" w:rsidP="00053848">
      <w:pPr>
        <w:pStyle w:val="Citao"/>
        <w:ind w:left="2835"/>
        <w:jc w:val="both"/>
        <w:rPr>
          <w:rStyle w:val="nfase"/>
          <w:i/>
          <w:sz w:val="20"/>
          <w:szCs w:val="20"/>
        </w:rPr>
      </w:pPr>
      <w:r w:rsidRPr="00D1743F">
        <w:rPr>
          <w:rStyle w:val="nfase"/>
          <w:sz w:val="20"/>
          <w:szCs w:val="20"/>
        </w:rPr>
        <w:t>§ 1º - A pena é aumentada de sexta parte, se o agente se serve de anonimato ou de nome suposto.</w:t>
      </w:r>
    </w:p>
    <w:p w:rsidR="009719B5" w:rsidRPr="00D1743F" w:rsidRDefault="009719B5" w:rsidP="00053848">
      <w:pPr>
        <w:pStyle w:val="Citao"/>
        <w:ind w:left="2835"/>
        <w:jc w:val="both"/>
        <w:rPr>
          <w:rStyle w:val="nfase"/>
          <w:i/>
          <w:sz w:val="20"/>
          <w:szCs w:val="20"/>
        </w:rPr>
      </w:pPr>
      <w:r w:rsidRPr="00D1743F">
        <w:rPr>
          <w:rStyle w:val="nfase"/>
          <w:sz w:val="20"/>
          <w:szCs w:val="20"/>
        </w:rPr>
        <w:t>§ 2º - A pena é diminuída de metade, se a imputação é de prática de contravenção.</w:t>
      </w:r>
    </w:p>
    <w:p w:rsidR="009719B5" w:rsidRPr="00D1743F" w:rsidRDefault="009719B5" w:rsidP="00053848">
      <w:pPr>
        <w:pStyle w:val="Citao"/>
        <w:ind w:left="2835"/>
        <w:jc w:val="both"/>
        <w:rPr>
          <w:rStyle w:val="RefernciaIntensa"/>
          <w:i w:val="0"/>
          <w:color w:val="auto"/>
          <w:u w:val="none"/>
        </w:rPr>
      </w:pPr>
      <w:r w:rsidRPr="00D1743F">
        <w:rPr>
          <w:rStyle w:val="nfase"/>
          <w:sz w:val="20"/>
          <w:szCs w:val="20"/>
        </w:rPr>
        <w:t>Comunicação falsa de crime ou de contravenção</w:t>
      </w:r>
    </w:p>
    <w:p w:rsidR="009719B5" w:rsidRPr="002F0908" w:rsidRDefault="009719B5" w:rsidP="009719B5">
      <w:pPr>
        <w:pStyle w:val="PargrafodaLista"/>
        <w:jc w:val="right"/>
        <w:rPr>
          <w:rStyle w:val="RefernciaIntensa"/>
          <w:b w:val="0"/>
          <w:color w:val="auto"/>
          <w:u w:val="none"/>
        </w:rPr>
      </w:pPr>
    </w:p>
    <w:p w:rsidR="009719B5" w:rsidRPr="00255D97" w:rsidRDefault="009719B5" w:rsidP="00381A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5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O autor da proposta Rafael </w:t>
      </w:r>
      <w:proofErr w:type="spellStart"/>
      <w:r w:rsidRPr="00255D97">
        <w:rPr>
          <w:rFonts w:ascii="Times New Roman" w:hAnsi="Times New Roman" w:cs="Times New Roman"/>
          <w:sz w:val="24"/>
          <w:szCs w:val="24"/>
          <w:shd w:val="clear" w:color="auto" w:fill="FFFFFF"/>
        </w:rPr>
        <w:t>Zucco</w:t>
      </w:r>
      <w:proofErr w:type="spellEnd"/>
      <w:r w:rsidRPr="00255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justifica que leu na imprensa que 80% das denúncias de estupro são inverídicas. E argumenta que, os homens que </w:t>
      </w:r>
      <w:proofErr w:type="gramStart"/>
      <w:r w:rsidRPr="00255D97">
        <w:rPr>
          <w:rFonts w:ascii="Times New Roman" w:hAnsi="Times New Roman" w:cs="Times New Roman"/>
          <w:sz w:val="24"/>
          <w:szCs w:val="24"/>
          <w:shd w:val="clear" w:color="auto" w:fill="FFFFFF"/>
        </w:rPr>
        <w:t>são vítimas</w:t>
      </w:r>
      <w:proofErr w:type="gramEnd"/>
      <w:r w:rsidRPr="00255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falsa acusação de estupro sendo os principais motivos ”vingança da mulher, alienação parental ou mesmo para obtenção de vantagem como bens no divórcio, guarda dos filhos” e estes têm </w:t>
      </w:r>
      <w:r w:rsidRPr="00255D9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suas vidas destruída, podendo em certos casos perder o emprego, ser acusado e preso injustamente, enfim trata-se de problemas graves que atinge diretamente a toda família.</w:t>
      </w:r>
    </w:p>
    <w:p w:rsidR="009719B5" w:rsidRPr="00255D97" w:rsidRDefault="009719B5" w:rsidP="00381A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D9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Nota-se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nos exemplos acima citados, </w:t>
      </w:r>
      <w:r w:rsidRPr="00255D9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que, em alguns casos realmente está presente a Teoria da Síndrome da Mulher de </w:t>
      </w:r>
      <w:proofErr w:type="spellStart"/>
      <w:r w:rsidRPr="00255D9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Potifar</w:t>
      </w:r>
      <w:proofErr w:type="spellEnd"/>
      <w:r w:rsidRPr="00255D9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em que consiste no ato de </w:t>
      </w:r>
      <w:r w:rsidRPr="00255D97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acusar alguém falsamente pelo fato de ter sido rejeitada</w:t>
      </w:r>
      <w:r w:rsidRPr="00255D9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como na hipótese em que uma mulher abandonada por um homem vem a imputar a ele, inveridicamente, algum crime de estupro.  Mas que por essa razão deve se agir com prudência.</w:t>
      </w:r>
    </w:p>
    <w:p w:rsidR="009719B5" w:rsidRPr="00255D97" w:rsidRDefault="009719B5" w:rsidP="00381A8A">
      <w:pPr>
        <w:pStyle w:val="SemEspaamento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D97">
        <w:rPr>
          <w:rFonts w:ascii="Times New Roman" w:hAnsi="Times New Roman" w:cs="Times New Roman"/>
          <w:sz w:val="24"/>
          <w:szCs w:val="24"/>
        </w:rPr>
        <w:t xml:space="preserve">           A secretária da Central dos trabalhadores do Brasil em São Paulo Sra. </w:t>
      </w:r>
      <w:proofErr w:type="spellStart"/>
      <w:r w:rsidRPr="00255D97">
        <w:rPr>
          <w:rFonts w:ascii="Times New Roman" w:hAnsi="Times New Roman" w:cs="Times New Roman"/>
          <w:sz w:val="24"/>
          <w:szCs w:val="24"/>
        </w:rPr>
        <w:t>Gicélia</w:t>
      </w:r>
      <w:proofErr w:type="spellEnd"/>
      <w:r w:rsidRPr="00255D97">
        <w:rPr>
          <w:rFonts w:ascii="Times New Roman" w:hAnsi="Times New Roman" w:cs="Times New Roman"/>
          <w:sz w:val="24"/>
          <w:szCs w:val="24"/>
        </w:rPr>
        <w:t xml:space="preserve"> Bitencourt afirma que: “A proposta tira o foco do criminoso e culpa a vítima, como tem ocorrido ultimamente. Justamente porque pretende dificultar ainda mais as denúncias, numa sociedade que a mulher é acusada de ter provocado a violência”.</w:t>
      </w:r>
    </w:p>
    <w:p w:rsidR="009719B5" w:rsidRPr="00255D97" w:rsidRDefault="009719B5" w:rsidP="00381A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D97">
        <w:rPr>
          <w:rFonts w:ascii="Times New Roman" w:hAnsi="Times New Roman" w:cs="Times New Roman"/>
          <w:sz w:val="24"/>
          <w:szCs w:val="24"/>
        </w:rPr>
        <w:t xml:space="preserve">            Já a Relatora e Senadora </w:t>
      </w:r>
      <w:proofErr w:type="spellStart"/>
      <w:r w:rsidRPr="00255D97">
        <w:rPr>
          <w:rFonts w:ascii="Times New Roman" w:hAnsi="Times New Roman" w:cs="Times New Roman"/>
          <w:sz w:val="24"/>
          <w:szCs w:val="24"/>
        </w:rPr>
        <w:t>Glesi</w:t>
      </w:r>
      <w:proofErr w:type="spellEnd"/>
      <w:r w:rsidRPr="00255D97">
        <w:rPr>
          <w:rFonts w:ascii="Times New Roman" w:hAnsi="Times New Roman" w:cs="Times New Roman"/>
          <w:sz w:val="24"/>
          <w:szCs w:val="24"/>
        </w:rPr>
        <w:t xml:space="preserve"> Hoffmann em seu parecer destaca a ideia que o nosso ordenamento jurídico já prevê em seus artigos:</w:t>
      </w:r>
    </w:p>
    <w:p w:rsidR="009719B5" w:rsidRPr="00255D97" w:rsidRDefault="009719B5" w:rsidP="009719B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9719B5" w:rsidRPr="00D1743F" w:rsidRDefault="009719B5" w:rsidP="009A5968">
      <w:pPr>
        <w:ind w:left="2268"/>
        <w:jc w:val="both"/>
        <w:rPr>
          <w:sz w:val="20"/>
          <w:szCs w:val="20"/>
        </w:rPr>
      </w:pPr>
      <w:r w:rsidRPr="00D1743F">
        <w:rPr>
          <w:sz w:val="20"/>
          <w:szCs w:val="20"/>
        </w:rPr>
        <w:t>Art. 340. Provocar a ação de autoridade, comunicando-lhe a ocorrência de crime ou de contravenção que sabe não se ter verificado:</w:t>
      </w:r>
    </w:p>
    <w:p w:rsidR="009719B5" w:rsidRPr="00D1743F" w:rsidRDefault="009719B5" w:rsidP="009A5968">
      <w:pPr>
        <w:ind w:left="2268"/>
        <w:jc w:val="both"/>
        <w:rPr>
          <w:sz w:val="20"/>
          <w:szCs w:val="20"/>
        </w:rPr>
      </w:pPr>
      <w:r w:rsidRPr="00D1743F">
        <w:rPr>
          <w:sz w:val="20"/>
          <w:szCs w:val="20"/>
        </w:rPr>
        <w:t>Pena - detenção, de um a seis meses, ou multa.</w:t>
      </w:r>
    </w:p>
    <w:p w:rsidR="009719B5" w:rsidRPr="00D1743F" w:rsidRDefault="009719B5" w:rsidP="009A5968">
      <w:pPr>
        <w:ind w:left="2268"/>
        <w:jc w:val="both"/>
        <w:rPr>
          <w:sz w:val="20"/>
          <w:szCs w:val="20"/>
        </w:rPr>
      </w:pPr>
      <w:r w:rsidRPr="00D1743F">
        <w:rPr>
          <w:sz w:val="20"/>
          <w:szCs w:val="20"/>
        </w:rPr>
        <w:t>Art. 339. Dar causa à instauração de investigação policial, de processo judicial, instauração de investigação administrativa, inquérito civil ou ação de improbidade administrativa contra alguém, imputando-lhe crime de que o sabe inocente: </w:t>
      </w:r>
    </w:p>
    <w:p w:rsidR="009719B5" w:rsidRPr="00D1743F" w:rsidRDefault="009719B5" w:rsidP="009A5968">
      <w:pPr>
        <w:ind w:left="2268"/>
        <w:jc w:val="both"/>
        <w:rPr>
          <w:sz w:val="20"/>
          <w:szCs w:val="20"/>
        </w:rPr>
      </w:pPr>
      <w:r w:rsidRPr="00D1743F">
        <w:rPr>
          <w:sz w:val="20"/>
          <w:szCs w:val="20"/>
        </w:rPr>
        <w:t>Pena - reclusão, de dois a oito anos, e multa.</w:t>
      </w:r>
    </w:p>
    <w:p w:rsidR="009719B5" w:rsidRPr="00D1743F" w:rsidRDefault="009719B5" w:rsidP="009A5968">
      <w:pPr>
        <w:ind w:left="2268"/>
        <w:jc w:val="both"/>
        <w:rPr>
          <w:sz w:val="20"/>
          <w:szCs w:val="20"/>
        </w:rPr>
      </w:pPr>
    </w:p>
    <w:p w:rsidR="009719B5" w:rsidRPr="00D1743F" w:rsidRDefault="009719B5" w:rsidP="009A5968">
      <w:pPr>
        <w:ind w:left="2268"/>
        <w:jc w:val="both"/>
        <w:rPr>
          <w:sz w:val="20"/>
          <w:szCs w:val="20"/>
        </w:rPr>
      </w:pPr>
      <w:r w:rsidRPr="00D1743F">
        <w:rPr>
          <w:sz w:val="20"/>
          <w:szCs w:val="20"/>
        </w:rPr>
        <w:t>Art. 129. Ofender a integridade corporal ou a saúde de outrem:</w:t>
      </w:r>
    </w:p>
    <w:p w:rsidR="009719B5" w:rsidRPr="00D1743F" w:rsidRDefault="009719B5" w:rsidP="009A5968">
      <w:pPr>
        <w:ind w:left="2268"/>
        <w:jc w:val="both"/>
        <w:rPr>
          <w:sz w:val="20"/>
          <w:szCs w:val="20"/>
        </w:rPr>
      </w:pPr>
      <w:r w:rsidRPr="00D1743F">
        <w:rPr>
          <w:sz w:val="20"/>
          <w:szCs w:val="20"/>
        </w:rPr>
        <w:t>Pena - detenção, de três meses a um a § 2º Se resulta:</w:t>
      </w:r>
    </w:p>
    <w:p w:rsidR="009719B5" w:rsidRPr="00D1743F" w:rsidRDefault="009719B5" w:rsidP="009A5968">
      <w:pPr>
        <w:ind w:left="2268"/>
        <w:jc w:val="both"/>
        <w:rPr>
          <w:sz w:val="20"/>
          <w:szCs w:val="20"/>
        </w:rPr>
      </w:pPr>
      <w:r w:rsidRPr="00D1743F">
        <w:rPr>
          <w:sz w:val="20"/>
          <w:szCs w:val="20"/>
        </w:rPr>
        <w:t>I - Incapacidade permanente para o trabalho;</w:t>
      </w:r>
    </w:p>
    <w:p w:rsidR="009719B5" w:rsidRPr="00D1743F" w:rsidRDefault="009719B5" w:rsidP="009A5968">
      <w:pPr>
        <w:ind w:left="2268"/>
        <w:jc w:val="both"/>
        <w:rPr>
          <w:sz w:val="20"/>
          <w:szCs w:val="20"/>
        </w:rPr>
      </w:pPr>
      <w:r w:rsidRPr="00D1743F">
        <w:rPr>
          <w:sz w:val="20"/>
          <w:szCs w:val="20"/>
        </w:rPr>
        <w:t>II - enfermidade incurável;</w:t>
      </w:r>
    </w:p>
    <w:p w:rsidR="009719B5" w:rsidRPr="00D1743F" w:rsidRDefault="009719B5" w:rsidP="009A5968">
      <w:pPr>
        <w:ind w:left="2268"/>
        <w:jc w:val="both"/>
        <w:rPr>
          <w:sz w:val="20"/>
          <w:szCs w:val="20"/>
        </w:rPr>
      </w:pPr>
      <w:r w:rsidRPr="00D1743F">
        <w:rPr>
          <w:sz w:val="20"/>
          <w:szCs w:val="20"/>
        </w:rPr>
        <w:t>III perda ou inutilização do membro, sentido ou função;</w:t>
      </w:r>
    </w:p>
    <w:p w:rsidR="009719B5" w:rsidRPr="00D1743F" w:rsidRDefault="009719B5" w:rsidP="009A5968">
      <w:pPr>
        <w:ind w:left="2268"/>
        <w:jc w:val="both"/>
        <w:rPr>
          <w:sz w:val="20"/>
          <w:szCs w:val="20"/>
        </w:rPr>
      </w:pPr>
      <w:r w:rsidRPr="00D1743F">
        <w:rPr>
          <w:sz w:val="20"/>
          <w:szCs w:val="20"/>
        </w:rPr>
        <w:t>IV - deformidade permanente;</w:t>
      </w:r>
    </w:p>
    <w:p w:rsidR="009719B5" w:rsidRPr="00D1743F" w:rsidRDefault="009719B5" w:rsidP="009A5968">
      <w:pPr>
        <w:ind w:left="2268"/>
        <w:jc w:val="both"/>
        <w:rPr>
          <w:sz w:val="20"/>
          <w:szCs w:val="20"/>
        </w:rPr>
      </w:pPr>
      <w:r w:rsidRPr="00D1743F">
        <w:rPr>
          <w:sz w:val="20"/>
          <w:szCs w:val="20"/>
        </w:rPr>
        <w:t>V - aborto:</w:t>
      </w:r>
    </w:p>
    <w:p w:rsidR="009719B5" w:rsidRPr="00D1743F" w:rsidRDefault="009719B5" w:rsidP="009A5968">
      <w:pPr>
        <w:ind w:left="2268"/>
        <w:jc w:val="both"/>
        <w:rPr>
          <w:sz w:val="20"/>
          <w:szCs w:val="20"/>
        </w:rPr>
      </w:pPr>
      <w:r w:rsidRPr="00D1743F">
        <w:rPr>
          <w:sz w:val="20"/>
          <w:szCs w:val="20"/>
        </w:rPr>
        <w:t>Pena - reclusão, de dois a oito anos.</w:t>
      </w:r>
    </w:p>
    <w:p w:rsidR="009719B5" w:rsidRPr="00255D97" w:rsidRDefault="009719B5" w:rsidP="009A5968">
      <w:pPr>
        <w:ind w:left="2268"/>
        <w:jc w:val="both"/>
      </w:pPr>
      <w:r w:rsidRPr="00D1743F">
        <w:rPr>
          <w:sz w:val="20"/>
          <w:szCs w:val="20"/>
        </w:rPr>
        <w:t>Lesão corporal de natureza grave</w:t>
      </w:r>
    </w:p>
    <w:p w:rsidR="009719B5" w:rsidRPr="00255D97" w:rsidRDefault="009719B5" w:rsidP="00053848">
      <w:pPr>
        <w:pStyle w:val="SemEspaamen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9719B5" w:rsidRPr="00255D97" w:rsidRDefault="009719B5" w:rsidP="00381A8A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D97">
        <w:rPr>
          <w:rFonts w:ascii="Times New Roman" w:hAnsi="Times New Roman" w:cs="Times New Roman"/>
          <w:sz w:val="24"/>
          <w:szCs w:val="24"/>
        </w:rPr>
        <w:t xml:space="preserve">           Bem como reforça a responsabilização perante a lei Civil quando se sujeita ao pagamento de danos morais e materiais, sanções em caso de alienação parental, como também a alteração de guarda e suspensão da autoridade parental em concordância com a Lei nº 12.318, de 2010. Assim como a suspensão do exercício do poder familiar, como aponta o a</w:t>
      </w:r>
      <w:r w:rsidRPr="00255D97">
        <w:rPr>
          <w:rFonts w:ascii="Times New Roman" w:hAnsi="Times New Roman" w:cs="Times New Roman"/>
          <w:bCs/>
          <w:sz w:val="24"/>
          <w:szCs w:val="24"/>
        </w:rPr>
        <w:t xml:space="preserve">rtigo 1637. </w:t>
      </w:r>
    </w:p>
    <w:p w:rsidR="009719B5" w:rsidRPr="00255D97" w:rsidRDefault="009719B5" w:rsidP="009719B5">
      <w:pPr>
        <w:pStyle w:val="SemEspaamen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19B5" w:rsidRPr="004D07C2" w:rsidRDefault="009719B5" w:rsidP="00875D2F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D07C2">
        <w:rPr>
          <w:rFonts w:ascii="Times New Roman" w:hAnsi="Times New Roman" w:cs="Times New Roman"/>
          <w:bCs/>
          <w:sz w:val="20"/>
          <w:szCs w:val="20"/>
        </w:rPr>
        <w:t xml:space="preserve">Artigo 1637. </w:t>
      </w:r>
      <w:r w:rsidRPr="004D07C2">
        <w:rPr>
          <w:rFonts w:ascii="Times New Roman" w:hAnsi="Times New Roman" w:cs="Times New Roman"/>
          <w:sz w:val="20"/>
          <w:szCs w:val="20"/>
        </w:rPr>
        <w:t xml:space="preserve">Se o pai, ou a mãe, abusar de sua autoridade, faltando aos deveres a eles inerentes ou arruinando os bens dos filhos, cabe ao juiz, requerendo algum parente, ou o Ministério Público, adotar </w:t>
      </w:r>
      <w:proofErr w:type="gramStart"/>
      <w:r w:rsidRPr="004D07C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4D07C2">
        <w:rPr>
          <w:rFonts w:ascii="Times New Roman" w:hAnsi="Times New Roman" w:cs="Times New Roman"/>
          <w:sz w:val="20"/>
          <w:szCs w:val="20"/>
        </w:rPr>
        <w:t xml:space="preserve"> medida que lhe pareça reclamada pela segurança do menor e seus haveres, até suspendendo o poder familiar, quando convenha. </w:t>
      </w:r>
    </w:p>
    <w:p w:rsidR="009719B5" w:rsidRPr="004D07C2" w:rsidRDefault="009719B5" w:rsidP="00875D2F">
      <w:pPr>
        <w:pStyle w:val="SemEspaamen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D07C2">
        <w:rPr>
          <w:rFonts w:ascii="Times New Roman" w:hAnsi="Times New Roman" w:cs="Times New Roman"/>
          <w:sz w:val="20"/>
          <w:szCs w:val="20"/>
        </w:rPr>
        <w:lastRenderedPageBreak/>
        <w:t>Parágrafo único. Suspende-se igualmente o exercício do poder familiar ao pai ou à mãe condenados por sentença irrecorrível, em virtude de crime cuja pena exceda a dois anos de prisão.</w:t>
      </w:r>
    </w:p>
    <w:p w:rsidR="009719B5" w:rsidRPr="00255D97" w:rsidRDefault="009719B5" w:rsidP="009719B5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719B5" w:rsidRPr="00255D97" w:rsidRDefault="009719B5" w:rsidP="00381A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D97">
        <w:rPr>
          <w:rFonts w:ascii="Times New Roman" w:hAnsi="Times New Roman" w:cs="Times New Roman"/>
          <w:sz w:val="24"/>
          <w:szCs w:val="24"/>
        </w:rPr>
        <w:t xml:space="preserve">          Ressalta ainda que o crime hediondo é uma conduta delituosa revestida de gravidade, e por mais condenável que seja a falsa acusação, parece excessivo qualificá-la como conduta hedionda, considerando que não envolve violência. E que o crime hediondo impede a concessão de graça, indulto, fiança, além de representar custo maior para a pessoa e sociedade como toda que financia o sistema prisional. E por mais reprovável que seja a denúncia falsa de estupro, nos parece exagerado qualificá-la como conduta hedionda, considerando que não envolve violência. </w:t>
      </w:r>
    </w:p>
    <w:p w:rsidR="009719B5" w:rsidRPr="00255D97" w:rsidRDefault="009719B5" w:rsidP="00381A8A">
      <w:pPr>
        <w:pStyle w:val="SemEspaamento"/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55D97">
        <w:rPr>
          <w:rFonts w:ascii="Times New Roman" w:hAnsi="Times New Roman" w:cs="Times New Roman"/>
          <w:sz w:val="24"/>
          <w:szCs w:val="24"/>
        </w:rPr>
        <w:t xml:space="preserve">          Ela conclui que seu voto é pela rejeição, pois o nosso ordenamento jurídico já oferece respostas suficientes e adequadas para a referida conduta e os custos dessa alteração superariam os benefícios à sociedade.</w:t>
      </w:r>
      <w:r w:rsidRPr="00255D9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</w:p>
    <w:p w:rsidR="009719B5" w:rsidRPr="00255D97" w:rsidRDefault="009719B5" w:rsidP="00381A8A">
      <w:pPr>
        <w:pStyle w:val="SemEspaamento"/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55D9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Por fim, o que nota-se é que a presente sugestão estaria aumentando os crimes chamados cifra negra, em que a </w:t>
      </w:r>
      <w:r w:rsidRPr="00255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vítima tendo sofrido o crime, ela não tem vontade de reviver todo aquele abalo novamente, bem como o constrangimento em ir até a Polícia e expor o que passou, preferindo calar-se ao invés de prestar a denúncia, informando que veio a sofrer um abuso sexual. Assim </w:t>
      </w:r>
      <w:r w:rsidRPr="00255D9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um significativo número de estupro ficaria</w:t>
      </w:r>
      <w:proofErr w:type="gramStart"/>
      <w:r w:rsidRPr="00255D9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  <w:proofErr w:type="gramEnd"/>
      <w:r w:rsidRPr="00255D9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impune e desconhecido oficialmente.</w:t>
      </w:r>
    </w:p>
    <w:p w:rsidR="009719B5" w:rsidRDefault="009719B5" w:rsidP="009719B5">
      <w:pPr>
        <w:pStyle w:val="SemEspaamento"/>
        <w:tabs>
          <w:tab w:val="left" w:pos="567"/>
        </w:tabs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9719B5" w:rsidRDefault="009719B5" w:rsidP="009719B5">
      <w:pPr>
        <w:pStyle w:val="SemEspaamento"/>
        <w:tabs>
          <w:tab w:val="left" w:pos="567"/>
        </w:tabs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1800E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CONCLUSÃO</w:t>
      </w:r>
    </w:p>
    <w:p w:rsidR="009719B5" w:rsidRPr="001800E8" w:rsidRDefault="009719B5" w:rsidP="009719B5">
      <w:pPr>
        <w:pStyle w:val="SemEspaamento"/>
        <w:tabs>
          <w:tab w:val="left" w:pos="567"/>
        </w:tabs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9719B5" w:rsidRPr="001800E8" w:rsidRDefault="009719B5" w:rsidP="00381A8A">
      <w:pPr>
        <w:pStyle w:val="SemEspaamento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E8">
        <w:rPr>
          <w:rFonts w:ascii="Times New Roman" w:hAnsi="Times New Roman" w:cs="Times New Roman"/>
          <w:sz w:val="24"/>
          <w:szCs w:val="24"/>
        </w:rPr>
        <w:t xml:space="preserve">          Diante do disso, concluo que o meu voto em face do exposto, é pela rejeição da SUG nº 7, de 2017, pois é necessário </w:t>
      </w:r>
      <w:r w:rsidRPr="001800E8">
        <w:rPr>
          <w:rFonts w:ascii="Times New Roman" w:hAnsi="Times New Roman" w:cs="Times New Roman"/>
          <w:sz w:val="24"/>
          <w:szCs w:val="24"/>
          <w:shd w:val="clear" w:color="auto" w:fill="FFFFFF"/>
        </w:rPr>
        <w:t>fortalecer as mulheres e fazer com que elas denunciem mais os seus agressores, rompendo as barreiras do silêncio e que esse tipo de medida faria com que elas se sentissem ainda mais desencorajadas. D</w:t>
      </w:r>
      <w:r w:rsidRPr="001800E8">
        <w:rPr>
          <w:rFonts w:ascii="Times New Roman" w:hAnsi="Times New Roman" w:cs="Times New Roman"/>
          <w:sz w:val="24"/>
          <w:szCs w:val="24"/>
        </w:rPr>
        <w:t xml:space="preserve">e um modo geral </w:t>
      </w:r>
      <w:r>
        <w:rPr>
          <w:rFonts w:ascii="Times New Roman" w:hAnsi="Times New Roman" w:cs="Times New Roman"/>
          <w:sz w:val="24"/>
          <w:szCs w:val="24"/>
        </w:rPr>
        <w:t xml:space="preserve">a sugestão </w:t>
      </w:r>
      <w:r w:rsidRPr="001800E8">
        <w:rPr>
          <w:rFonts w:ascii="Times New Roman" w:hAnsi="Times New Roman" w:cs="Times New Roman"/>
          <w:sz w:val="24"/>
          <w:szCs w:val="24"/>
        </w:rPr>
        <w:t>n° 7, de 2017 seria mais uma forma de obstáculo, desestimularia, inibiria a mulher de denunciar não sendo solução do conflito e contribuindo de forma que aumentasse o crime de estupro.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0E8">
        <w:rPr>
          <w:rFonts w:ascii="Times New Roman" w:hAnsi="Times New Roman" w:cs="Times New Roman"/>
          <w:sz w:val="24"/>
          <w:szCs w:val="24"/>
        </w:rPr>
        <w:t xml:space="preserve">Sem contar não haveria abreviação de tempo das demandas. Que teria de passar por uma nova investigação para se apurar os fatos, gerando incômodos e em certos </w:t>
      </w:r>
      <w:r>
        <w:rPr>
          <w:rFonts w:ascii="Times New Roman" w:hAnsi="Times New Roman" w:cs="Times New Roman"/>
          <w:sz w:val="24"/>
          <w:szCs w:val="24"/>
        </w:rPr>
        <w:t>casos</w:t>
      </w:r>
      <w:r w:rsidRPr="001800E8">
        <w:rPr>
          <w:rFonts w:ascii="Times New Roman" w:hAnsi="Times New Roman" w:cs="Times New Roman"/>
          <w:sz w:val="24"/>
          <w:szCs w:val="24"/>
        </w:rPr>
        <w:t xml:space="preserve"> até novos ocorridos. </w:t>
      </w:r>
    </w:p>
    <w:p w:rsidR="009719B5" w:rsidRPr="001800E8" w:rsidRDefault="009719B5" w:rsidP="00381A8A">
      <w:pPr>
        <w:pStyle w:val="SemEspaamento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0E8">
        <w:rPr>
          <w:rFonts w:ascii="Times New Roman" w:hAnsi="Times New Roman" w:cs="Times New Roman"/>
          <w:sz w:val="24"/>
          <w:szCs w:val="24"/>
        </w:rPr>
        <w:t xml:space="preserve">         Manifesto-me em total discordância com o que fora proposto. Já que como citado existem em nossa legislação resposta oportuna e satisfatória para referida conduta. Sigo a Relatora e Senadora </w:t>
      </w:r>
      <w:proofErr w:type="spellStart"/>
      <w:r w:rsidRPr="001800E8">
        <w:rPr>
          <w:rFonts w:ascii="Times New Roman" w:hAnsi="Times New Roman" w:cs="Times New Roman"/>
          <w:sz w:val="24"/>
          <w:szCs w:val="24"/>
        </w:rPr>
        <w:t>Glesi</w:t>
      </w:r>
      <w:proofErr w:type="spellEnd"/>
      <w:r w:rsidRPr="001800E8">
        <w:rPr>
          <w:rFonts w:ascii="Times New Roman" w:hAnsi="Times New Roman" w:cs="Times New Roman"/>
          <w:sz w:val="24"/>
          <w:szCs w:val="24"/>
        </w:rPr>
        <w:t xml:space="preserve"> Hoffmann. Voto pela rejeição, sendo esse o meu parecer.</w:t>
      </w:r>
    </w:p>
    <w:p w:rsidR="009719B5" w:rsidRPr="001800E8" w:rsidRDefault="009719B5" w:rsidP="009719B5">
      <w:pPr>
        <w:tabs>
          <w:tab w:val="left" w:pos="2746"/>
        </w:tabs>
        <w:jc w:val="both"/>
        <w:rPr>
          <w:b/>
        </w:rPr>
      </w:pPr>
    </w:p>
    <w:p w:rsidR="00DA3CDE" w:rsidRDefault="00DA3CDE" w:rsidP="009719B5">
      <w:pPr>
        <w:tabs>
          <w:tab w:val="left" w:pos="2746"/>
        </w:tabs>
        <w:jc w:val="center"/>
        <w:rPr>
          <w:b/>
          <w:sz w:val="28"/>
          <w:szCs w:val="28"/>
        </w:rPr>
      </w:pPr>
    </w:p>
    <w:p w:rsidR="009719B5" w:rsidRPr="001800E8" w:rsidRDefault="009719B5" w:rsidP="009719B5">
      <w:pPr>
        <w:tabs>
          <w:tab w:val="left" w:pos="2746"/>
        </w:tabs>
        <w:jc w:val="center"/>
        <w:rPr>
          <w:b/>
          <w:sz w:val="28"/>
          <w:szCs w:val="28"/>
        </w:rPr>
      </w:pPr>
      <w:r w:rsidRPr="001800E8">
        <w:rPr>
          <w:b/>
          <w:sz w:val="28"/>
          <w:szCs w:val="28"/>
        </w:rPr>
        <w:lastRenderedPageBreak/>
        <w:t>REFERÊNCIAS</w:t>
      </w:r>
    </w:p>
    <w:p w:rsidR="009719B5" w:rsidRPr="001800E8" w:rsidRDefault="009719B5" w:rsidP="009719B5">
      <w:pPr>
        <w:tabs>
          <w:tab w:val="left" w:pos="2746"/>
        </w:tabs>
        <w:jc w:val="center"/>
        <w:rPr>
          <w:b/>
          <w:sz w:val="28"/>
          <w:szCs w:val="28"/>
        </w:rPr>
      </w:pPr>
    </w:p>
    <w:p w:rsidR="009719B5" w:rsidRPr="001800E8" w:rsidRDefault="009719B5" w:rsidP="009719B5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324D3" w:rsidRDefault="009719B5" w:rsidP="008F1CD5">
      <w:pPr>
        <w:rPr>
          <w:iCs/>
          <w:shd w:val="clear" w:color="auto" w:fill="FFFFFF"/>
        </w:rPr>
      </w:pPr>
      <w:r w:rsidRPr="009719B5">
        <w:t xml:space="preserve">ESTADÃO. </w:t>
      </w:r>
      <w:r w:rsidRPr="009719B5">
        <w:rPr>
          <w:b/>
        </w:rPr>
        <w:t>Estupro</w:t>
      </w:r>
      <w:r w:rsidRPr="009719B5">
        <w:t xml:space="preserve">. Disponível em&lt; </w:t>
      </w:r>
      <w:hyperlink r:id="rId8" w:history="1">
        <w:r w:rsidRPr="009719B5">
          <w:rPr>
            <w:rStyle w:val="Hyperlink"/>
            <w:color w:val="auto"/>
            <w:u w:val="none"/>
          </w:rPr>
          <w:t>http://emais.estadao.com.br/blogs/nana-soares/por-que-nao-faz-sentido-transformar-em-crime-hediondo-as-falsas-acusacoes-de-estupro</w:t>
        </w:r>
      </w:hyperlink>
      <w:r w:rsidRPr="009719B5">
        <w:t>&gt;</w:t>
      </w:r>
      <w:r w:rsidRPr="009719B5">
        <w:rPr>
          <w:iCs/>
          <w:shd w:val="clear" w:color="auto" w:fill="FFFFFF"/>
        </w:rPr>
        <w:t xml:space="preserve"> Acesso em: 27 mai. 2018.</w:t>
      </w:r>
    </w:p>
    <w:p w:rsidR="001B5A0E" w:rsidRDefault="001B5A0E" w:rsidP="00053848">
      <w:pPr>
        <w:jc w:val="both"/>
        <w:rPr>
          <w:iCs/>
          <w:shd w:val="clear" w:color="auto" w:fill="FFFFFF"/>
        </w:rPr>
      </w:pPr>
    </w:p>
    <w:p w:rsidR="001B5A0E" w:rsidRPr="008F1CD5" w:rsidRDefault="001B5A0E" w:rsidP="008F1CD5">
      <w:pPr>
        <w:rPr>
          <w:iCs/>
          <w:shd w:val="clear" w:color="auto" w:fill="FFFFFF"/>
        </w:rPr>
      </w:pPr>
      <w:r w:rsidRPr="008F1CD5">
        <w:t xml:space="preserve">HOFFMANN, </w:t>
      </w:r>
      <w:proofErr w:type="spellStart"/>
      <w:r w:rsidRPr="008F1CD5">
        <w:t>Glesi</w:t>
      </w:r>
      <w:proofErr w:type="spellEnd"/>
      <w:r w:rsidRPr="008F1CD5">
        <w:t xml:space="preserve">. </w:t>
      </w:r>
      <w:r w:rsidRPr="008F1CD5">
        <w:rPr>
          <w:b/>
        </w:rPr>
        <w:t>Parecer.</w:t>
      </w:r>
      <w:r w:rsidRPr="008F1CD5">
        <w:t xml:space="preserve"> Disponível em &lt;</w:t>
      </w:r>
      <w:hyperlink r:id="rId9" w:history="1">
        <w:r w:rsidR="008F1CD5" w:rsidRPr="008F1CD5">
          <w:rPr>
            <w:rStyle w:val="Hyperlink"/>
            <w:color w:val="auto"/>
          </w:rPr>
          <w:t>https://legis.senado.leg.br/sdleg-</w:t>
        </w:r>
        <w:bookmarkStart w:id="1" w:name="_GoBack"/>
        <w:bookmarkEnd w:id="1"/>
        <w:r w:rsidR="008F1CD5" w:rsidRPr="008F1CD5">
          <w:rPr>
            <w:rStyle w:val="Hyperlink"/>
            <w:color w:val="auto"/>
          </w:rPr>
          <w:t>getter/documento?dm=6415312&amp;dispositi&lt; on=inline</w:t>
        </w:r>
      </w:hyperlink>
      <w:r w:rsidRPr="008F1CD5">
        <w:t>&gt;</w:t>
      </w:r>
      <w:r w:rsidRPr="008F1CD5">
        <w:rPr>
          <w:iCs/>
          <w:shd w:val="clear" w:color="auto" w:fill="FFFFFF"/>
        </w:rPr>
        <w:t>Acesso em: 27 mai. 2018</w:t>
      </w:r>
      <w:r w:rsidRPr="008F1CD5">
        <w:rPr>
          <w:iCs/>
          <w:shd w:val="clear" w:color="auto" w:fill="FFFFFF"/>
        </w:rPr>
        <w:t>.</w:t>
      </w:r>
    </w:p>
    <w:p w:rsidR="001B5A0E" w:rsidRDefault="001B5A0E" w:rsidP="001B5A0E">
      <w:pPr>
        <w:pStyle w:val="SemEspaamen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1B5A0E" w:rsidRPr="009719B5" w:rsidRDefault="001B5A0E" w:rsidP="008F1CD5">
      <w:r w:rsidRPr="009719B5">
        <w:t xml:space="preserve">SENADO. </w:t>
      </w:r>
      <w:r w:rsidRPr="009719B5">
        <w:rPr>
          <w:b/>
        </w:rPr>
        <w:t xml:space="preserve">Consulta pública. </w:t>
      </w:r>
      <w:r w:rsidRPr="009719B5">
        <w:t>Disponível em</w:t>
      </w:r>
      <w:r w:rsidR="008F1CD5">
        <w:t xml:space="preserve"> </w:t>
      </w:r>
      <w:r w:rsidRPr="009719B5">
        <w:t>&lt;</w:t>
      </w:r>
      <w:proofErr w:type="gramStart"/>
      <w:r w:rsidRPr="009719B5">
        <w:t>https</w:t>
      </w:r>
      <w:proofErr w:type="gramEnd"/>
      <w:r w:rsidRPr="009719B5">
        <w:t>://www12.senado.leg.br/ecidadania/visualizacaomateria?</w:t>
      </w:r>
      <w:proofErr w:type="gramStart"/>
      <w:r w:rsidRPr="009719B5">
        <w:t>id</w:t>
      </w:r>
      <w:proofErr w:type="gramEnd"/>
      <w:r w:rsidRPr="009719B5">
        <w:t>=128460&gt;</w:t>
      </w:r>
      <w:r w:rsidRPr="009719B5">
        <w:rPr>
          <w:iCs/>
          <w:shd w:val="clear" w:color="auto" w:fill="FFFFFF"/>
        </w:rPr>
        <w:t xml:space="preserve"> Acesso em: 27 mai. 2018.</w:t>
      </w:r>
    </w:p>
    <w:p w:rsidR="001B5A0E" w:rsidRPr="009719B5" w:rsidRDefault="001B5A0E" w:rsidP="008F1CD5"/>
    <w:p w:rsidR="001B5A0E" w:rsidRPr="009719B5" w:rsidRDefault="001B5A0E" w:rsidP="001B5A0E">
      <w:pPr>
        <w:pStyle w:val="SemEspaamen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B5A0E" w:rsidRPr="009719B5" w:rsidRDefault="001B5A0E" w:rsidP="00053848">
      <w:pPr>
        <w:jc w:val="both"/>
      </w:pPr>
    </w:p>
    <w:sectPr w:rsidR="001B5A0E" w:rsidRPr="009719B5" w:rsidSect="00311786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6D" w:rsidRDefault="000E796D" w:rsidP="00381A8A">
      <w:r>
        <w:separator/>
      </w:r>
    </w:p>
  </w:endnote>
  <w:endnote w:type="continuationSeparator" w:id="0">
    <w:p w:rsidR="000E796D" w:rsidRDefault="000E796D" w:rsidP="0038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6D" w:rsidRDefault="000E796D" w:rsidP="00381A8A">
      <w:r>
        <w:separator/>
      </w:r>
    </w:p>
  </w:footnote>
  <w:footnote w:type="continuationSeparator" w:id="0">
    <w:p w:rsidR="000E796D" w:rsidRDefault="000E796D" w:rsidP="00381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5"/>
    <w:rsid w:val="00053848"/>
    <w:rsid w:val="000B27D9"/>
    <w:rsid w:val="000E796D"/>
    <w:rsid w:val="001B5A0E"/>
    <w:rsid w:val="002C5194"/>
    <w:rsid w:val="00311786"/>
    <w:rsid w:val="00381A8A"/>
    <w:rsid w:val="003F6085"/>
    <w:rsid w:val="00437D94"/>
    <w:rsid w:val="00712A85"/>
    <w:rsid w:val="007C4CE5"/>
    <w:rsid w:val="00875D2F"/>
    <w:rsid w:val="008F1CD5"/>
    <w:rsid w:val="009719B5"/>
    <w:rsid w:val="009735BD"/>
    <w:rsid w:val="009A5968"/>
    <w:rsid w:val="00DA3CDE"/>
    <w:rsid w:val="00F3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19B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719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19B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9719B5"/>
    <w:rPr>
      <w:i/>
      <w:iCs/>
    </w:rPr>
  </w:style>
  <w:style w:type="character" w:styleId="RefernciaIntensa">
    <w:name w:val="Intense Reference"/>
    <w:basedOn w:val="Fontepargpadro"/>
    <w:uiPriority w:val="32"/>
    <w:qFormat/>
    <w:rsid w:val="009719B5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9719B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053848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05384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1A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A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1A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A8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19B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719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19B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9719B5"/>
    <w:rPr>
      <w:i/>
      <w:iCs/>
    </w:rPr>
  </w:style>
  <w:style w:type="character" w:styleId="RefernciaIntensa">
    <w:name w:val="Intense Reference"/>
    <w:basedOn w:val="Fontepargpadro"/>
    <w:uiPriority w:val="32"/>
    <w:qFormat/>
    <w:rsid w:val="009719B5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9719B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053848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053848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1A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A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1A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A8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s.estadao.com.br/blogs/nana-soares/por-que-nao-faz-sentido-transformar-em-crime-hediondo-as-falsas-acusacoes-de-estupr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gis.senado.leg.br/sdleg-getter/documento?dm=6415312&amp;dispositi%3c%20on=inlin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F240017-9D47-4404-A929-9FE6FBCA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1306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Audilene Damasceno</dc:creator>
  <cp:lastModifiedBy>Audilene Damasceno</cp:lastModifiedBy>
  <cp:revision>13</cp:revision>
  <dcterms:created xsi:type="dcterms:W3CDTF">2018-05-30T18:49:00Z</dcterms:created>
  <dcterms:modified xsi:type="dcterms:W3CDTF">2020-10-30T23:23:00Z</dcterms:modified>
</cp:coreProperties>
</file>