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B5" w:rsidRPr="0013756A" w:rsidRDefault="00A136B5" w:rsidP="00A136B5">
      <w:pPr>
        <w:jc w:val="center"/>
        <w:rPr>
          <w:rFonts w:cs="Times New Roman"/>
          <w:szCs w:val="24"/>
        </w:rPr>
      </w:pPr>
      <w:r w:rsidRPr="0013756A">
        <w:rPr>
          <w:rFonts w:cs="Times New Roman"/>
          <w:szCs w:val="24"/>
        </w:rPr>
        <w:t>PONTIFÍCIA UNIVERSIDADE CATÓLICA DE MINAS GERAIS</w:t>
      </w:r>
    </w:p>
    <w:p w:rsidR="00A136B5" w:rsidRPr="0013756A" w:rsidRDefault="00A136B5" w:rsidP="00A136B5">
      <w:pPr>
        <w:jc w:val="center"/>
        <w:rPr>
          <w:rFonts w:cs="Times New Roman"/>
          <w:szCs w:val="24"/>
        </w:rPr>
      </w:pPr>
      <w:r w:rsidRPr="0013756A">
        <w:rPr>
          <w:rFonts w:cs="Times New Roman"/>
          <w:szCs w:val="24"/>
        </w:rPr>
        <w:t>Instituto de Ciências Econômicas e Gerenciais</w:t>
      </w:r>
    </w:p>
    <w:p w:rsidR="00A136B5" w:rsidRPr="0013756A" w:rsidRDefault="00A136B5" w:rsidP="00A136B5">
      <w:pPr>
        <w:jc w:val="center"/>
        <w:rPr>
          <w:rFonts w:cs="Times New Roman"/>
          <w:szCs w:val="24"/>
        </w:rPr>
      </w:pPr>
      <w:r w:rsidRPr="0013756A">
        <w:rPr>
          <w:rFonts w:cs="Times New Roman"/>
          <w:szCs w:val="24"/>
        </w:rPr>
        <w:t>Curso de Ciências Econômicas</w:t>
      </w: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9129B8" w:rsidRDefault="009129B8" w:rsidP="00A136B5">
      <w:pPr>
        <w:jc w:val="center"/>
        <w:rPr>
          <w:rFonts w:cs="Times New Roman"/>
          <w:szCs w:val="24"/>
        </w:rPr>
      </w:pPr>
    </w:p>
    <w:p w:rsidR="009129B8" w:rsidRDefault="009129B8" w:rsidP="00A136B5">
      <w:pPr>
        <w:jc w:val="center"/>
        <w:rPr>
          <w:rFonts w:cs="Times New Roman"/>
          <w:szCs w:val="24"/>
        </w:rPr>
      </w:pPr>
    </w:p>
    <w:p w:rsidR="009129B8" w:rsidRDefault="009129B8" w:rsidP="00A136B5">
      <w:pPr>
        <w:jc w:val="center"/>
        <w:rPr>
          <w:rFonts w:cs="Times New Roman"/>
          <w:szCs w:val="24"/>
        </w:rPr>
      </w:pPr>
    </w:p>
    <w:p w:rsidR="009129B8" w:rsidRDefault="009129B8" w:rsidP="00A136B5">
      <w:pPr>
        <w:jc w:val="center"/>
        <w:rPr>
          <w:rFonts w:cs="Times New Roman"/>
          <w:szCs w:val="24"/>
        </w:rPr>
      </w:pPr>
    </w:p>
    <w:p w:rsidR="00A136B5" w:rsidRPr="0013756A" w:rsidRDefault="009129B8" w:rsidP="00A136B5">
      <w:pPr>
        <w:jc w:val="center"/>
        <w:rPr>
          <w:rFonts w:cs="Times New Roman"/>
          <w:szCs w:val="24"/>
        </w:rPr>
      </w:pPr>
      <w:r>
        <w:rPr>
          <w:rFonts w:cs="Times New Roman"/>
          <w:szCs w:val="24"/>
        </w:rPr>
        <w:t>Fábio Fernandes Pereira</w:t>
      </w: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A136B5" w:rsidRPr="0013756A" w:rsidRDefault="009129B8" w:rsidP="00A136B5">
      <w:pPr>
        <w:jc w:val="center"/>
        <w:rPr>
          <w:rFonts w:cs="Times New Roman"/>
          <w:b/>
          <w:szCs w:val="24"/>
        </w:rPr>
      </w:pPr>
      <w:r>
        <w:rPr>
          <w:rFonts w:cs="Times New Roman"/>
          <w:b/>
          <w:szCs w:val="24"/>
        </w:rPr>
        <w:t>VIVO-TELEFÔNICA BRASIL</w:t>
      </w: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13756A" w:rsidRPr="0013756A" w:rsidRDefault="0013756A"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szCs w:val="24"/>
        </w:rPr>
      </w:pPr>
      <w:r w:rsidRPr="0013756A">
        <w:rPr>
          <w:rFonts w:cs="Times New Roman"/>
          <w:szCs w:val="24"/>
        </w:rPr>
        <w:t xml:space="preserve">Belo Horizonte </w:t>
      </w:r>
    </w:p>
    <w:p w:rsidR="00A136B5" w:rsidRPr="0013756A" w:rsidRDefault="00A136B5" w:rsidP="00A136B5">
      <w:pPr>
        <w:jc w:val="center"/>
        <w:rPr>
          <w:rFonts w:cs="Times New Roman"/>
          <w:szCs w:val="24"/>
        </w:rPr>
      </w:pPr>
      <w:r w:rsidRPr="0013756A">
        <w:rPr>
          <w:rFonts w:cs="Times New Roman"/>
          <w:szCs w:val="24"/>
        </w:rPr>
        <w:t>2018</w:t>
      </w:r>
    </w:p>
    <w:p w:rsidR="00A136B5" w:rsidRPr="0013756A" w:rsidRDefault="009129B8" w:rsidP="00A136B5">
      <w:pPr>
        <w:jc w:val="center"/>
        <w:rPr>
          <w:rFonts w:cs="Times New Roman"/>
          <w:szCs w:val="24"/>
        </w:rPr>
      </w:pPr>
      <w:bookmarkStart w:id="0" w:name="_Toc481955361"/>
      <w:bookmarkStart w:id="1" w:name="_Toc481955367"/>
      <w:bookmarkStart w:id="2" w:name="_Toc468093382"/>
      <w:r>
        <w:rPr>
          <w:rFonts w:cs="Times New Roman"/>
          <w:szCs w:val="24"/>
        </w:rPr>
        <w:lastRenderedPageBreak/>
        <w:t>Fábio Fernandes Pereira</w:t>
      </w: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A136B5" w:rsidRPr="0013756A" w:rsidRDefault="009129B8" w:rsidP="00A136B5">
      <w:pPr>
        <w:jc w:val="center"/>
        <w:rPr>
          <w:rFonts w:cs="Times New Roman"/>
          <w:b/>
          <w:szCs w:val="24"/>
        </w:rPr>
      </w:pPr>
      <w:r>
        <w:rPr>
          <w:rFonts w:cs="Times New Roman"/>
          <w:b/>
          <w:szCs w:val="24"/>
        </w:rPr>
        <w:t>VIVO-TELEFÔNICA BRASIL</w:t>
      </w: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jc w:val="center"/>
        <w:rPr>
          <w:rFonts w:cs="Times New Roman"/>
          <w:b/>
          <w:szCs w:val="24"/>
        </w:rPr>
      </w:pPr>
    </w:p>
    <w:p w:rsidR="00A136B5" w:rsidRPr="0013756A" w:rsidRDefault="00A136B5" w:rsidP="00A136B5">
      <w:pPr>
        <w:spacing w:line="240" w:lineRule="auto"/>
        <w:ind w:left="3969"/>
        <w:rPr>
          <w:rFonts w:cs="Times New Roman"/>
          <w:szCs w:val="24"/>
        </w:rPr>
      </w:pPr>
      <w:r w:rsidRPr="0013756A">
        <w:rPr>
          <w:rFonts w:cs="Times New Roman"/>
          <w:szCs w:val="24"/>
        </w:rPr>
        <w:t>Trabalho apresentado à disciplina de Fundamentos de Finanças Corporativas do Instituto de Ciências Econômicas e Gerencias da Pontifícia Universidade Católica de Minas Gerais como requisito parcial para aprovação.</w:t>
      </w:r>
    </w:p>
    <w:p w:rsidR="00A136B5" w:rsidRPr="0013756A" w:rsidRDefault="00A136B5" w:rsidP="00A136B5">
      <w:pPr>
        <w:spacing w:line="240" w:lineRule="auto"/>
        <w:ind w:left="3969"/>
        <w:rPr>
          <w:rFonts w:cs="Times New Roman"/>
          <w:szCs w:val="24"/>
        </w:rPr>
      </w:pPr>
    </w:p>
    <w:p w:rsidR="00A136B5" w:rsidRPr="0013756A" w:rsidRDefault="00A136B5" w:rsidP="00A136B5">
      <w:pPr>
        <w:spacing w:line="240" w:lineRule="auto"/>
        <w:rPr>
          <w:rFonts w:cs="Times New Roman"/>
          <w:szCs w:val="24"/>
        </w:rPr>
      </w:pPr>
      <w:r w:rsidRPr="0013756A">
        <w:rPr>
          <w:rFonts w:cs="Times New Roman"/>
          <w:szCs w:val="24"/>
        </w:rPr>
        <w:t xml:space="preserve">                                                                  Professor: Marcos Reis</w:t>
      </w:r>
    </w:p>
    <w:p w:rsidR="00A136B5" w:rsidRPr="0013756A" w:rsidRDefault="00A136B5" w:rsidP="00A136B5">
      <w:pPr>
        <w:ind w:left="3969"/>
        <w:jc w:val="center"/>
        <w:rPr>
          <w:rFonts w:cs="Times New Roman"/>
          <w:szCs w:val="24"/>
        </w:rPr>
      </w:pPr>
    </w:p>
    <w:p w:rsidR="00A136B5" w:rsidRPr="0013756A" w:rsidRDefault="00A136B5" w:rsidP="00A136B5">
      <w:pPr>
        <w:jc w:val="center"/>
        <w:rPr>
          <w:rFonts w:cs="Times New Roman"/>
          <w:szCs w:val="24"/>
        </w:rPr>
      </w:pPr>
    </w:p>
    <w:p w:rsidR="00A136B5" w:rsidRPr="0013756A" w:rsidRDefault="00A136B5" w:rsidP="00A136B5">
      <w:pPr>
        <w:jc w:val="center"/>
        <w:rPr>
          <w:rFonts w:cs="Times New Roman"/>
          <w:szCs w:val="24"/>
        </w:rPr>
      </w:pPr>
    </w:p>
    <w:p w:rsidR="00D13F06" w:rsidRPr="0013756A" w:rsidRDefault="00D13F06" w:rsidP="00A136B5">
      <w:pPr>
        <w:jc w:val="center"/>
        <w:rPr>
          <w:rFonts w:cs="Times New Roman"/>
          <w:szCs w:val="24"/>
        </w:rPr>
      </w:pPr>
    </w:p>
    <w:p w:rsidR="0013756A" w:rsidRPr="0013756A" w:rsidRDefault="0013756A" w:rsidP="00A136B5">
      <w:pPr>
        <w:jc w:val="center"/>
        <w:rPr>
          <w:rFonts w:cs="Times New Roman"/>
          <w:szCs w:val="24"/>
        </w:rPr>
      </w:pPr>
    </w:p>
    <w:p w:rsidR="00A136B5" w:rsidRPr="0013756A" w:rsidRDefault="00A136B5" w:rsidP="00A136B5">
      <w:pPr>
        <w:jc w:val="center"/>
        <w:rPr>
          <w:rFonts w:cs="Times New Roman"/>
          <w:szCs w:val="24"/>
        </w:rPr>
      </w:pPr>
    </w:p>
    <w:p w:rsidR="00964DEF" w:rsidRDefault="00964DEF" w:rsidP="00A136B5">
      <w:pPr>
        <w:jc w:val="center"/>
        <w:rPr>
          <w:rFonts w:cs="Times New Roman"/>
          <w:szCs w:val="24"/>
        </w:rPr>
      </w:pPr>
    </w:p>
    <w:p w:rsidR="00964DEF" w:rsidRDefault="00964DEF" w:rsidP="00A136B5">
      <w:pPr>
        <w:jc w:val="center"/>
        <w:rPr>
          <w:rFonts w:cs="Times New Roman"/>
          <w:szCs w:val="24"/>
        </w:rPr>
      </w:pPr>
    </w:p>
    <w:p w:rsidR="00964DEF" w:rsidRDefault="00964DEF" w:rsidP="00A136B5">
      <w:pPr>
        <w:jc w:val="center"/>
        <w:rPr>
          <w:rFonts w:cs="Times New Roman"/>
          <w:szCs w:val="24"/>
        </w:rPr>
      </w:pPr>
    </w:p>
    <w:p w:rsidR="00964DEF" w:rsidRDefault="00964DEF" w:rsidP="00A136B5">
      <w:pPr>
        <w:jc w:val="center"/>
        <w:rPr>
          <w:rFonts w:cs="Times New Roman"/>
          <w:szCs w:val="24"/>
        </w:rPr>
      </w:pPr>
    </w:p>
    <w:p w:rsidR="00A136B5" w:rsidRPr="0013756A" w:rsidRDefault="00A136B5" w:rsidP="00A136B5">
      <w:pPr>
        <w:jc w:val="center"/>
        <w:rPr>
          <w:rFonts w:cs="Times New Roman"/>
          <w:szCs w:val="24"/>
        </w:rPr>
      </w:pPr>
      <w:r w:rsidRPr="0013756A">
        <w:rPr>
          <w:rFonts w:cs="Times New Roman"/>
          <w:szCs w:val="24"/>
        </w:rPr>
        <w:t xml:space="preserve">Belo Horizonte </w:t>
      </w:r>
    </w:p>
    <w:p w:rsidR="00A136B5" w:rsidRPr="0013756A" w:rsidRDefault="00A136B5" w:rsidP="00A136B5">
      <w:pPr>
        <w:jc w:val="center"/>
        <w:rPr>
          <w:rFonts w:cs="Times New Roman"/>
          <w:szCs w:val="24"/>
        </w:rPr>
        <w:sectPr w:rsidR="00A136B5" w:rsidRPr="0013756A" w:rsidSect="00E40478">
          <w:headerReference w:type="default" r:id="rId8"/>
          <w:pgSz w:w="11906" w:h="16838"/>
          <w:pgMar w:top="1701" w:right="1134" w:bottom="1134" w:left="1701" w:header="709" w:footer="709" w:gutter="0"/>
          <w:cols w:space="708"/>
          <w:docGrid w:linePitch="360"/>
        </w:sectPr>
      </w:pPr>
      <w:r w:rsidRPr="0013756A">
        <w:rPr>
          <w:rFonts w:cs="Times New Roman"/>
          <w:szCs w:val="24"/>
        </w:rPr>
        <w:t>2018</w:t>
      </w:r>
    </w:p>
    <w:p w:rsidR="00B12E56" w:rsidRPr="0013756A" w:rsidRDefault="0096109D" w:rsidP="00884951">
      <w:pPr>
        <w:jc w:val="center"/>
        <w:rPr>
          <w:rFonts w:cs="Times New Roman"/>
          <w:b/>
          <w:color w:val="000000" w:themeColor="text1"/>
        </w:rPr>
      </w:pPr>
      <w:r w:rsidRPr="0013756A">
        <w:rPr>
          <w:rFonts w:cs="Times New Roman"/>
          <w:b/>
          <w:color w:val="000000" w:themeColor="text1"/>
        </w:rPr>
        <w:lastRenderedPageBreak/>
        <w:t>S</w:t>
      </w:r>
      <w:r w:rsidR="00B12E56" w:rsidRPr="0013756A">
        <w:rPr>
          <w:rFonts w:cs="Times New Roman"/>
          <w:b/>
          <w:color w:val="000000" w:themeColor="text1"/>
        </w:rPr>
        <w:t>UMÁRIO</w:t>
      </w:r>
    </w:p>
    <w:sdt>
      <w:sdtPr>
        <w:rPr>
          <w:rFonts w:ascii="Times New Roman" w:eastAsiaTheme="minorHAnsi" w:hAnsi="Times New Roman" w:cs="Times New Roman"/>
          <w:color w:val="000000" w:themeColor="text1"/>
          <w:sz w:val="24"/>
          <w:szCs w:val="22"/>
          <w:lang w:eastAsia="en-US"/>
        </w:rPr>
        <w:id w:val="-169715108"/>
        <w:docPartObj>
          <w:docPartGallery w:val="Table of Contents"/>
          <w:docPartUnique/>
        </w:docPartObj>
      </w:sdtPr>
      <w:sdtEndPr>
        <w:rPr>
          <w:b/>
          <w:bCs/>
        </w:rPr>
      </w:sdtEndPr>
      <w:sdtContent>
        <w:p w:rsidR="00D156DF" w:rsidRPr="0013756A" w:rsidRDefault="00D156DF">
          <w:pPr>
            <w:pStyle w:val="CabealhodoSumrio"/>
            <w:rPr>
              <w:rFonts w:ascii="Times New Roman" w:hAnsi="Times New Roman" w:cs="Times New Roman"/>
              <w:color w:val="000000" w:themeColor="text1"/>
            </w:rPr>
          </w:pPr>
        </w:p>
        <w:p w:rsidR="002D720D" w:rsidRDefault="00814410">
          <w:pPr>
            <w:pStyle w:val="Sumrio1"/>
            <w:rPr>
              <w:rFonts w:asciiTheme="minorHAnsi" w:eastAsiaTheme="minorEastAsia" w:hAnsiTheme="minorHAnsi" w:cstheme="minorBidi"/>
              <w:b w:val="0"/>
              <w:sz w:val="22"/>
              <w:szCs w:val="22"/>
              <w:lang w:eastAsia="pt-BR"/>
            </w:rPr>
          </w:pPr>
          <w:r w:rsidRPr="00814410">
            <w:rPr>
              <w:color w:val="000000" w:themeColor="text1"/>
            </w:rPr>
            <w:fldChar w:fldCharType="begin"/>
          </w:r>
          <w:r w:rsidR="00D156DF" w:rsidRPr="0013756A">
            <w:rPr>
              <w:color w:val="000000" w:themeColor="text1"/>
            </w:rPr>
            <w:instrText xml:space="preserve"> TOC \o "1-3" \h \z \u </w:instrText>
          </w:r>
          <w:r w:rsidRPr="00814410">
            <w:rPr>
              <w:color w:val="000000" w:themeColor="text1"/>
            </w:rPr>
            <w:fldChar w:fldCharType="separate"/>
          </w:r>
          <w:hyperlink w:anchor="_Toc516261763" w:history="1">
            <w:r w:rsidR="009129B8">
              <w:rPr>
                <w:rStyle w:val="Hyperlink"/>
              </w:rPr>
              <w:t>1 DESCRIÇÃO VIVO-TELEFÔNICA BRASIL</w:t>
            </w:r>
            <w:r w:rsidR="002D720D">
              <w:rPr>
                <w:webHidden/>
              </w:rPr>
              <w:tab/>
            </w:r>
            <w:r>
              <w:rPr>
                <w:webHidden/>
              </w:rPr>
              <w:fldChar w:fldCharType="begin"/>
            </w:r>
            <w:r w:rsidR="002D720D">
              <w:rPr>
                <w:webHidden/>
              </w:rPr>
              <w:instrText xml:space="preserve"> PAGEREF _Toc516261763 \h </w:instrText>
            </w:r>
            <w:r>
              <w:rPr>
                <w:webHidden/>
              </w:rPr>
            </w:r>
            <w:r>
              <w:rPr>
                <w:webHidden/>
              </w:rPr>
              <w:fldChar w:fldCharType="separate"/>
            </w:r>
            <w:r w:rsidR="00635B2B">
              <w:rPr>
                <w:webHidden/>
              </w:rPr>
              <w:t>4</w:t>
            </w:r>
            <w:r>
              <w:rPr>
                <w:webHidden/>
              </w:rPr>
              <w:fldChar w:fldCharType="end"/>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64" w:history="1">
            <w:r w:rsidR="002D720D" w:rsidRPr="00FE5CC4">
              <w:rPr>
                <w:rStyle w:val="Hyperlink"/>
              </w:rPr>
              <w:t xml:space="preserve">2 CONJUNTURA ECONÔMICA DO SETOR DE </w:t>
            </w:r>
            <w:r w:rsidR="009129B8">
              <w:rPr>
                <w:rStyle w:val="Hyperlink"/>
              </w:rPr>
              <w:t>TELECOMUNICAÇÕES</w:t>
            </w:r>
            <w:r w:rsidR="002D720D">
              <w:rPr>
                <w:webHidden/>
              </w:rPr>
              <w:tab/>
            </w:r>
            <w:r w:rsidR="00964DEF">
              <w:rPr>
                <w:webHidden/>
              </w:rPr>
              <w:t>5</w:t>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65" w:history="1">
            <w:r w:rsidR="002D720D" w:rsidRPr="00FE5CC4">
              <w:rPr>
                <w:rStyle w:val="Hyperlink"/>
              </w:rPr>
              <w:t>3 ANÁLISE DOS DEMONSTRATIVOS CONTÁBEIS</w:t>
            </w:r>
            <w:r w:rsidR="002D720D">
              <w:rPr>
                <w:webHidden/>
              </w:rPr>
              <w:tab/>
            </w:r>
            <w:r>
              <w:rPr>
                <w:webHidden/>
              </w:rPr>
              <w:fldChar w:fldCharType="begin"/>
            </w:r>
            <w:r w:rsidR="002D720D">
              <w:rPr>
                <w:webHidden/>
              </w:rPr>
              <w:instrText xml:space="preserve"> PAGEREF _Toc516261765 \h </w:instrText>
            </w:r>
            <w:r>
              <w:rPr>
                <w:webHidden/>
              </w:rPr>
            </w:r>
            <w:r>
              <w:rPr>
                <w:webHidden/>
              </w:rPr>
              <w:fldChar w:fldCharType="separate"/>
            </w:r>
            <w:r w:rsidR="00635B2B">
              <w:rPr>
                <w:webHidden/>
              </w:rPr>
              <w:t>7</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66" w:history="1">
            <w:r w:rsidR="002D720D" w:rsidRPr="00FE5CC4">
              <w:rPr>
                <w:rStyle w:val="Hyperlink"/>
              </w:rPr>
              <w:t>3.1 Análise Vertical DRE</w:t>
            </w:r>
            <w:r w:rsidR="002D720D">
              <w:rPr>
                <w:webHidden/>
              </w:rPr>
              <w:tab/>
            </w:r>
            <w:r>
              <w:rPr>
                <w:webHidden/>
              </w:rPr>
              <w:fldChar w:fldCharType="begin"/>
            </w:r>
            <w:r w:rsidR="002D720D">
              <w:rPr>
                <w:webHidden/>
              </w:rPr>
              <w:instrText xml:space="preserve"> PAGEREF _Toc516261766 \h </w:instrText>
            </w:r>
            <w:r>
              <w:rPr>
                <w:webHidden/>
              </w:rPr>
            </w:r>
            <w:r>
              <w:rPr>
                <w:webHidden/>
              </w:rPr>
              <w:fldChar w:fldCharType="separate"/>
            </w:r>
            <w:r w:rsidR="00635B2B">
              <w:rPr>
                <w:webHidden/>
              </w:rPr>
              <w:t>7</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67" w:history="1">
            <w:r w:rsidR="002D720D" w:rsidRPr="00FE5CC4">
              <w:rPr>
                <w:rStyle w:val="Hyperlink"/>
              </w:rPr>
              <w:t>3.2 Análise Horizontal DRE</w:t>
            </w:r>
            <w:r w:rsidR="002D720D">
              <w:rPr>
                <w:webHidden/>
              </w:rPr>
              <w:tab/>
            </w:r>
            <w:r>
              <w:rPr>
                <w:webHidden/>
              </w:rPr>
              <w:fldChar w:fldCharType="begin"/>
            </w:r>
            <w:r w:rsidR="002D720D">
              <w:rPr>
                <w:webHidden/>
              </w:rPr>
              <w:instrText xml:space="preserve"> PAGEREF _Toc516261767 \h </w:instrText>
            </w:r>
            <w:r>
              <w:rPr>
                <w:webHidden/>
              </w:rPr>
            </w:r>
            <w:r>
              <w:rPr>
                <w:webHidden/>
              </w:rPr>
              <w:fldChar w:fldCharType="separate"/>
            </w:r>
            <w:r w:rsidR="00635B2B">
              <w:rPr>
                <w:webHidden/>
              </w:rPr>
              <w:t>7</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68" w:history="1">
            <w:r w:rsidR="002D720D" w:rsidRPr="00FE5CC4">
              <w:rPr>
                <w:rStyle w:val="Hyperlink"/>
              </w:rPr>
              <w:t>3.3 Índice de Liquidez</w:t>
            </w:r>
            <w:r w:rsidR="002D720D">
              <w:rPr>
                <w:webHidden/>
              </w:rPr>
              <w:tab/>
            </w:r>
            <w:r>
              <w:rPr>
                <w:webHidden/>
              </w:rPr>
              <w:fldChar w:fldCharType="begin"/>
            </w:r>
            <w:r w:rsidR="002D720D">
              <w:rPr>
                <w:webHidden/>
              </w:rPr>
              <w:instrText xml:space="preserve"> PAGEREF _Toc516261768 \h </w:instrText>
            </w:r>
            <w:r>
              <w:rPr>
                <w:webHidden/>
              </w:rPr>
            </w:r>
            <w:r>
              <w:rPr>
                <w:webHidden/>
              </w:rPr>
              <w:fldChar w:fldCharType="separate"/>
            </w:r>
            <w:r w:rsidR="00635B2B">
              <w:rPr>
                <w:webHidden/>
              </w:rPr>
              <w:t>8</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70" w:history="1">
            <w:r w:rsidR="002D720D" w:rsidRPr="00FE5CC4">
              <w:rPr>
                <w:rStyle w:val="Hyperlink"/>
              </w:rPr>
              <w:t>3.4 Índice de Atividade</w:t>
            </w:r>
            <w:r w:rsidR="002D720D">
              <w:rPr>
                <w:webHidden/>
              </w:rPr>
              <w:tab/>
            </w:r>
            <w:r>
              <w:rPr>
                <w:webHidden/>
              </w:rPr>
              <w:fldChar w:fldCharType="begin"/>
            </w:r>
            <w:r w:rsidR="002D720D">
              <w:rPr>
                <w:webHidden/>
              </w:rPr>
              <w:instrText xml:space="preserve"> PAGEREF _Toc516261770 \h </w:instrText>
            </w:r>
            <w:r>
              <w:rPr>
                <w:webHidden/>
              </w:rPr>
            </w:r>
            <w:r>
              <w:rPr>
                <w:webHidden/>
              </w:rPr>
              <w:fldChar w:fldCharType="separate"/>
            </w:r>
            <w:r w:rsidR="00635B2B">
              <w:rPr>
                <w:webHidden/>
              </w:rPr>
              <w:t>9</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72" w:history="1">
            <w:r w:rsidR="002D720D" w:rsidRPr="00FE5CC4">
              <w:rPr>
                <w:rStyle w:val="Hyperlink"/>
              </w:rPr>
              <w:t>3.5 Margem Financeira</w:t>
            </w:r>
            <w:r w:rsidR="002D720D">
              <w:rPr>
                <w:webHidden/>
              </w:rPr>
              <w:tab/>
            </w:r>
            <w:r>
              <w:rPr>
                <w:webHidden/>
              </w:rPr>
              <w:fldChar w:fldCharType="begin"/>
            </w:r>
            <w:r w:rsidR="002D720D">
              <w:rPr>
                <w:webHidden/>
              </w:rPr>
              <w:instrText xml:space="preserve"> PAGEREF _Toc516261772 \h </w:instrText>
            </w:r>
            <w:r>
              <w:rPr>
                <w:webHidden/>
              </w:rPr>
            </w:r>
            <w:r>
              <w:rPr>
                <w:webHidden/>
              </w:rPr>
              <w:fldChar w:fldCharType="separate"/>
            </w:r>
            <w:r w:rsidR="00635B2B">
              <w:rPr>
                <w:webHidden/>
              </w:rPr>
              <w:t>9</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73" w:history="1">
            <w:r w:rsidR="002D720D" w:rsidRPr="00FE5CC4">
              <w:rPr>
                <w:rStyle w:val="Hyperlink"/>
              </w:rPr>
              <w:t>3.6 Ativo total</w:t>
            </w:r>
            <w:r w:rsidR="002D720D">
              <w:rPr>
                <w:webHidden/>
              </w:rPr>
              <w:tab/>
            </w:r>
            <w:r>
              <w:rPr>
                <w:webHidden/>
              </w:rPr>
              <w:fldChar w:fldCharType="begin"/>
            </w:r>
            <w:r w:rsidR="002D720D">
              <w:rPr>
                <w:webHidden/>
              </w:rPr>
              <w:instrText xml:space="preserve"> PAGEREF _Toc516261773 \h </w:instrText>
            </w:r>
            <w:r>
              <w:rPr>
                <w:webHidden/>
              </w:rPr>
            </w:r>
            <w:r>
              <w:rPr>
                <w:webHidden/>
              </w:rPr>
              <w:fldChar w:fldCharType="separate"/>
            </w:r>
            <w:r w:rsidR="00635B2B">
              <w:rPr>
                <w:webHidden/>
              </w:rPr>
              <w:t>9</w:t>
            </w:r>
            <w:r>
              <w:rPr>
                <w:webHidden/>
              </w:rPr>
              <w:fldChar w:fldCharType="end"/>
            </w:r>
          </w:hyperlink>
        </w:p>
        <w:p w:rsidR="002D720D" w:rsidRDefault="00814410">
          <w:pPr>
            <w:pStyle w:val="Sumrio2"/>
            <w:rPr>
              <w:rFonts w:asciiTheme="minorHAnsi" w:eastAsiaTheme="minorEastAsia" w:hAnsiTheme="minorHAnsi" w:cstheme="minorBidi"/>
              <w:b w:val="0"/>
              <w:sz w:val="22"/>
              <w:szCs w:val="22"/>
              <w:lang w:eastAsia="pt-BR"/>
            </w:rPr>
          </w:pPr>
          <w:hyperlink w:anchor="_Toc516261774" w:history="1">
            <w:r w:rsidR="002D720D" w:rsidRPr="00FE5CC4">
              <w:rPr>
                <w:rStyle w:val="Hyperlink"/>
              </w:rPr>
              <w:t>3.7 Passivo total</w:t>
            </w:r>
            <w:r w:rsidR="002D720D">
              <w:rPr>
                <w:webHidden/>
              </w:rPr>
              <w:tab/>
            </w:r>
            <w:r>
              <w:rPr>
                <w:webHidden/>
              </w:rPr>
              <w:fldChar w:fldCharType="begin"/>
            </w:r>
            <w:r w:rsidR="002D720D">
              <w:rPr>
                <w:webHidden/>
              </w:rPr>
              <w:instrText xml:space="preserve"> PAGEREF _Toc516261774 \h </w:instrText>
            </w:r>
            <w:r>
              <w:rPr>
                <w:webHidden/>
              </w:rPr>
            </w:r>
            <w:r>
              <w:rPr>
                <w:webHidden/>
              </w:rPr>
              <w:fldChar w:fldCharType="separate"/>
            </w:r>
            <w:r w:rsidR="00635B2B">
              <w:rPr>
                <w:webHidden/>
              </w:rPr>
              <w:t>10</w:t>
            </w:r>
            <w:r>
              <w:rPr>
                <w:webHidden/>
              </w:rPr>
              <w:fldChar w:fldCharType="end"/>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75" w:history="1">
            <w:r w:rsidR="002D720D" w:rsidRPr="00FE5CC4">
              <w:rPr>
                <w:rStyle w:val="Hyperlink"/>
              </w:rPr>
              <w:t>4 ANÁLISE DO INVESTIMENTO</w:t>
            </w:r>
            <w:r w:rsidR="002D720D">
              <w:rPr>
                <w:webHidden/>
              </w:rPr>
              <w:tab/>
            </w:r>
            <w:r>
              <w:rPr>
                <w:webHidden/>
              </w:rPr>
              <w:fldChar w:fldCharType="begin"/>
            </w:r>
            <w:r w:rsidR="002D720D">
              <w:rPr>
                <w:webHidden/>
              </w:rPr>
              <w:instrText xml:space="preserve"> PAGEREF _Toc516261775 \h </w:instrText>
            </w:r>
            <w:r>
              <w:rPr>
                <w:webHidden/>
              </w:rPr>
            </w:r>
            <w:r>
              <w:rPr>
                <w:webHidden/>
              </w:rPr>
              <w:fldChar w:fldCharType="separate"/>
            </w:r>
            <w:r w:rsidR="00635B2B">
              <w:rPr>
                <w:webHidden/>
              </w:rPr>
              <w:t>11</w:t>
            </w:r>
            <w:r>
              <w:rPr>
                <w:webHidden/>
              </w:rPr>
              <w:fldChar w:fldCharType="end"/>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76" w:history="1">
            <w:r w:rsidR="002D720D" w:rsidRPr="00FE5CC4">
              <w:rPr>
                <w:rStyle w:val="Hyperlink"/>
              </w:rPr>
              <w:t>5 ANÁLISE DO FINANCIAMENTO</w:t>
            </w:r>
            <w:r w:rsidR="002D720D">
              <w:rPr>
                <w:webHidden/>
              </w:rPr>
              <w:tab/>
            </w:r>
            <w:r>
              <w:rPr>
                <w:webHidden/>
              </w:rPr>
              <w:fldChar w:fldCharType="begin"/>
            </w:r>
            <w:r w:rsidR="002D720D">
              <w:rPr>
                <w:webHidden/>
              </w:rPr>
              <w:instrText xml:space="preserve"> PAGEREF _Toc516261776 \h </w:instrText>
            </w:r>
            <w:r>
              <w:rPr>
                <w:webHidden/>
              </w:rPr>
            </w:r>
            <w:r>
              <w:rPr>
                <w:webHidden/>
              </w:rPr>
              <w:fldChar w:fldCharType="separate"/>
            </w:r>
            <w:r w:rsidR="00635B2B">
              <w:rPr>
                <w:webHidden/>
              </w:rPr>
              <w:t>12</w:t>
            </w:r>
            <w:r>
              <w:rPr>
                <w:webHidden/>
              </w:rPr>
              <w:fldChar w:fldCharType="end"/>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77" w:history="1">
            <w:r w:rsidR="002D720D" w:rsidRPr="00FE5CC4">
              <w:rPr>
                <w:rStyle w:val="Hyperlink"/>
              </w:rPr>
              <w:t>6 ANÁLISE DA POLÍTICA DE DIVIDENDOS</w:t>
            </w:r>
            <w:r w:rsidR="002D720D">
              <w:rPr>
                <w:webHidden/>
              </w:rPr>
              <w:tab/>
            </w:r>
            <w:r>
              <w:rPr>
                <w:webHidden/>
              </w:rPr>
              <w:fldChar w:fldCharType="begin"/>
            </w:r>
            <w:r w:rsidR="002D720D">
              <w:rPr>
                <w:webHidden/>
              </w:rPr>
              <w:instrText xml:space="preserve"> PAGEREF _Toc516261777 \h </w:instrText>
            </w:r>
            <w:r>
              <w:rPr>
                <w:webHidden/>
              </w:rPr>
            </w:r>
            <w:r>
              <w:rPr>
                <w:webHidden/>
              </w:rPr>
              <w:fldChar w:fldCharType="separate"/>
            </w:r>
            <w:r w:rsidR="00635B2B">
              <w:rPr>
                <w:webHidden/>
              </w:rPr>
              <w:t>13</w:t>
            </w:r>
            <w:r>
              <w:rPr>
                <w:webHidden/>
              </w:rPr>
              <w:fldChar w:fldCharType="end"/>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78" w:history="1">
            <w:r w:rsidR="002D720D" w:rsidRPr="00FE5CC4">
              <w:rPr>
                <w:rStyle w:val="Hyperlink"/>
              </w:rPr>
              <w:t>7 VALUATION</w:t>
            </w:r>
            <w:r w:rsidR="002D720D">
              <w:rPr>
                <w:webHidden/>
              </w:rPr>
              <w:tab/>
            </w:r>
            <w:r w:rsidR="00FF3C2B">
              <w:rPr>
                <w:webHidden/>
              </w:rPr>
              <w:t>14</w:t>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79" w:history="1">
            <w:r w:rsidR="002D720D" w:rsidRPr="00FE5CC4">
              <w:rPr>
                <w:rStyle w:val="Hyperlink"/>
              </w:rPr>
              <w:t>CONCLUSÃO</w:t>
            </w:r>
            <w:r w:rsidR="002D720D">
              <w:rPr>
                <w:webHidden/>
              </w:rPr>
              <w:tab/>
            </w:r>
            <w:r w:rsidR="00FF3C2B">
              <w:rPr>
                <w:webHidden/>
              </w:rPr>
              <w:t>15</w:t>
            </w:r>
          </w:hyperlink>
        </w:p>
        <w:p w:rsidR="002D720D" w:rsidRDefault="002D720D">
          <w:pPr>
            <w:pStyle w:val="Sumrio1"/>
            <w:rPr>
              <w:rStyle w:val="Hyperlink"/>
            </w:rPr>
          </w:pPr>
        </w:p>
        <w:p w:rsidR="002D720D" w:rsidRDefault="00814410">
          <w:pPr>
            <w:pStyle w:val="Sumrio1"/>
            <w:rPr>
              <w:rFonts w:asciiTheme="minorHAnsi" w:eastAsiaTheme="minorEastAsia" w:hAnsiTheme="minorHAnsi" w:cstheme="minorBidi"/>
              <w:b w:val="0"/>
              <w:sz w:val="22"/>
              <w:szCs w:val="22"/>
              <w:lang w:eastAsia="pt-BR"/>
            </w:rPr>
          </w:pPr>
          <w:hyperlink w:anchor="_Toc516261780" w:history="1">
            <w:r w:rsidR="002D720D" w:rsidRPr="00FE5CC4">
              <w:rPr>
                <w:rStyle w:val="Hyperlink"/>
              </w:rPr>
              <w:t>REFERÊNCIAS</w:t>
            </w:r>
            <w:r w:rsidR="002D720D">
              <w:rPr>
                <w:webHidden/>
              </w:rPr>
              <w:tab/>
            </w:r>
            <w:r w:rsidR="00FF3C2B">
              <w:rPr>
                <w:webHidden/>
              </w:rPr>
              <w:t>16</w:t>
            </w:r>
          </w:hyperlink>
        </w:p>
        <w:p w:rsidR="00D156DF" w:rsidRPr="0013756A" w:rsidRDefault="00814410">
          <w:pPr>
            <w:rPr>
              <w:rFonts w:cs="Times New Roman"/>
              <w:color w:val="000000" w:themeColor="text1"/>
            </w:rPr>
          </w:pPr>
          <w:r w:rsidRPr="0013756A">
            <w:rPr>
              <w:rFonts w:cs="Times New Roman"/>
              <w:b/>
              <w:bCs/>
              <w:color w:val="000000" w:themeColor="text1"/>
              <w:szCs w:val="24"/>
            </w:rPr>
            <w:fldChar w:fldCharType="end"/>
          </w:r>
        </w:p>
      </w:sdtContent>
    </w:sdt>
    <w:p w:rsidR="00B12E56" w:rsidRPr="0013756A" w:rsidRDefault="00B12E56" w:rsidP="00EC5E0A">
      <w:pPr>
        <w:rPr>
          <w:rFonts w:cs="Times New Roman"/>
          <w:color w:val="000000" w:themeColor="text1"/>
        </w:rPr>
      </w:pPr>
    </w:p>
    <w:p w:rsidR="00B12E56" w:rsidRPr="0013756A" w:rsidRDefault="00B12E56" w:rsidP="00EC5E0A">
      <w:pPr>
        <w:rPr>
          <w:rFonts w:cs="Times New Roman"/>
          <w:color w:val="000000" w:themeColor="text1"/>
        </w:rPr>
      </w:pPr>
    </w:p>
    <w:p w:rsidR="00B12E56" w:rsidRPr="0013756A" w:rsidRDefault="00B12E56" w:rsidP="00EC5E0A">
      <w:pPr>
        <w:rPr>
          <w:rFonts w:cs="Times New Roman"/>
          <w:color w:val="000000" w:themeColor="text1"/>
        </w:rPr>
      </w:pPr>
    </w:p>
    <w:p w:rsidR="00B12E56" w:rsidRPr="0013756A" w:rsidRDefault="00B12E56" w:rsidP="00EC5E0A">
      <w:pPr>
        <w:rPr>
          <w:rFonts w:cs="Times New Roman"/>
          <w:color w:val="000000" w:themeColor="text1"/>
        </w:rPr>
      </w:pPr>
    </w:p>
    <w:p w:rsidR="00B12E56" w:rsidRPr="0013756A" w:rsidRDefault="00B12E56" w:rsidP="00D156DF">
      <w:pPr>
        <w:jc w:val="right"/>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B12E56" w:rsidRPr="0013756A" w:rsidRDefault="00B12E56" w:rsidP="00B12E56">
      <w:pPr>
        <w:rPr>
          <w:rFonts w:cs="Times New Roman"/>
          <w:color w:val="000000" w:themeColor="text1"/>
        </w:rPr>
      </w:pPr>
    </w:p>
    <w:p w:rsidR="00512042" w:rsidRPr="0013756A" w:rsidRDefault="00512042" w:rsidP="00512042">
      <w:pPr>
        <w:tabs>
          <w:tab w:val="left" w:pos="1440"/>
        </w:tabs>
        <w:rPr>
          <w:rFonts w:cs="Times New Roman"/>
          <w:color w:val="000000" w:themeColor="text1"/>
        </w:rPr>
      </w:pPr>
      <w:r w:rsidRPr="0013756A">
        <w:rPr>
          <w:rFonts w:cs="Times New Roman"/>
          <w:color w:val="000000" w:themeColor="text1"/>
        </w:rPr>
        <w:tab/>
      </w:r>
    </w:p>
    <w:p w:rsidR="00512042" w:rsidRPr="0013756A" w:rsidRDefault="00512042" w:rsidP="00512042">
      <w:pPr>
        <w:pStyle w:val="Ttulo1"/>
        <w:rPr>
          <w:rFonts w:cs="Times New Roman"/>
        </w:rPr>
        <w:sectPr w:rsidR="00512042" w:rsidRPr="0013756A" w:rsidSect="005D1A64">
          <w:headerReference w:type="default" r:id="rId9"/>
          <w:pgSz w:w="11906" w:h="16838"/>
          <w:pgMar w:top="1701" w:right="1134" w:bottom="1134" w:left="1701" w:header="708" w:footer="709" w:gutter="0"/>
          <w:cols w:space="708"/>
          <w:docGrid w:linePitch="360"/>
        </w:sectPr>
      </w:pPr>
    </w:p>
    <w:p w:rsidR="00F40BFC" w:rsidRPr="0013756A" w:rsidRDefault="00F40BFC" w:rsidP="00512042">
      <w:pPr>
        <w:pStyle w:val="Ttulo1"/>
        <w:rPr>
          <w:rFonts w:cs="Times New Roman"/>
        </w:rPr>
      </w:pPr>
      <w:bookmarkStart w:id="3" w:name="_Toc516261763"/>
      <w:proofErr w:type="gramStart"/>
      <w:r w:rsidRPr="0013756A">
        <w:rPr>
          <w:rFonts w:cs="Times New Roman"/>
        </w:rPr>
        <w:lastRenderedPageBreak/>
        <w:t>1</w:t>
      </w:r>
      <w:proofErr w:type="gramEnd"/>
      <w:r w:rsidRPr="0013756A">
        <w:rPr>
          <w:rFonts w:cs="Times New Roman"/>
        </w:rPr>
        <w:t xml:space="preserve"> </w:t>
      </w:r>
      <w:bookmarkEnd w:id="0"/>
      <w:r w:rsidR="00A136B5" w:rsidRPr="0013756A">
        <w:rPr>
          <w:rFonts w:cs="Times New Roman"/>
        </w:rPr>
        <w:t xml:space="preserve">DESCRIÇÃO </w:t>
      </w:r>
      <w:bookmarkEnd w:id="3"/>
      <w:r w:rsidR="009129B8">
        <w:rPr>
          <w:rFonts w:cs="Times New Roman"/>
        </w:rPr>
        <w:t>VIVO-TELEFÔNICA BRASIL</w:t>
      </w:r>
    </w:p>
    <w:p w:rsidR="00F40BFC" w:rsidRPr="0013756A" w:rsidRDefault="00F40BFC" w:rsidP="00CE16AF">
      <w:pPr>
        <w:ind w:firstLine="709"/>
        <w:rPr>
          <w:rFonts w:cs="Times New Roman"/>
          <w:color w:val="000000" w:themeColor="text1"/>
        </w:rPr>
      </w:pPr>
    </w:p>
    <w:p w:rsidR="00536652" w:rsidRDefault="009129B8" w:rsidP="00010B42">
      <w:pPr>
        <w:pStyle w:val="Ttulo1"/>
        <w:rPr>
          <w:rFonts w:cs="Times New Roman"/>
          <w:b w:val="0"/>
          <w:color w:val="auto"/>
        </w:rPr>
      </w:pPr>
      <w:r>
        <w:rPr>
          <w:rFonts w:cs="Times New Roman"/>
          <w:b w:val="0"/>
          <w:color w:val="auto"/>
        </w:rPr>
        <w:t xml:space="preserve"> </w:t>
      </w:r>
      <w:r w:rsidR="00706BEC">
        <w:rPr>
          <w:rFonts w:cs="Times New Roman"/>
          <w:b w:val="0"/>
          <w:color w:val="auto"/>
        </w:rPr>
        <w:t xml:space="preserve">      </w:t>
      </w:r>
      <w:r>
        <w:rPr>
          <w:rFonts w:cs="Times New Roman"/>
          <w:b w:val="0"/>
          <w:color w:val="auto"/>
        </w:rPr>
        <w:t>AVIVO é a marca comercial da Telefônica Brasil S.A. concretizada após um processo de privatização das empresas de teleco</w:t>
      </w:r>
      <w:r w:rsidR="00010B42">
        <w:rPr>
          <w:rFonts w:cs="Times New Roman"/>
          <w:b w:val="0"/>
          <w:color w:val="auto"/>
        </w:rPr>
        <w:t>municações brasileiras ocorrido</w:t>
      </w:r>
      <w:r>
        <w:rPr>
          <w:rFonts w:cs="Times New Roman"/>
          <w:b w:val="0"/>
          <w:color w:val="auto"/>
        </w:rPr>
        <w:t xml:space="preserve"> na década de 1990. </w:t>
      </w:r>
      <w:r w:rsidR="0037602C">
        <w:rPr>
          <w:rFonts w:cs="Times New Roman"/>
          <w:b w:val="0"/>
          <w:color w:val="auto"/>
        </w:rPr>
        <w:t>As empresas do sistema Telebrás foram adquiridas por investidores da Telefônica Espanha.</w:t>
      </w:r>
    </w:p>
    <w:p w:rsidR="00010B42" w:rsidRDefault="00706BEC" w:rsidP="009129B8">
      <w:r>
        <w:t xml:space="preserve">       </w:t>
      </w:r>
      <w:r w:rsidR="0037602C">
        <w:t>Inicialmente a empresa oferecia</w:t>
      </w:r>
      <w:r w:rsidR="009129B8">
        <w:t xml:space="preserve"> apenas o serviço de telefonia e, a partir de 2007, passou a oferecer também o serviço de TV por assinatura. Ao longo do tempo a Telefônica foi expandindo os seus serviços e produtos ofertados ao mercado brasileiro e em 2015 a empresa realizou a compra da GVT, ampliando a sua capacidade de </w:t>
      </w:r>
      <w:r>
        <w:t>oferta de serviços e a incorporação de novos produtos à marca, como o serviço de internet banda larga, o qual passou a ser ofertado para além do estado de São Paulo, núcleo inicial de atividades do grupo.</w:t>
      </w:r>
    </w:p>
    <w:p w:rsidR="00706BEC" w:rsidRPr="009129B8" w:rsidRDefault="00706BEC" w:rsidP="009129B8">
      <w:r>
        <w:t xml:space="preserve">      Outros investimentos que objetivaram aumentar a eficiência e qualidade do serviço permitiram</w:t>
      </w:r>
      <w:proofErr w:type="gramStart"/>
      <w:r>
        <w:t xml:space="preserve">  </w:t>
      </w:r>
      <w:proofErr w:type="gramEnd"/>
      <w:r w:rsidR="00010B42">
        <w:t xml:space="preserve">à </w:t>
      </w:r>
      <w:r>
        <w:t>marca VIVO alcançar um número de mais de 100 milhões de usuários dos seus serviços de telefonia, TV por assinatura, internet banda larga, móvel, 3G e 4G.</w:t>
      </w:r>
    </w:p>
    <w:p w:rsidR="00A136B5" w:rsidRPr="0013756A" w:rsidRDefault="00A136B5" w:rsidP="00A136B5">
      <w:pPr>
        <w:rPr>
          <w:rFonts w:cs="Times New Roman"/>
        </w:rPr>
      </w:pPr>
    </w:p>
    <w:p w:rsidR="00A136B5" w:rsidRPr="0037602C" w:rsidRDefault="00706BEC" w:rsidP="0037602C">
      <w:pPr>
        <w:spacing w:line="240" w:lineRule="auto"/>
        <w:ind w:left="2832"/>
        <w:rPr>
          <w:rFonts w:cs="Times New Roman"/>
          <w:sz w:val="28"/>
        </w:rPr>
      </w:pPr>
      <w:r w:rsidRPr="0037602C">
        <w:rPr>
          <w:rFonts w:cs="Times New Roman"/>
          <w:sz w:val="20"/>
          <w:szCs w:val="18"/>
          <w:shd w:val="clear" w:color="auto" w:fill="FFFFFF"/>
        </w:rPr>
        <w:t xml:space="preserve">Guiados pela constante inovação e a alta qualidade dos nossos serviços, temos a visão de nos consolidarmos como uma </w:t>
      </w:r>
      <w:proofErr w:type="spellStart"/>
      <w:r w:rsidRPr="0037602C">
        <w:rPr>
          <w:rFonts w:cs="Times New Roman"/>
          <w:sz w:val="20"/>
          <w:szCs w:val="18"/>
          <w:shd w:val="clear" w:color="auto" w:fill="FFFFFF"/>
        </w:rPr>
        <w:t>Onlife</w:t>
      </w:r>
      <w:proofErr w:type="spellEnd"/>
      <w:r w:rsidRPr="0037602C">
        <w:rPr>
          <w:rFonts w:cs="Times New Roman"/>
          <w:sz w:val="20"/>
          <w:szCs w:val="18"/>
          <w:shd w:val="clear" w:color="auto" w:fill="FFFFFF"/>
        </w:rPr>
        <w:t xml:space="preserve"> </w:t>
      </w:r>
      <w:proofErr w:type="spellStart"/>
      <w:r w:rsidRPr="0037602C">
        <w:rPr>
          <w:rFonts w:cs="Times New Roman"/>
          <w:sz w:val="20"/>
          <w:szCs w:val="18"/>
          <w:shd w:val="clear" w:color="auto" w:fill="FFFFFF"/>
        </w:rPr>
        <w:t>Telco</w:t>
      </w:r>
      <w:proofErr w:type="spellEnd"/>
      <w:r w:rsidRPr="0037602C">
        <w:rPr>
          <w:rFonts w:cs="Times New Roman"/>
          <w:sz w:val="20"/>
          <w:szCs w:val="18"/>
          <w:shd w:val="clear" w:color="auto" w:fill="FFFFFF"/>
        </w:rPr>
        <w:t>. Por isso, atuamos na transformação digital que amplia a autonomia, a personalização e as escolhas em tempo real dos nossos clientes, colocando-os no comando de sua vida digital, com segurança e confiabilidade.</w:t>
      </w:r>
      <w:r w:rsidR="0037602C">
        <w:rPr>
          <w:rFonts w:cs="Times New Roman"/>
          <w:sz w:val="20"/>
          <w:szCs w:val="18"/>
          <w:shd w:val="clear" w:color="auto" w:fill="FFFFFF"/>
        </w:rPr>
        <w:t xml:space="preserve"> (TELFÔNICA BRASIL, 2018).</w:t>
      </w:r>
    </w:p>
    <w:p w:rsidR="00A136B5" w:rsidRDefault="00A136B5" w:rsidP="00A136B5">
      <w:pPr>
        <w:rPr>
          <w:rFonts w:cs="Times New Roman"/>
        </w:rPr>
      </w:pPr>
    </w:p>
    <w:p w:rsidR="0037602C" w:rsidRPr="0013756A" w:rsidRDefault="00010B42" w:rsidP="00010B42">
      <w:pPr>
        <w:rPr>
          <w:rFonts w:cs="Times New Roman"/>
        </w:rPr>
      </w:pPr>
      <w:r>
        <w:rPr>
          <w:rFonts w:cs="Times New Roman"/>
        </w:rPr>
        <w:t xml:space="preserve">        A VIVO foi considerada como a melhor operadora do país </w:t>
      </w:r>
      <w:proofErr w:type="gramStart"/>
      <w:r>
        <w:rPr>
          <w:rFonts w:cs="Times New Roman"/>
        </w:rPr>
        <w:t>pelo IDA</w:t>
      </w:r>
      <w:proofErr w:type="gramEnd"/>
      <w:r>
        <w:rPr>
          <w:rFonts w:cs="Times New Roman"/>
        </w:rPr>
        <w:t xml:space="preserve"> (Índice de Desempenho no Atendimento) da ANATEL. Registrou no ano de 2012 um lucro de aproximadamente R$4,5 bilhões de reais, além de uma estimação do seu valor de mercado ao redor de R$ 10,2 bilhões de reais.</w:t>
      </w:r>
    </w:p>
    <w:p w:rsidR="00A136B5" w:rsidRPr="0013756A" w:rsidRDefault="00A136B5" w:rsidP="00A136B5">
      <w:pPr>
        <w:rPr>
          <w:rFonts w:cs="Times New Roman"/>
        </w:rPr>
      </w:pPr>
    </w:p>
    <w:p w:rsidR="00A136B5" w:rsidRPr="0013756A" w:rsidRDefault="00A136B5" w:rsidP="00A136B5">
      <w:pPr>
        <w:rPr>
          <w:rFonts w:cs="Times New Roman"/>
        </w:rPr>
      </w:pPr>
    </w:p>
    <w:p w:rsidR="00A136B5" w:rsidRPr="0013756A" w:rsidRDefault="00A136B5" w:rsidP="00A136B5">
      <w:pPr>
        <w:rPr>
          <w:rFonts w:cs="Times New Roman"/>
        </w:rPr>
      </w:pPr>
    </w:p>
    <w:p w:rsidR="00A136B5" w:rsidRPr="0013756A" w:rsidRDefault="00A136B5" w:rsidP="00A136B5">
      <w:pPr>
        <w:rPr>
          <w:rFonts w:cs="Times New Roman"/>
        </w:rPr>
      </w:pPr>
    </w:p>
    <w:p w:rsidR="00A136B5" w:rsidRPr="0013756A" w:rsidRDefault="00A136B5" w:rsidP="00A136B5">
      <w:pPr>
        <w:rPr>
          <w:rFonts w:cs="Times New Roman"/>
        </w:rPr>
      </w:pPr>
    </w:p>
    <w:p w:rsidR="00A136B5" w:rsidRPr="0013756A" w:rsidRDefault="00A136B5" w:rsidP="00A136B5">
      <w:pPr>
        <w:rPr>
          <w:rFonts w:cs="Times New Roman"/>
        </w:rPr>
      </w:pPr>
    </w:p>
    <w:p w:rsidR="00A136B5" w:rsidRPr="0013756A" w:rsidRDefault="00A136B5" w:rsidP="00A136B5">
      <w:pPr>
        <w:rPr>
          <w:rFonts w:cs="Times New Roman"/>
        </w:rPr>
      </w:pPr>
    </w:p>
    <w:p w:rsidR="00A136B5" w:rsidRPr="0013756A" w:rsidRDefault="00A136B5" w:rsidP="00A136B5">
      <w:pPr>
        <w:rPr>
          <w:rFonts w:cs="Times New Roman"/>
        </w:rPr>
      </w:pPr>
    </w:p>
    <w:p w:rsidR="00010B42" w:rsidRDefault="00010B42" w:rsidP="0013756A">
      <w:pPr>
        <w:rPr>
          <w:rFonts w:cs="Times New Roman"/>
        </w:rPr>
      </w:pPr>
    </w:p>
    <w:p w:rsidR="00010B42" w:rsidRPr="0013756A" w:rsidRDefault="00010B42" w:rsidP="0013756A">
      <w:pPr>
        <w:rPr>
          <w:rFonts w:cs="Times New Roman"/>
        </w:rPr>
      </w:pPr>
    </w:p>
    <w:p w:rsidR="0013756A" w:rsidRPr="0013756A" w:rsidRDefault="0013756A" w:rsidP="0013756A">
      <w:pPr>
        <w:rPr>
          <w:rFonts w:cs="Times New Roman"/>
        </w:rPr>
      </w:pPr>
    </w:p>
    <w:p w:rsidR="00536652" w:rsidRPr="0013756A" w:rsidRDefault="00536652" w:rsidP="00414CDA">
      <w:pPr>
        <w:pStyle w:val="Ttulo1"/>
        <w:rPr>
          <w:rFonts w:cs="Times New Roman"/>
        </w:rPr>
      </w:pPr>
    </w:p>
    <w:p w:rsidR="0090519B" w:rsidRDefault="0090519B" w:rsidP="00414CDA">
      <w:pPr>
        <w:pStyle w:val="Ttulo1"/>
        <w:rPr>
          <w:rFonts w:cs="Times New Roman"/>
          <w:szCs w:val="24"/>
        </w:rPr>
      </w:pPr>
      <w:bookmarkStart w:id="4" w:name="_Toc516261764"/>
      <w:proofErr w:type="gramStart"/>
      <w:r w:rsidRPr="0013756A">
        <w:rPr>
          <w:rFonts w:cs="Times New Roman"/>
        </w:rPr>
        <w:t>2</w:t>
      </w:r>
      <w:proofErr w:type="gramEnd"/>
      <w:r w:rsidRPr="0013756A">
        <w:rPr>
          <w:rFonts w:cs="Times New Roman"/>
        </w:rPr>
        <w:t xml:space="preserve"> </w:t>
      </w:r>
      <w:bookmarkEnd w:id="1"/>
      <w:r w:rsidR="0013756A">
        <w:rPr>
          <w:rFonts w:cs="Times New Roman"/>
          <w:szCs w:val="24"/>
        </w:rPr>
        <w:t xml:space="preserve">CONJUNTURA ECONÔMICA DO SETOR DE </w:t>
      </w:r>
      <w:bookmarkEnd w:id="4"/>
      <w:r w:rsidR="00010B42">
        <w:rPr>
          <w:rFonts w:cs="Times New Roman"/>
          <w:szCs w:val="24"/>
        </w:rPr>
        <w:t>TELECOMUNICAÇÕES</w:t>
      </w:r>
    </w:p>
    <w:p w:rsidR="0013756A" w:rsidRPr="0013756A" w:rsidRDefault="0013756A" w:rsidP="0013756A"/>
    <w:p w:rsidR="0070158E" w:rsidRDefault="0070158E" w:rsidP="0013756A">
      <w:pPr>
        <w:rPr>
          <w:rFonts w:cs="Times New Roman"/>
          <w:szCs w:val="24"/>
        </w:rPr>
      </w:pPr>
      <w:bookmarkStart w:id="5" w:name="_Toc481955368"/>
      <w:r>
        <w:rPr>
          <w:rFonts w:cs="Times New Roman"/>
          <w:szCs w:val="24"/>
        </w:rPr>
        <w:t xml:space="preserve">            </w:t>
      </w:r>
      <w:r w:rsidR="006F0BDA">
        <w:rPr>
          <w:rFonts w:cs="Times New Roman"/>
          <w:szCs w:val="24"/>
        </w:rPr>
        <w:t xml:space="preserve">De acordo com o presidente da ANATEL, Juarez Quadros, a crise econômica dos últimos </w:t>
      </w:r>
      <w:proofErr w:type="gramStart"/>
      <w:r w:rsidR="006F0BDA">
        <w:rPr>
          <w:rFonts w:cs="Times New Roman"/>
          <w:szCs w:val="24"/>
        </w:rPr>
        <w:t>5</w:t>
      </w:r>
      <w:proofErr w:type="gramEnd"/>
      <w:r w:rsidR="006F0BDA">
        <w:rPr>
          <w:rFonts w:cs="Times New Roman"/>
          <w:szCs w:val="24"/>
        </w:rPr>
        <w:t xml:space="preserve"> anos afetou o setor de telecomunicações, porém este se encontra num estado, por ele denominado, de “piloto automático”. O setor que depende da reestruturação de leis, regulações e outros imbróglios políticos e econômicos fazem com que o setor apresente </w:t>
      </w:r>
      <w:r>
        <w:rPr>
          <w:rFonts w:cs="Times New Roman"/>
          <w:szCs w:val="24"/>
        </w:rPr>
        <w:t>problemas advindos das ondas de inovações tecnológicas, tais como os aplicativos de mensagens, chamadas de voz e vídeo via internet, aspectos que aumentam a concorrência com os antigos serviços de mensagem SMS, por exemplo.</w:t>
      </w:r>
    </w:p>
    <w:p w:rsidR="0070158E" w:rsidRDefault="0070158E" w:rsidP="0013756A">
      <w:pPr>
        <w:rPr>
          <w:rFonts w:cs="Times New Roman"/>
          <w:szCs w:val="24"/>
        </w:rPr>
      </w:pPr>
      <w:r>
        <w:rPr>
          <w:rFonts w:cs="Times New Roman"/>
          <w:szCs w:val="24"/>
        </w:rPr>
        <w:t xml:space="preserve">         Sintetizando a história da telecomunicação no Brasil, desde a época das privatizações ocorridas na década de 1990, o país apresentou um crescimento significativo no produto interno bruto, alcançando mais quase R$6,5 trilhões de reais em 2017, a renda per capita cresceu aproximadamente 25% daquele tempo até os dias atuais, houve também a redução do coeficiente de </w:t>
      </w:r>
      <w:proofErr w:type="spellStart"/>
      <w:r>
        <w:rPr>
          <w:rFonts w:cs="Times New Roman"/>
          <w:szCs w:val="24"/>
        </w:rPr>
        <w:t>Gini</w:t>
      </w:r>
      <w:proofErr w:type="spellEnd"/>
      <w:r>
        <w:rPr>
          <w:rFonts w:cs="Times New Roman"/>
          <w:szCs w:val="24"/>
        </w:rPr>
        <w:t>, denotando uma melhor distribuição na renda e um aumento no consumo geral, inclusive de produtos de telecomunicações.</w:t>
      </w:r>
    </w:p>
    <w:p w:rsidR="00306C6A" w:rsidRDefault="00306C6A" w:rsidP="0013756A">
      <w:pPr>
        <w:rPr>
          <w:rFonts w:cs="Times New Roman"/>
          <w:szCs w:val="24"/>
        </w:rPr>
      </w:pPr>
      <w:r>
        <w:rPr>
          <w:rFonts w:cs="Times New Roman"/>
          <w:noProof/>
          <w:szCs w:val="24"/>
          <w:lang w:eastAsia="pt-BR"/>
        </w:rPr>
        <w:drawing>
          <wp:inline distT="0" distB="0" distL="0" distR="0">
            <wp:extent cx="5753100" cy="2828925"/>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3100" cy="2828925"/>
                    </a:xfrm>
                    <a:prstGeom prst="rect">
                      <a:avLst/>
                    </a:prstGeom>
                    <a:noFill/>
                    <a:ln w="9525">
                      <a:noFill/>
                      <a:miter lim="800000"/>
                      <a:headEnd/>
                      <a:tailEnd/>
                    </a:ln>
                  </pic:spPr>
                </pic:pic>
              </a:graphicData>
            </a:graphic>
          </wp:inline>
        </w:drawing>
      </w:r>
    </w:p>
    <w:p w:rsidR="00306C6A" w:rsidRDefault="0070158E" w:rsidP="0013756A">
      <w:pPr>
        <w:rPr>
          <w:rFonts w:cs="Times New Roman"/>
          <w:szCs w:val="24"/>
        </w:rPr>
      </w:pPr>
      <w:r>
        <w:rPr>
          <w:rFonts w:cs="Times New Roman"/>
          <w:szCs w:val="24"/>
        </w:rPr>
        <w:t xml:space="preserve">        O PIB do setor de telecomunicações apresentou um crescimento superior ao PIB total nos últimos 20 anos.</w:t>
      </w:r>
      <w:r w:rsidR="00306C6A">
        <w:rPr>
          <w:rFonts w:cs="Times New Roman"/>
          <w:szCs w:val="24"/>
        </w:rPr>
        <w:t xml:space="preserve"> </w:t>
      </w:r>
      <w:proofErr w:type="gramStart"/>
      <w:r w:rsidR="00306C6A">
        <w:rPr>
          <w:rFonts w:cs="Times New Roman"/>
          <w:szCs w:val="24"/>
        </w:rPr>
        <w:t>A densidade das linhas de telefonia fixa se mantiveram</w:t>
      </w:r>
      <w:proofErr w:type="gramEnd"/>
      <w:r w:rsidR="00306C6A">
        <w:rPr>
          <w:rFonts w:cs="Times New Roman"/>
          <w:szCs w:val="24"/>
        </w:rPr>
        <w:t xml:space="preserve"> constantes ao longo do tempo. Por outro lado, as linhas de telefonia móvel apresentaram um significativo aumento a partir do ano de 2003. </w:t>
      </w:r>
    </w:p>
    <w:p w:rsidR="00306C6A" w:rsidRDefault="00306C6A" w:rsidP="0013756A">
      <w:pPr>
        <w:rPr>
          <w:rFonts w:cs="Times New Roman"/>
          <w:szCs w:val="24"/>
        </w:rPr>
      </w:pPr>
    </w:p>
    <w:p w:rsidR="00306C6A" w:rsidRDefault="00306C6A" w:rsidP="0013756A">
      <w:pPr>
        <w:rPr>
          <w:rFonts w:cs="Times New Roman"/>
          <w:szCs w:val="24"/>
        </w:rPr>
      </w:pPr>
    </w:p>
    <w:p w:rsidR="00306C6A" w:rsidRDefault="00306C6A" w:rsidP="0013756A">
      <w:pPr>
        <w:rPr>
          <w:rFonts w:cs="Times New Roman"/>
          <w:szCs w:val="24"/>
        </w:rPr>
      </w:pPr>
      <w:r>
        <w:rPr>
          <w:rFonts w:cs="Times New Roman"/>
          <w:noProof/>
          <w:szCs w:val="24"/>
          <w:lang w:eastAsia="pt-BR"/>
        </w:rPr>
        <w:lastRenderedPageBreak/>
        <w:drawing>
          <wp:inline distT="0" distB="0" distL="0" distR="0">
            <wp:extent cx="5753100" cy="3190875"/>
            <wp:effectExtent l="1905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53100" cy="3190875"/>
                    </a:xfrm>
                    <a:prstGeom prst="rect">
                      <a:avLst/>
                    </a:prstGeom>
                    <a:noFill/>
                    <a:ln w="9525">
                      <a:noFill/>
                      <a:miter lim="800000"/>
                      <a:headEnd/>
                      <a:tailEnd/>
                    </a:ln>
                  </pic:spPr>
                </pic:pic>
              </a:graphicData>
            </a:graphic>
          </wp:inline>
        </w:drawing>
      </w:r>
    </w:p>
    <w:p w:rsidR="00306C6A" w:rsidRDefault="00306C6A" w:rsidP="0013756A">
      <w:pPr>
        <w:rPr>
          <w:rFonts w:cs="Times New Roman"/>
          <w:szCs w:val="24"/>
        </w:rPr>
      </w:pPr>
      <w:r>
        <w:rPr>
          <w:rFonts w:cs="Times New Roman"/>
          <w:szCs w:val="24"/>
        </w:rPr>
        <w:t xml:space="preserve">       Outro aspecto notável sobre o setor é a contabilização dos assinantes dos mais variáveis serviços e sua evolução ao longo dos últimos 20 anos. É interessante notar que sempre há um aumento do número de usuários de telefonia móvel superior aos demais serviços, </w:t>
      </w:r>
      <w:proofErr w:type="gramStart"/>
      <w:r>
        <w:rPr>
          <w:rFonts w:cs="Times New Roman"/>
          <w:szCs w:val="24"/>
        </w:rPr>
        <w:t>sejam</w:t>
      </w:r>
      <w:proofErr w:type="gramEnd"/>
      <w:r>
        <w:rPr>
          <w:rFonts w:cs="Times New Roman"/>
          <w:szCs w:val="24"/>
        </w:rPr>
        <w:t xml:space="preserve"> eles de TV por assinatura, telefonia fixa ou internet banda larga.</w:t>
      </w:r>
    </w:p>
    <w:p w:rsidR="00306C6A" w:rsidRDefault="00306C6A" w:rsidP="0013756A">
      <w:pPr>
        <w:rPr>
          <w:rFonts w:cs="Times New Roman"/>
          <w:szCs w:val="24"/>
        </w:rPr>
      </w:pPr>
      <w:r>
        <w:rPr>
          <w:rFonts w:cs="Times New Roman"/>
          <w:noProof/>
          <w:szCs w:val="24"/>
          <w:lang w:eastAsia="pt-BR"/>
        </w:rPr>
        <w:drawing>
          <wp:inline distT="0" distB="0" distL="0" distR="0">
            <wp:extent cx="5753100" cy="3228975"/>
            <wp:effectExtent l="19050" t="0" r="0" b="0"/>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53100" cy="3228975"/>
                    </a:xfrm>
                    <a:prstGeom prst="rect">
                      <a:avLst/>
                    </a:prstGeom>
                    <a:noFill/>
                    <a:ln w="9525">
                      <a:noFill/>
                      <a:miter lim="800000"/>
                      <a:headEnd/>
                      <a:tailEnd/>
                    </a:ln>
                  </pic:spPr>
                </pic:pic>
              </a:graphicData>
            </a:graphic>
          </wp:inline>
        </w:drawing>
      </w:r>
    </w:p>
    <w:p w:rsidR="00BF71C7" w:rsidRDefault="00BF71C7" w:rsidP="0013756A">
      <w:pPr>
        <w:rPr>
          <w:rFonts w:cs="Times New Roman"/>
          <w:szCs w:val="24"/>
        </w:rPr>
      </w:pPr>
      <w:r>
        <w:rPr>
          <w:rFonts w:cs="Times New Roman"/>
          <w:szCs w:val="24"/>
        </w:rPr>
        <w:t xml:space="preserve"> O setor de telecomunicações apresentou uma variação no volume de serviços de 90,6% desde o ano base, 2014, até a última data de pesquisa, Julho de 2018. A receita nominal do setor registrou um aumento de 93,3%, também comparado de 2014 a 2018.</w:t>
      </w:r>
    </w:p>
    <w:p w:rsidR="00306C6A" w:rsidRDefault="00306C6A" w:rsidP="0013756A">
      <w:pPr>
        <w:rPr>
          <w:rFonts w:cs="Times New Roman"/>
          <w:szCs w:val="24"/>
        </w:rPr>
      </w:pPr>
    </w:p>
    <w:p w:rsidR="0013756A" w:rsidRDefault="00306C6A" w:rsidP="0013756A">
      <w:pPr>
        <w:rPr>
          <w:rFonts w:cs="Times New Roman"/>
          <w:szCs w:val="24"/>
        </w:rPr>
      </w:pPr>
      <w:r>
        <w:rPr>
          <w:rFonts w:cs="Times New Roman"/>
          <w:szCs w:val="24"/>
        </w:rPr>
        <w:t xml:space="preserve">       </w:t>
      </w:r>
      <w:r w:rsidR="0070158E">
        <w:rPr>
          <w:rFonts w:cs="Times New Roman"/>
          <w:szCs w:val="24"/>
        </w:rPr>
        <w:t xml:space="preserve"> </w:t>
      </w:r>
      <w:r w:rsidR="006F0BDA">
        <w:rPr>
          <w:rFonts w:cs="Times New Roman"/>
          <w:szCs w:val="24"/>
        </w:rPr>
        <w:t xml:space="preserve"> </w:t>
      </w:r>
    </w:p>
    <w:p w:rsidR="0013756A" w:rsidRPr="0013756A" w:rsidRDefault="0013756A" w:rsidP="0013756A">
      <w:pPr>
        <w:rPr>
          <w:rFonts w:cs="Times New Roman"/>
          <w:szCs w:val="24"/>
        </w:rPr>
      </w:pPr>
    </w:p>
    <w:p w:rsidR="0013756A" w:rsidRDefault="0013756A" w:rsidP="0090519B">
      <w:pPr>
        <w:pStyle w:val="Ttulo2"/>
        <w:rPr>
          <w:color w:val="000000" w:themeColor="text1"/>
        </w:rPr>
      </w:pPr>
    </w:p>
    <w:p w:rsidR="0013756A" w:rsidRPr="0013756A" w:rsidRDefault="00E64FC7" w:rsidP="0013756A">
      <w:pPr>
        <w:pStyle w:val="Ttulo1"/>
        <w:rPr>
          <w:rFonts w:cs="Times New Roman"/>
        </w:rPr>
      </w:pPr>
      <w:bookmarkStart w:id="6" w:name="_Toc516261765"/>
      <w:bookmarkEnd w:id="5"/>
      <w:r w:rsidRPr="0013756A">
        <w:rPr>
          <w:rFonts w:cs="Times New Roman"/>
        </w:rPr>
        <w:t xml:space="preserve">3 </w:t>
      </w:r>
      <w:r w:rsidR="0013756A" w:rsidRPr="0013756A">
        <w:rPr>
          <w:rFonts w:cs="Times New Roman"/>
          <w:szCs w:val="24"/>
        </w:rPr>
        <w:t xml:space="preserve">ANÁLISE </w:t>
      </w:r>
      <w:r w:rsidR="0047541D">
        <w:rPr>
          <w:rFonts w:cs="Times New Roman"/>
          <w:szCs w:val="24"/>
        </w:rPr>
        <w:t>DOS DEMONSTRATIVOS CONTÁBEIS</w:t>
      </w:r>
      <w:bookmarkEnd w:id="6"/>
    </w:p>
    <w:p w:rsidR="0013756A" w:rsidRPr="0013756A" w:rsidRDefault="0013756A" w:rsidP="0013756A">
      <w:pPr>
        <w:pStyle w:val="Ttulo2"/>
        <w:rPr>
          <w:color w:val="000000" w:themeColor="text1"/>
        </w:rPr>
      </w:pPr>
    </w:p>
    <w:p w:rsidR="0013756A" w:rsidRDefault="0013756A" w:rsidP="0013756A">
      <w:pPr>
        <w:pStyle w:val="Ttulo2"/>
        <w:rPr>
          <w:szCs w:val="24"/>
        </w:rPr>
      </w:pPr>
      <w:bookmarkStart w:id="7" w:name="_Toc516261766"/>
      <w:r>
        <w:rPr>
          <w:color w:val="000000" w:themeColor="text1"/>
        </w:rPr>
        <w:t>3</w:t>
      </w:r>
      <w:r w:rsidRPr="0013756A">
        <w:rPr>
          <w:color w:val="000000" w:themeColor="text1"/>
        </w:rPr>
        <w:t xml:space="preserve">.1 </w:t>
      </w:r>
      <w:r w:rsidRPr="0013756A">
        <w:rPr>
          <w:szCs w:val="24"/>
        </w:rPr>
        <w:t>Análise Vertical DRE</w:t>
      </w:r>
      <w:bookmarkEnd w:id="7"/>
    </w:p>
    <w:p w:rsidR="009E07EB" w:rsidRPr="0013756A" w:rsidRDefault="009E07EB" w:rsidP="0013756A">
      <w:pPr>
        <w:pStyle w:val="Ttulo2"/>
        <w:rPr>
          <w:color w:val="000000" w:themeColor="text1"/>
        </w:rPr>
      </w:pPr>
    </w:p>
    <w:p w:rsidR="009E07EB" w:rsidRDefault="009E07EB" w:rsidP="00EB351E">
      <w:pPr>
        <w:ind w:firstLine="709"/>
      </w:pPr>
      <w:r>
        <w:t>De acordo com o Portal Gestão (2015), “a</w:t>
      </w:r>
      <w:r w:rsidRPr="006746E8">
        <w:t xml:space="preserve"> análise vertical vai analisar as demonstrações financeiras em proporção de uma determinada grandeza.</w:t>
      </w:r>
      <w:r>
        <w:t xml:space="preserve"> [...]</w:t>
      </w:r>
      <w:r w:rsidRPr="006746E8">
        <w:t xml:space="preserve"> No caso da análise da demonstração de resultados, irá apresentar as suas diversas rubricas em função das vendas, também em percentagem.</w:t>
      </w:r>
      <w:proofErr w:type="gramStart"/>
      <w:r>
        <w:t>”</w:t>
      </w:r>
      <w:proofErr w:type="gramEnd"/>
    </w:p>
    <w:p w:rsidR="00B90D05" w:rsidRPr="0013756A" w:rsidRDefault="00557E31" w:rsidP="00EB351E">
      <w:pPr>
        <w:ind w:firstLine="709"/>
        <w:rPr>
          <w:rFonts w:cs="Times New Roman"/>
        </w:rPr>
      </w:pPr>
      <w:r>
        <w:t>Observando</w:t>
      </w:r>
      <w:r w:rsidR="000D095A">
        <w:t xml:space="preserve"> a Tabela 1, o lucro </w:t>
      </w:r>
      <w:r>
        <w:t xml:space="preserve">da </w:t>
      </w:r>
      <w:proofErr w:type="spellStart"/>
      <w:r>
        <w:t>VIVO-Telefônica</w:t>
      </w:r>
      <w:proofErr w:type="spellEnd"/>
      <w:r>
        <w:t xml:space="preserve"> Brasil permaneceu constante ou sofreu variações pequenas até 2015, quando houve uma redução decorrente de um aumento nas despesas e uma redução nas receitas financeiras. Em diante, o lucro começa a retomar níveis dos anos anteriores, registrando até o 2° trimestre de 2018 seu melhor valor.</w:t>
      </w:r>
    </w:p>
    <w:p w:rsidR="0013756A" w:rsidRPr="0013756A" w:rsidRDefault="0013756A" w:rsidP="0013756A">
      <w:pPr>
        <w:pStyle w:val="Legenda"/>
        <w:keepNext/>
        <w:spacing w:after="0"/>
        <w:jc w:val="center"/>
        <w:rPr>
          <w:rFonts w:cs="Times New Roman"/>
          <w:b/>
          <w:i w:val="0"/>
          <w:color w:val="000000" w:themeColor="text1"/>
          <w:sz w:val="24"/>
        </w:rPr>
      </w:pPr>
      <w:r w:rsidRPr="0013756A">
        <w:rPr>
          <w:rFonts w:cs="Times New Roman"/>
          <w:b/>
          <w:i w:val="0"/>
          <w:color w:val="000000" w:themeColor="text1"/>
          <w:sz w:val="24"/>
        </w:rPr>
        <w:t>Tabela 1 – Análise Vertical da DRE</w:t>
      </w:r>
    </w:p>
    <w:p w:rsidR="0013756A" w:rsidRPr="0013756A" w:rsidRDefault="000D095A" w:rsidP="0013756A">
      <w:pPr>
        <w:rPr>
          <w:rFonts w:cs="Times New Roman"/>
          <w:b/>
          <w:szCs w:val="24"/>
        </w:rPr>
      </w:pPr>
      <w:r>
        <w:rPr>
          <w:rFonts w:cs="Times New Roman"/>
          <w:b/>
          <w:noProof/>
          <w:szCs w:val="24"/>
          <w:lang w:eastAsia="pt-BR"/>
        </w:rPr>
        <w:drawing>
          <wp:inline distT="0" distB="0" distL="0" distR="0">
            <wp:extent cx="5753100" cy="2428875"/>
            <wp:effectExtent l="19050" t="0" r="0" b="0"/>
            <wp:docPr id="1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753100" cy="2428875"/>
                    </a:xfrm>
                    <a:prstGeom prst="rect">
                      <a:avLst/>
                    </a:prstGeom>
                    <a:noFill/>
                    <a:ln w="9525">
                      <a:noFill/>
                      <a:miter lim="800000"/>
                      <a:headEnd/>
                      <a:tailEnd/>
                    </a:ln>
                  </pic:spPr>
                </pic:pic>
              </a:graphicData>
            </a:graphic>
          </wp:inline>
        </w:drawing>
      </w:r>
    </w:p>
    <w:p w:rsidR="0013756A" w:rsidRPr="00987FDD" w:rsidRDefault="0013756A" w:rsidP="00987FDD">
      <w:pPr>
        <w:jc w:val="center"/>
        <w:rPr>
          <w:rFonts w:cs="Times New Roman"/>
          <w:sz w:val="20"/>
          <w:szCs w:val="24"/>
        </w:rPr>
      </w:pPr>
      <w:r w:rsidRPr="0013756A">
        <w:rPr>
          <w:rFonts w:cs="Times New Roman"/>
          <w:sz w:val="20"/>
          <w:szCs w:val="24"/>
        </w:rPr>
        <w:t xml:space="preserve">Fonte: </w:t>
      </w:r>
      <w:proofErr w:type="spellStart"/>
      <w:r w:rsidRPr="0013756A">
        <w:rPr>
          <w:rFonts w:cs="Times New Roman"/>
          <w:sz w:val="20"/>
          <w:szCs w:val="24"/>
        </w:rPr>
        <w:t>Valuation</w:t>
      </w:r>
      <w:proofErr w:type="spellEnd"/>
      <w:r w:rsidRPr="0013756A">
        <w:rPr>
          <w:rFonts w:cs="Times New Roman"/>
          <w:sz w:val="20"/>
          <w:szCs w:val="24"/>
        </w:rPr>
        <w:t xml:space="preserve"> </w:t>
      </w:r>
      <w:proofErr w:type="spellStart"/>
      <w:r w:rsidR="003B09BB">
        <w:rPr>
          <w:rFonts w:cs="Times New Roman"/>
          <w:sz w:val="20"/>
          <w:szCs w:val="24"/>
        </w:rPr>
        <w:t>VIVO-Telefônica</w:t>
      </w:r>
      <w:proofErr w:type="spellEnd"/>
      <w:r w:rsidR="003B09BB">
        <w:rPr>
          <w:rFonts w:cs="Times New Roman"/>
          <w:sz w:val="20"/>
          <w:szCs w:val="24"/>
        </w:rPr>
        <w:t xml:space="preserve"> Brasil</w:t>
      </w:r>
    </w:p>
    <w:p w:rsidR="00B62BFA" w:rsidRDefault="00B62BFA" w:rsidP="0013756A">
      <w:pPr>
        <w:pStyle w:val="Ttulo2"/>
        <w:rPr>
          <w:rFonts w:eastAsiaTheme="minorHAnsi"/>
          <w:bCs w:val="0"/>
          <w:color w:val="000000" w:themeColor="text1"/>
          <w:szCs w:val="22"/>
          <w:lang w:eastAsia="en-US"/>
        </w:rPr>
      </w:pPr>
      <w:bookmarkStart w:id="8" w:name="_Toc481955369"/>
    </w:p>
    <w:p w:rsidR="0013756A" w:rsidRPr="0013756A" w:rsidRDefault="0013756A" w:rsidP="0013756A">
      <w:pPr>
        <w:pStyle w:val="Ttulo2"/>
        <w:rPr>
          <w:color w:val="000000" w:themeColor="text1"/>
        </w:rPr>
      </w:pPr>
      <w:bookmarkStart w:id="9" w:name="_Toc516261767"/>
      <w:r>
        <w:rPr>
          <w:color w:val="000000" w:themeColor="text1"/>
        </w:rPr>
        <w:t>3</w:t>
      </w:r>
      <w:r w:rsidRPr="0013756A">
        <w:rPr>
          <w:color w:val="000000" w:themeColor="text1"/>
        </w:rPr>
        <w:t xml:space="preserve">.2 </w:t>
      </w:r>
      <w:bookmarkEnd w:id="8"/>
      <w:r w:rsidRPr="0013756A">
        <w:rPr>
          <w:color w:val="000000" w:themeColor="text1"/>
        </w:rPr>
        <w:t>Análise Horizontal DRE</w:t>
      </w:r>
      <w:bookmarkEnd w:id="9"/>
    </w:p>
    <w:p w:rsidR="00B90D05" w:rsidRDefault="00B90D05" w:rsidP="009E07EB">
      <w:pPr>
        <w:ind w:firstLine="709"/>
        <w:rPr>
          <w:rFonts w:ascii="PT Serif" w:hAnsi="PT Serif"/>
          <w:color w:val="6C6D74"/>
          <w:shd w:val="clear" w:color="auto" w:fill="FFFFFF"/>
        </w:rPr>
      </w:pPr>
    </w:p>
    <w:p w:rsidR="009E07EB" w:rsidRPr="00B90D05" w:rsidRDefault="00B90D05" w:rsidP="00B90D05">
      <w:pPr>
        <w:ind w:firstLine="709"/>
        <w:rPr>
          <w:rFonts w:cs="Times New Roman"/>
          <w:color w:val="000000" w:themeColor="text1"/>
        </w:rPr>
      </w:pPr>
      <w:r w:rsidRPr="00B90D05">
        <w:rPr>
          <w:rFonts w:cs="Times New Roman"/>
          <w:color w:val="000000" w:themeColor="text1"/>
        </w:rPr>
        <w:t>De acordo com o Portal Gestão (2015), “a</w:t>
      </w:r>
      <w:r w:rsidR="009E07EB" w:rsidRPr="00B90D05">
        <w:rPr>
          <w:rFonts w:cs="Times New Roman"/>
          <w:color w:val="000000" w:themeColor="text1"/>
        </w:rPr>
        <w:t xml:space="preserve"> análise horizontal vai ler um conjunto de demonstrações financeiras ao longo de diversos períodos, meses ou anos, por exemplo. A partir dessa leitura, poderão retirar-se conclusões </w:t>
      </w:r>
      <w:r w:rsidRPr="00B90D05">
        <w:rPr>
          <w:rFonts w:cs="Times New Roman"/>
          <w:color w:val="000000" w:themeColor="text1"/>
        </w:rPr>
        <w:t xml:space="preserve">[...] </w:t>
      </w:r>
      <w:r w:rsidR="009E07EB" w:rsidRPr="00B90D05">
        <w:rPr>
          <w:rFonts w:cs="Times New Roman"/>
          <w:color w:val="000000" w:themeColor="text1"/>
        </w:rPr>
        <w:t>do seu desempenho (quando se analisa a demonstração de resultados).</w:t>
      </w:r>
      <w:r w:rsidRPr="00B90D05">
        <w:rPr>
          <w:rFonts w:cs="Times New Roman"/>
          <w:color w:val="000000" w:themeColor="text1"/>
        </w:rPr>
        <w:t>”</w:t>
      </w:r>
    </w:p>
    <w:p w:rsidR="0013756A" w:rsidRPr="00BC128E" w:rsidRDefault="00BC128E" w:rsidP="00BC128E">
      <w:pPr>
        <w:rPr>
          <w:rFonts w:cs="Times New Roman"/>
          <w:szCs w:val="24"/>
        </w:rPr>
      </w:pPr>
      <w:r>
        <w:rPr>
          <w:rFonts w:cs="Times New Roman"/>
          <w:szCs w:val="24"/>
        </w:rPr>
        <w:t xml:space="preserve">            </w:t>
      </w:r>
      <w:r w:rsidR="00557E31" w:rsidRPr="00BC128E">
        <w:rPr>
          <w:rFonts w:cs="Times New Roman"/>
          <w:szCs w:val="24"/>
        </w:rPr>
        <w:t xml:space="preserve">Analisando a Tabela 2, observa-se que a empresa registrou lucros crescentes desde o ano de 2010, sofrendo uma queda na crise de 2015, porém retomando níveis cada vez mais </w:t>
      </w:r>
      <w:r w:rsidR="00557E31" w:rsidRPr="00BC128E">
        <w:rPr>
          <w:rFonts w:cs="Times New Roman"/>
          <w:szCs w:val="24"/>
        </w:rPr>
        <w:lastRenderedPageBreak/>
        <w:t>altos, culminando numa variação de 188% desde o início da coleta de dados.</w:t>
      </w:r>
    </w:p>
    <w:p w:rsidR="0013756A" w:rsidRDefault="0013756A" w:rsidP="0013756A">
      <w:pPr>
        <w:pStyle w:val="Legenda"/>
        <w:keepNext/>
        <w:spacing w:after="0"/>
        <w:jc w:val="center"/>
        <w:rPr>
          <w:rFonts w:cs="Times New Roman"/>
          <w:b/>
          <w:i w:val="0"/>
          <w:color w:val="000000" w:themeColor="text1"/>
          <w:sz w:val="24"/>
        </w:rPr>
      </w:pPr>
      <w:r w:rsidRPr="0013756A">
        <w:rPr>
          <w:rFonts w:cs="Times New Roman"/>
          <w:b/>
          <w:i w:val="0"/>
          <w:color w:val="000000" w:themeColor="text1"/>
          <w:sz w:val="24"/>
        </w:rPr>
        <w:t>Tabela 2 – Análise Horizontal da DRE</w:t>
      </w:r>
    </w:p>
    <w:p w:rsidR="00557E31" w:rsidRPr="00557E31" w:rsidRDefault="00557E31" w:rsidP="00557E31"/>
    <w:p w:rsidR="00557E31" w:rsidRPr="00557E31" w:rsidRDefault="00557E31" w:rsidP="00557E31">
      <w:r>
        <w:rPr>
          <w:noProof/>
          <w:lang w:eastAsia="pt-BR"/>
        </w:rPr>
        <w:drawing>
          <wp:inline distT="0" distB="0" distL="0" distR="0">
            <wp:extent cx="5753100" cy="2571750"/>
            <wp:effectExtent l="19050" t="0" r="0" b="0"/>
            <wp:docPr id="1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753100" cy="2571750"/>
                    </a:xfrm>
                    <a:prstGeom prst="rect">
                      <a:avLst/>
                    </a:prstGeom>
                    <a:noFill/>
                    <a:ln w="9525">
                      <a:noFill/>
                      <a:miter lim="800000"/>
                      <a:headEnd/>
                      <a:tailEnd/>
                    </a:ln>
                  </pic:spPr>
                </pic:pic>
              </a:graphicData>
            </a:graphic>
          </wp:inline>
        </w:drawing>
      </w:r>
    </w:p>
    <w:p w:rsidR="0013756A" w:rsidRPr="0013756A" w:rsidRDefault="0013756A" w:rsidP="0013756A">
      <w:pPr>
        <w:rPr>
          <w:rFonts w:cs="Times New Roman"/>
          <w:b/>
          <w:szCs w:val="24"/>
        </w:rPr>
      </w:pPr>
    </w:p>
    <w:p w:rsidR="00B62BFA" w:rsidRPr="00557E31" w:rsidRDefault="0013756A" w:rsidP="00B62BFA">
      <w:pPr>
        <w:jc w:val="center"/>
        <w:rPr>
          <w:rFonts w:cs="Times New Roman"/>
          <w:sz w:val="20"/>
          <w:szCs w:val="24"/>
        </w:rPr>
      </w:pPr>
      <w:r w:rsidRPr="00557E31">
        <w:rPr>
          <w:rFonts w:cs="Times New Roman"/>
          <w:sz w:val="20"/>
          <w:szCs w:val="24"/>
        </w:rPr>
        <w:t xml:space="preserve">Fonte: </w:t>
      </w:r>
      <w:proofErr w:type="spellStart"/>
      <w:r w:rsidRPr="00557E31">
        <w:rPr>
          <w:rFonts w:cs="Times New Roman"/>
          <w:sz w:val="20"/>
          <w:szCs w:val="24"/>
        </w:rPr>
        <w:t>Valuation</w:t>
      </w:r>
      <w:proofErr w:type="spellEnd"/>
      <w:r w:rsidRPr="00557E31">
        <w:rPr>
          <w:rFonts w:cs="Times New Roman"/>
          <w:sz w:val="20"/>
          <w:szCs w:val="24"/>
        </w:rPr>
        <w:t xml:space="preserve"> </w:t>
      </w:r>
      <w:proofErr w:type="spellStart"/>
      <w:r w:rsidR="00557E31" w:rsidRPr="00557E31">
        <w:rPr>
          <w:rFonts w:cs="Times New Roman"/>
          <w:sz w:val="20"/>
          <w:szCs w:val="24"/>
        </w:rPr>
        <w:t>VIVO-Telefônica</w:t>
      </w:r>
      <w:proofErr w:type="spellEnd"/>
      <w:r w:rsidR="00557E31" w:rsidRPr="00557E31">
        <w:rPr>
          <w:rFonts w:cs="Times New Roman"/>
          <w:sz w:val="20"/>
          <w:szCs w:val="24"/>
        </w:rPr>
        <w:t xml:space="preserve"> B</w:t>
      </w:r>
      <w:r w:rsidR="00557E31">
        <w:rPr>
          <w:rFonts w:cs="Times New Roman"/>
          <w:sz w:val="20"/>
          <w:szCs w:val="24"/>
        </w:rPr>
        <w:t>rasil</w:t>
      </w:r>
    </w:p>
    <w:p w:rsidR="00B62BFA" w:rsidRPr="00557E31" w:rsidRDefault="00B62BFA" w:rsidP="00B62BFA">
      <w:pPr>
        <w:jc w:val="center"/>
        <w:rPr>
          <w:rFonts w:cs="Times New Roman"/>
          <w:sz w:val="20"/>
          <w:szCs w:val="24"/>
        </w:rPr>
      </w:pPr>
    </w:p>
    <w:p w:rsidR="0013756A" w:rsidRPr="009129B8" w:rsidRDefault="0013756A" w:rsidP="002D720D">
      <w:pPr>
        <w:pStyle w:val="Ttulo2"/>
        <w:rPr>
          <w:lang w:val="fr-CA"/>
        </w:rPr>
      </w:pPr>
      <w:bookmarkStart w:id="10" w:name="_Toc481955370"/>
      <w:bookmarkStart w:id="11" w:name="_Toc516261768"/>
      <w:r w:rsidRPr="009129B8">
        <w:rPr>
          <w:lang w:val="fr-CA"/>
        </w:rPr>
        <w:t xml:space="preserve">3.3 </w:t>
      </w:r>
      <w:bookmarkEnd w:id="10"/>
      <w:r w:rsidR="00A969B1" w:rsidRPr="009129B8">
        <w:rPr>
          <w:lang w:val="fr-CA"/>
        </w:rPr>
        <w:t>Índice de Liquidez</w:t>
      </w:r>
      <w:bookmarkEnd w:id="11"/>
    </w:p>
    <w:p w:rsidR="00A969B1" w:rsidRPr="009129B8" w:rsidRDefault="00557E31" w:rsidP="0013756A">
      <w:pPr>
        <w:pStyle w:val="Ttulo2"/>
        <w:rPr>
          <w:color w:val="000000" w:themeColor="text1"/>
          <w:lang w:val="fr-CA"/>
        </w:rPr>
      </w:pPr>
      <w:r>
        <w:rPr>
          <w:noProof/>
          <w:color w:val="000000" w:themeColor="text1"/>
        </w:rPr>
        <w:drawing>
          <wp:inline distT="0" distB="0" distL="0" distR="0">
            <wp:extent cx="5762625" cy="933450"/>
            <wp:effectExtent l="19050" t="0" r="9525" b="0"/>
            <wp:docPr id="1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rsidR="00A969B1" w:rsidRPr="009129B8" w:rsidRDefault="00A969B1" w:rsidP="00A969B1">
      <w:pPr>
        <w:pStyle w:val="Ttulo2"/>
        <w:ind w:firstLine="709"/>
        <w:rPr>
          <w:b w:val="0"/>
          <w:color w:val="000000" w:themeColor="text1"/>
          <w:lang w:val="fr-CA"/>
        </w:rPr>
      </w:pPr>
    </w:p>
    <w:p w:rsidR="00A969B1" w:rsidRDefault="00A969B1" w:rsidP="000A34ED">
      <w:pPr>
        <w:ind w:firstLine="709"/>
        <w:rPr>
          <w:rFonts w:cs="Times New Roman"/>
          <w:color w:val="000000" w:themeColor="text1"/>
        </w:rPr>
      </w:pPr>
      <w:r w:rsidRPr="00E54A5A">
        <w:t>Ao se analis</w:t>
      </w:r>
      <w:r>
        <w:t xml:space="preserve">ar os indicadores de liquidez </w:t>
      </w:r>
      <w:proofErr w:type="gramStart"/>
      <w:r>
        <w:t>é perceptível</w:t>
      </w:r>
      <w:proofErr w:type="gramEnd"/>
      <w:r>
        <w:t xml:space="preserve"> que </w:t>
      </w:r>
      <w:r w:rsidR="000A34ED">
        <w:t xml:space="preserve">a </w:t>
      </w:r>
      <w:proofErr w:type="spellStart"/>
      <w:r w:rsidR="000A34ED">
        <w:t>VIVO-Telefônica</w:t>
      </w:r>
      <w:proofErr w:type="spellEnd"/>
      <w:r w:rsidR="000A34ED">
        <w:t xml:space="preserve"> Brasil</w:t>
      </w:r>
      <w:r>
        <w:t xml:space="preserve"> não está solvente, uma vez que para cada R$ 1,00 de </w:t>
      </w:r>
      <w:r w:rsidR="000A34ED">
        <w:t>obrigações, a empresa tem R$ 0,2</w:t>
      </w:r>
      <w:r>
        <w:t>3 de ativo circulante</w:t>
      </w:r>
      <w:r w:rsidR="000A34ED">
        <w:t xml:space="preserve"> para cumprir suas obrigações de caixa. No entanto, verifica-se que os demais índices de liquidez apresentam baixa solvência, porém com situação menos crítica do que o problema de caixa, excetuando-se a liquidez geral. Todos apresentam valores inferiores a </w:t>
      </w:r>
      <w:proofErr w:type="gramStart"/>
      <w:r w:rsidR="000A34ED">
        <w:t>1</w:t>
      </w:r>
      <w:proofErr w:type="gramEnd"/>
      <w:r w:rsidR="000A34ED">
        <w:t>, denotando que há uma falta de liquidez e um risco de não pagamento aos credores da empresa.</w:t>
      </w:r>
    </w:p>
    <w:p w:rsidR="000A34ED" w:rsidRDefault="000A34ED" w:rsidP="002D720D">
      <w:pPr>
        <w:pStyle w:val="Ttulo2"/>
      </w:pPr>
      <w:bookmarkStart w:id="12" w:name="_Toc516261770"/>
    </w:p>
    <w:p w:rsidR="000A34ED" w:rsidRDefault="000A34ED" w:rsidP="002D720D">
      <w:pPr>
        <w:pStyle w:val="Ttulo2"/>
      </w:pPr>
    </w:p>
    <w:p w:rsidR="000A34ED" w:rsidRDefault="000A34ED" w:rsidP="002D720D">
      <w:pPr>
        <w:pStyle w:val="Ttulo2"/>
      </w:pPr>
    </w:p>
    <w:p w:rsidR="000A34ED" w:rsidRDefault="000A34ED" w:rsidP="002D720D">
      <w:pPr>
        <w:pStyle w:val="Ttulo2"/>
      </w:pPr>
    </w:p>
    <w:p w:rsidR="00BC128E" w:rsidRDefault="00BC128E" w:rsidP="002D720D">
      <w:pPr>
        <w:pStyle w:val="Ttulo2"/>
      </w:pPr>
    </w:p>
    <w:p w:rsidR="00A969B1" w:rsidRDefault="00A969B1" w:rsidP="002D720D">
      <w:pPr>
        <w:pStyle w:val="Ttulo2"/>
      </w:pPr>
      <w:proofErr w:type="gramStart"/>
      <w:r w:rsidRPr="002D720D">
        <w:lastRenderedPageBreak/>
        <w:t>3.4 Índice</w:t>
      </w:r>
      <w:proofErr w:type="gramEnd"/>
      <w:r w:rsidRPr="002D720D">
        <w:t xml:space="preserve"> de Atividade</w:t>
      </w:r>
      <w:bookmarkEnd w:id="12"/>
    </w:p>
    <w:p w:rsidR="000A34ED" w:rsidRPr="002D720D" w:rsidRDefault="000A34ED" w:rsidP="002D720D">
      <w:pPr>
        <w:pStyle w:val="Ttulo2"/>
      </w:pPr>
    </w:p>
    <w:p w:rsidR="00A969B1" w:rsidRDefault="000A34ED" w:rsidP="00A969B1">
      <w:pPr>
        <w:pStyle w:val="Ttulo2"/>
        <w:ind w:firstLine="709"/>
      </w:pPr>
      <w:r>
        <w:rPr>
          <w:noProof/>
        </w:rPr>
        <w:drawing>
          <wp:inline distT="0" distB="0" distL="0" distR="0">
            <wp:extent cx="5753100" cy="1057275"/>
            <wp:effectExtent l="19050" t="0" r="0" b="0"/>
            <wp:docPr id="18"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5753100" cy="1057275"/>
                    </a:xfrm>
                    <a:prstGeom prst="rect">
                      <a:avLst/>
                    </a:prstGeom>
                    <a:noFill/>
                    <a:ln w="9525">
                      <a:noFill/>
                      <a:miter lim="800000"/>
                      <a:headEnd/>
                      <a:tailEnd/>
                    </a:ln>
                  </pic:spPr>
                </pic:pic>
              </a:graphicData>
            </a:graphic>
          </wp:inline>
        </w:drawing>
      </w:r>
    </w:p>
    <w:p w:rsidR="000B5435" w:rsidRDefault="000B5435" w:rsidP="00A969B1">
      <w:pPr>
        <w:pStyle w:val="Ttulo2"/>
        <w:ind w:firstLine="709"/>
        <w:rPr>
          <w:rFonts w:ascii="Arial" w:hAnsi="Arial" w:cs="Arial"/>
          <w:color w:val="666666"/>
          <w:sz w:val="18"/>
          <w:szCs w:val="18"/>
          <w:shd w:val="clear" w:color="auto" w:fill="FFFFFF"/>
        </w:rPr>
      </w:pPr>
    </w:p>
    <w:p w:rsidR="000B5435" w:rsidRPr="000B5435" w:rsidRDefault="000B5435" w:rsidP="00EB351E">
      <w:pPr>
        <w:ind w:firstLine="709"/>
      </w:pPr>
      <w:r w:rsidRPr="000B5435">
        <w:t xml:space="preserve">De acordo com a Sociedade de Negócios (2018), </w:t>
      </w:r>
      <w:r>
        <w:t>“</w:t>
      </w:r>
      <w:r w:rsidRPr="000B5435">
        <w:t>os indicadores de atividade são usados na análise financeira de uma empresa e servem para medir a rapidez com que várias contas são convertidas em vendas ou caixa.</w:t>
      </w:r>
      <w:r>
        <w:t>” Quando meno</w:t>
      </w:r>
      <w:r w:rsidR="000A34ED">
        <w:t>re</w:t>
      </w:r>
      <w:r>
        <w:t xml:space="preserve">s esses indicadores, melhor para a empresa e de acordo com os resultados apresentados acima a empresa </w:t>
      </w:r>
      <w:proofErr w:type="spellStart"/>
      <w:r w:rsidR="000A34ED">
        <w:t>VIVO-Telefônica</w:t>
      </w:r>
      <w:proofErr w:type="spellEnd"/>
      <w:r w:rsidR="000A34ED">
        <w:t xml:space="preserve"> Brasil</w:t>
      </w:r>
      <w:r>
        <w:t xml:space="preserve"> tem melhorado seus in</w:t>
      </w:r>
      <w:r w:rsidR="000A34ED">
        <w:t>dicadores com o passar dos anos, com exceção do item “GIRO DE CONTAS A</w:t>
      </w:r>
      <w:r w:rsidR="00BC128E">
        <w:t xml:space="preserve"> RECEBER”, pois apresentou pouca</w:t>
      </w:r>
      <w:r w:rsidR="000A34ED">
        <w:t xml:space="preserve"> variação e, às vezes, um aumento.</w:t>
      </w:r>
    </w:p>
    <w:p w:rsidR="00D77169" w:rsidRDefault="00D77169" w:rsidP="00D77169">
      <w:pPr>
        <w:pStyle w:val="Ttulo2"/>
        <w:rPr>
          <w:b w:val="0"/>
          <w:szCs w:val="24"/>
        </w:rPr>
      </w:pPr>
    </w:p>
    <w:p w:rsidR="00D77169" w:rsidRPr="002D720D" w:rsidRDefault="00D77169" w:rsidP="002D720D">
      <w:pPr>
        <w:pStyle w:val="Ttulo2"/>
      </w:pPr>
      <w:bookmarkStart w:id="13" w:name="_Toc516261772"/>
      <w:r w:rsidRPr="002D720D">
        <w:t>3.5 Margem Financeira</w:t>
      </w:r>
      <w:bookmarkEnd w:id="13"/>
    </w:p>
    <w:p w:rsidR="00A969B1" w:rsidRDefault="0073605B" w:rsidP="0013756A">
      <w:pPr>
        <w:ind w:firstLine="709"/>
        <w:rPr>
          <w:rFonts w:cs="Times New Roman"/>
          <w:szCs w:val="24"/>
        </w:rPr>
      </w:pPr>
      <w:r>
        <w:rPr>
          <w:rFonts w:cs="Times New Roman"/>
          <w:noProof/>
          <w:szCs w:val="24"/>
          <w:lang w:eastAsia="pt-BR"/>
        </w:rPr>
        <w:drawing>
          <wp:inline distT="0" distB="0" distL="0" distR="0">
            <wp:extent cx="5753100" cy="952500"/>
            <wp:effectExtent l="19050" t="0" r="0" b="0"/>
            <wp:docPr id="1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D77169" w:rsidRDefault="00D77169" w:rsidP="0013756A">
      <w:pPr>
        <w:ind w:firstLine="709"/>
        <w:rPr>
          <w:rFonts w:cs="Times New Roman"/>
          <w:szCs w:val="24"/>
        </w:rPr>
      </w:pPr>
    </w:p>
    <w:p w:rsidR="00D77169" w:rsidRDefault="00D77169" w:rsidP="00D77169">
      <w:pPr>
        <w:ind w:firstLine="709"/>
      </w:pPr>
      <w:r>
        <w:t xml:space="preserve">A margem financeira da </w:t>
      </w:r>
      <w:proofErr w:type="spellStart"/>
      <w:r w:rsidR="0073605B">
        <w:t>VIVO-Telefônica</w:t>
      </w:r>
      <w:proofErr w:type="spellEnd"/>
      <w:r w:rsidR="0073605B">
        <w:t xml:space="preserve"> Brasil</w:t>
      </w:r>
      <w:r>
        <w:t xml:space="preserve"> apresentou </w:t>
      </w:r>
      <w:r w:rsidR="0073605B">
        <w:t>variações no</w:t>
      </w:r>
      <w:r>
        <w:t xml:space="preserve"> período analisado, apresentando uma </w:t>
      </w:r>
      <w:r w:rsidR="0073605B">
        <w:t>relativa constância</w:t>
      </w:r>
      <w:r>
        <w:t xml:space="preserve"> na margem bruta, </w:t>
      </w:r>
      <w:r w:rsidR="0073605B">
        <w:t xml:space="preserve">aumento na </w:t>
      </w:r>
      <w:r>
        <w:t>margem operacional</w:t>
      </w:r>
      <w:r w:rsidR="0073605B">
        <w:t xml:space="preserve"> com oscilações negativas no período da crise econômica e margem líquida semelhante.</w:t>
      </w:r>
    </w:p>
    <w:p w:rsidR="00D77169" w:rsidRDefault="00D77169" w:rsidP="00D77169"/>
    <w:p w:rsidR="00D77169" w:rsidRPr="002D720D" w:rsidRDefault="00D77169" w:rsidP="002D720D">
      <w:pPr>
        <w:pStyle w:val="Ttulo2"/>
      </w:pPr>
      <w:bookmarkStart w:id="14" w:name="_Toc516261773"/>
      <w:r w:rsidRPr="002D720D">
        <w:t>3.6 Ativo total</w:t>
      </w:r>
      <w:bookmarkEnd w:id="14"/>
    </w:p>
    <w:p w:rsidR="00D77169" w:rsidRDefault="00D77169" w:rsidP="0013756A">
      <w:pPr>
        <w:ind w:firstLine="709"/>
        <w:rPr>
          <w:rFonts w:cs="Times New Roman"/>
          <w:szCs w:val="24"/>
        </w:rPr>
      </w:pPr>
    </w:p>
    <w:p w:rsidR="0013756A" w:rsidRPr="0013756A" w:rsidRDefault="0013756A" w:rsidP="0013756A">
      <w:pPr>
        <w:ind w:firstLine="709"/>
        <w:rPr>
          <w:rFonts w:cs="Times New Roman"/>
          <w:szCs w:val="24"/>
        </w:rPr>
      </w:pPr>
      <w:r w:rsidRPr="0013756A">
        <w:rPr>
          <w:rFonts w:cs="Times New Roman"/>
          <w:szCs w:val="24"/>
        </w:rPr>
        <w:t xml:space="preserve">Observa-se através do ativo total da empresa </w:t>
      </w:r>
      <w:proofErr w:type="spellStart"/>
      <w:r w:rsidR="0073605B">
        <w:rPr>
          <w:rFonts w:cs="Times New Roman"/>
          <w:szCs w:val="24"/>
        </w:rPr>
        <w:t>VIVO-Telefônica</w:t>
      </w:r>
      <w:proofErr w:type="spellEnd"/>
      <w:r w:rsidR="0073605B">
        <w:rPr>
          <w:rFonts w:cs="Times New Roman"/>
          <w:szCs w:val="24"/>
        </w:rPr>
        <w:t xml:space="preserve"> Brasil</w:t>
      </w:r>
      <w:r w:rsidR="00987FDD">
        <w:rPr>
          <w:rFonts w:cs="Times New Roman"/>
          <w:szCs w:val="24"/>
        </w:rPr>
        <w:t xml:space="preserve"> na Tabela 3</w:t>
      </w:r>
      <w:r w:rsidRPr="0013756A">
        <w:rPr>
          <w:rFonts w:cs="Times New Roman"/>
          <w:szCs w:val="24"/>
        </w:rPr>
        <w:t xml:space="preserve"> que houve </w:t>
      </w:r>
      <w:r w:rsidR="0073605B">
        <w:rPr>
          <w:rFonts w:cs="Times New Roman"/>
          <w:szCs w:val="24"/>
        </w:rPr>
        <w:t xml:space="preserve">um expressivo </w:t>
      </w:r>
      <w:r w:rsidRPr="0013756A">
        <w:rPr>
          <w:rFonts w:cs="Times New Roman"/>
          <w:szCs w:val="24"/>
        </w:rPr>
        <w:t>crescimento</w:t>
      </w:r>
      <w:r w:rsidR="0073605B">
        <w:rPr>
          <w:rFonts w:cs="Times New Roman"/>
          <w:szCs w:val="24"/>
        </w:rPr>
        <w:t xml:space="preserve"> de 2010 para 2011 e</w:t>
      </w:r>
      <w:r w:rsidR="00D478CA">
        <w:rPr>
          <w:rFonts w:cs="Times New Roman"/>
          <w:szCs w:val="24"/>
        </w:rPr>
        <w:t xml:space="preserve"> nos anos seguintes o crescimento se manteve alcançando seu maior valor em 2016</w:t>
      </w:r>
      <w:r w:rsidR="00034AEF">
        <w:rPr>
          <w:rFonts w:cs="Times New Roman"/>
          <w:szCs w:val="24"/>
        </w:rPr>
        <w:t xml:space="preserve">. </w:t>
      </w:r>
      <w:r w:rsidR="00D478CA">
        <w:rPr>
          <w:rFonts w:cs="Times New Roman"/>
          <w:szCs w:val="24"/>
        </w:rPr>
        <w:t>Em 2017, porém, há uma redução no ativo total.</w:t>
      </w:r>
    </w:p>
    <w:p w:rsidR="0013756A" w:rsidRDefault="0013756A" w:rsidP="0013756A">
      <w:pPr>
        <w:rPr>
          <w:rFonts w:cs="Times New Roman"/>
          <w:b/>
          <w:szCs w:val="24"/>
        </w:rPr>
      </w:pPr>
    </w:p>
    <w:p w:rsidR="0013756A" w:rsidRPr="0013756A" w:rsidRDefault="0013756A" w:rsidP="0013756A">
      <w:pPr>
        <w:rPr>
          <w:rFonts w:cs="Times New Roman"/>
          <w:b/>
          <w:szCs w:val="24"/>
        </w:rPr>
      </w:pPr>
    </w:p>
    <w:p w:rsidR="0013756A" w:rsidRPr="0013756A" w:rsidRDefault="0013756A" w:rsidP="0013756A">
      <w:pPr>
        <w:rPr>
          <w:rFonts w:cs="Times New Roman"/>
          <w:b/>
          <w:szCs w:val="24"/>
        </w:rPr>
      </w:pPr>
    </w:p>
    <w:p w:rsidR="0013756A" w:rsidRPr="0013756A" w:rsidRDefault="0013756A" w:rsidP="0013756A">
      <w:pPr>
        <w:pStyle w:val="Legenda"/>
        <w:keepNext/>
        <w:spacing w:after="0"/>
        <w:jc w:val="center"/>
        <w:rPr>
          <w:rFonts w:cs="Times New Roman"/>
          <w:b/>
          <w:i w:val="0"/>
          <w:color w:val="000000" w:themeColor="text1"/>
          <w:sz w:val="24"/>
        </w:rPr>
      </w:pPr>
      <w:r w:rsidRPr="0013756A">
        <w:rPr>
          <w:rFonts w:cs="Times New Roman"/>
          <w:b/>
          <w:i w:val="0"/>
          <w:color w:val="000000" w:themeColor="text1"/>
          <w:sz w:val="24"/>
        </w:rPr>
        <w:lastRenderedPageBreak/>
        <w:t>Tabela 3 – Ativo Total</w:t>
      </w:r>
    </w:p>
    <w:p w:rsidR="0013756A" w:rsidRPr="0013756A" w:rsidRDefault="0073605B" w:rsidP="0013756A">
      <w:pPr>
        <w:rPr>
          <w:rFonts w:cs="Times New Roman"/>
          <w:szCs w:val="24"/>
        </w:rPr>
      </w:pPr>
      <w:r>
        <w:rPr>
          <w:rFonts w:cs="Times New Roman"/>
          <w:noProof/>
          <w:szCs w:val="24"/>
          <w:lang w:eastAsia="pt-BR"/>
        </w:rPr>
        <w:drawing>
          <wp:inline distT="0" distB="0" distL="0" distR="0">
            <wp:extent cx="5753100" cy="2400300"/>
            <wp:effectExtent l="19050" t="0" r="0" b="0"/>
            <wp:docPr id="20"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753100" cy="2400300"/>
                    </a:xfrm>
                    <a:prstGeom prst="rect">
                      <a:avLst/>
                    </a:prstGeom>
                    <a:noFill/>
                    <a:ln w="9525">
                      <a:noFill/>
                      <a:miter lim="800000"/>
                      <a:headEnd/>
                      <a:tailEnd/>
                    </a:ln>
                  </pic:spPr>
                </pic:pic>
              </a:graphicData>
            </a:graphic>
          </wp:inline>
        </w:drawing>
      </w:r>
    </w:p>
    <w:p w:rsidR="0013756A" w:rsidRDefault="0013756A" w:rsidP="0013756A">
      <w:pPr>
        <w:jc w:val="center"/>
        <w:rPr>
          <w:rFonts w:cs="Times New Roman"/>
          <w:sz w:val="20"/>
          <w:szCs w:val="24"/>
        </w:rPr>
      </w:pPr>
      <w:r w:rsidRPr="0013756A">
        <w:rPr>
          <w:rFonts w:cs="Times New Roman"/>
          <w:szCs w:val="24"/>
        </w:rPr>
        <w:tab/>
      </w:r>
      <w:r w:rsidRPr="0013756A">
        <w:rPr>
          <w:rFonts w:cs="Times New Roman"/>
          <w:sz w:val="20"/>
          <w:szCs w:val="24"/>
        </w:rPr>
        <w:t xml:space="preserve">Fonte: </w:t>
      </w:r>
      <w:proofErr w:type="spellStart"/>
      <w:r w:rsidRPr="0013756A">
        <w:rPr>
          <w:rFonts w:cs="Times New Roman"/>
          <w:sz w:val="20"/>
          <w:szCs w:val="24"/>
        </w:rPr>
        <w:t>Valuation</w:t>
      </w:r>
      <w:proofErr w:type="spellEnd"/>
      <w:r w:rsidRPr="0013756A">
        <w:rPr>
          <w:rFonts w:cs="Times New Roman"/>
          <w:sz w:val="20"/>
          <w:szCs w:val="24"/>
        </w:rPr>
        <w:t xml:space="preserve"> </w:t>
      </w:r>
      <w:proofErr w:type="spellStart"/>
      <w:r w:rsidR="0073605B">
        <w:rPr>
          <w:rFonts w:cs="Times New Roman"/>
          <w:sz w:val="20"/>
          <w:szCs w:val="24"/>
        </w:rPr>
        <w:t>VIVO-Telefônica</w:t>
      </w:r>
      <w:proofErr w:type="spellEnd"/>
      <w:r w:rsidR="0073605B">
        <w:rPr>
          <w:rFonts w:cs="Times New Roman"/>
          <w:sz w:val="20"/>
          <w:szCs w:val="24"/>
        </w:rPr>
        <w:t xml:space="preserve"> Brasil</w:t>
      </w:r>
    </w:p>
    <w:p w:rsidR="00987FDD" w:rsidRPr="0013756A" w:rsidRDefault="00987FDD" w:rsidP="0013756A">
      <w:pPr>
        <w:jc w:val="center"/>
        <w:rPr>
          <w:rFonts w:cs="Times New Roman"/>
          <w:sz w:val="20"/>
          <w:szCs w:val="24"/>
        </w:rPr>
      </w:pPr>
    </w:p>
    <w:p w:rsidR="0013756A" w:rsidRPr="0013756A" w:rsidRDefault="0013756A" w:rsidP="00987FDD">
      <w:pPr>
        <w:ind w:firstLine="709"/>
        <w:rPr>
          <w:rFonts w:cs="Times New Roman"/>
          <w:szCs w:val="24"/>
        </w:rPr>
      </w:pPr>
      <w:r w:rsidRPr="0013756A">
        <w:rPr>
          <w:rFonts w:cs="Times New Roman"/>
          <w:szCs w:val="24"/>
        </w:rPr>
        <w:tab/>
      </w:r>
    </w:p>
    <w:p w:rsidR="0013756A" w:rsidRPr="0013756A" w:rsidRDefault="0013756A" w:rsidP="00987FDD">
      <w:pPr>
        <w:ind w:firstLine="709"/>
        <w:rPr>
          <w:rFonts w:cs="Times New Roman"/>
          <w:szCs w:val="24"/>
        </w:rPr>
      </w:pPr>
      <w:r w:rsidRPr="0013756A">
        <w:rPr>
          <w:rFonts w:cs="Times New Roman"/>
          <w:szCs w:val="24"/>
        </w:rPr>
        <w:t>Observando</w:t>
      </w:r>
      <w:r w:rsidR="005B79AF">
        <w:rPr>
          <w:rFonts w:cs="Times New Roman"/>
          <w:szCs w:val="24"/>
        </w:rPr>
        <w:t>-se a Tabela</w:t>
      </w:r>
      <w:r w:rsidRPr="0013756A">
        <w:rPr>
          <w:rFonts w:cs="Times New Roman"/>
          <w:szCs w:val="24"/>
        </w:rPr>
        <w:t xml:space="preserve"> 3 pode-se observar também que grande parte da riqueza da empresa se enco</w:t>
      </w:r>
      <w:r w:rsidR="00D478CA">
        <w:rPr>
          <w:rFonts w:cs="Times New Roman"/>
          <w:szCs w:val="24"/>
        </w:rPr>
        <w:t>ntra em seus ativos permanentes.</w:t>
      </w:r>
    </w:p>
    <w:p w:rsidR="0013756A" w:rsidRDefault="0013756A" w:rsidP="0013756A">
      <w:pPr>
        <w:ind w:firstLine="709"/>
        <w:rPr>
          <w:rFonts w:cs="Times New Roman"/>
          <w:color w:val="000000" w:themeColor="text1"/>
        </w:rPr>
      </w:pPr>
    </w:p>
    <w:p w:rsidR="0013756A" w:rsidRPr="002D720D" w:rsidRDefault="0013756A" w:rsidP="002D720D">
      <w:pPr>
        <w:pStyle w:val="Ttulo2"/>
      </w:pPr>
      <w:bookmarkStart w:id="15" w:name="_Toc481955371"/>
      <w:bookmarkStart w:id="16" w:name="_Toc516261774"/>
      <w:r w:rsidRPr="002D720D">
        <w:t>3.</w:t>
      </w:r>
      <w:r w:rsidR="00D77169" w:rsidRPr="002D720D">
        <w:t>7</w:t>
      </w:r>
      <w:r w:rsidRPr="002D720D">
        <w:t xml:space="preserve"> </w:t>
      </w:r>
      <w:bookmarkEnd w:id="15"/>
      <w:r w:rsidRPr="002D720D">
        <w:t>Passivo total</w:t>
      </w:r>
      <w:bookmarkEnd w:id="16"/>
    </w:p>
    <w:p w:rsidR="0013756A" w:rsidRPr="0013756A" w:rsidRDefault="0013756A" w:rsidP="0013756A">
      <w:pPr>
        <w:rPr>
          <w:rFonts w:cs="Times New Roman"/>
          <w:color w:val="000000" w:themeColor="text1"/>
        </w:rPr>
      </w:pPr>
    </w:p>
    <w:p w:rsidR="00987FDD" w:rsidRDefault="00987FDD" w:rsidP="00987FDD">
      <w:pPr>
        <w:ind w:firstLine="709"/>
        <w:rPr>
          <w:rFonts w:cs="Times New Roman"/>
          <w:szCs w:val="24"/>
        </w:rPr>
      </w:pPr>
      <w:r w:rsidRPr="00987FDD">
        <w:rPr>
          <w:rFonts w:cs="Times New Roman"/>
          <w:szCs w:val="24"/>
        </w:rPr>
        <w:t xml:space="preserve">Analisando o passivo da empresa </w:t>
      </w:r>
      <w:proofErr w:type="spellStart"/>
      <w:r w:rsidR="00D478CA">
        <w:rPr>
          <w:rFonts w:cs="Times New Roman"/>
          <w:szCs w:val="24"/>
        </w:rPr>
        <w:t>VIVO-Telefônica</w:t>
      </w:r>
      <w:proofErr w:type="spellEnd"/>
      <w:r w:rsidR="00D478CA">
        <w:rPr>
          <w:rFonts w:cs="Times New Roman"/>
          <w:szCs w:val="24"/>
        </w:rPr>
        <w:t xml:space="preserve"> Brasil</w:t>
      </w:r>
      <w:r w:rsidRPr="00987FDD">
        <w:rPr>
          <w:rFonts w:cs="Times New Roman"/>
          <w:szCs w:val="24"/>
        </w:rPr>
        <w:t xml:space="preserve"> observa-se que </w:t>
      </w:r>
      <w:r>
        <w:rPr>
          <w:rFonts w:cs="Times New Roman"/>
          <w:szCs w:val="24"/>
        </w:rPr>
        <w:t xml:space="preserve">não </w:t>
      </w:r>
      <w:r w:rsidR="0034282A">
        <w:rPr>
          <w:rFonts w:cs="Times New Roman"/>
          <w:szCs w:val="24"/>
        </w:rPr>
        <w:t>há</w:t>
      </w:r>
      <w:r>
        <w:rPr>
          <w:rFonts w:cs="Times New Roman"/>
          <w:szCs w:val="24"/>
        </w:rPr>
        <w:t xml:space="preserve"> uma dívida significativa. </w:t>
      </w:r>
      <w:r w:rsidRPr="00987FDD">
        <w:rPr>
          <w:rFonts w:cs="Times New Roman"/>
          <w:szCs w:val="24"/>
        </w:rPr>
        <w:t xml:space="preserve">Além de ser uma empresa que distribui muitos </w:t>
      </w:r>
      <w:r w:rsidR="00D478CA">
        <w:rPr>
          <w:rFonts w:cs="Times New Roman"/>
          <w:szCs w:val="24"/>
        </w:rPr>
        <w:t>dividendos para seus acionistas, pois seu patrimônio líquido é graúdo.</w:t>
      </w:r>
    </w:p>
    <w:p w:rsidR="00D478CA" w:rsidRPr="00987FDD" w:rsidRDefault="00D478CA" w:rsidP="00D478CA">
      <w:pPr>
        <w:rPr>
          <w:rFonts w:cs="Times New Roman"/>
          <w:szCs w:val="24"/>
        </w:rPr>
      </w:pPr>
    </w:p>
    <w:p w:rsidR="00A136B5" w:rsidRPr="0013756A" w:rsidRDefault="00A136B5" w:rsidP="00A136B5">
      <w:pPr>
        <w:rPr>
          <w:rFonts w:cs="Times New Roman"/>
          <w:szCs w:val="24"/>
        </w:rPr>
      </w:pPr>
    </w:p>
    <w:p w:rsidR="00A136B5" w:rsidRPr="0013756A" w:rsidRDefault="00A136B5" w:rsidP="00A136B5">
      <w:pPr>
        <w:rPr>
          <w:rFonts w:cs="Times New Roman"/>
          <w:szCs w:val="24"/>
        </w:rPr>
      </w:pPr>
    </w:p>
    <w:p w:rsidR="00A136B5" w:rsidRDefault="00A136B5" w:rsidP="00A136B5">
      <w:pPr>
        <w:rPr>
          <w:rFonts w:cs="Times New Roman"/>
          <w:noProof/>
          <w:lang w:eastAsia="pt-BR"/>
        </w:rPr>
      </w:pPr>
    </w:p>
    <w:p w:rsidR="00D13F06" w:rsidRDefault="00D13F06" w:rsidP="00A136B5">
      <w:pPr>
        <w:rPr>
          <w:rFonts w:cs="Times New Roman"/>
          <w:szCs w:val="24"/>
        </w:rPr>
      </w:pPr>
    </w:p>
    <w:p w:rsidR="00AB259E" w:rsidRDefault="00AB259E" w:rsidP="00A136B5">
      <w:pPr>
        <w:rPr>
          <w:rFonts w:cs="Times New Roman"/>
          <w:szCs w:val="24"/>
        </w:rPr>
      </w:pPr>
    </w:p>
    <w:p w:rsidR="00AB259E" w:rsidRPr="0013756A" w:rsidRDefault="00AB259E" w:rsidP="00A136B5">
      <w:pPr>
        <w:rPr>
          <w:rFonts w:cs="Times New Roman"/>
          <w:szCs w:val="24"/>
        </w:rPr>
      </w:pPr>
    </w:p>
    <w:p w:rsidR="00A136B5" w:rsidRDefault="00A136B5" w:rsidP="00FD1212">
      <w:pPr>
        <w:ind w:firstLine="709"/>
        <w:rPr>
          <w:rFonts w:cs="Times New Roman"/>
          <w:szCs w:val="24"/>
        </w:rPr>
      </w:pPr>
    </w:p>
    <w:p w:rsidR="00B62BFA" w:rsidRPr="0013756A" w:rsidRDefault="00B62BFA" w:rsidP="00FD1212">
      <w:pPr>
        <w:ind w:firstLine="709"/>
        <w:rPr>
          <w:rFonts w:cs="Times New Roman"/>
          <w:color w:val="000000" w:themeColor="text1"/>
          <w:spacing w:val="-2"/>
        </w:rPr>
      </w:pPr>
    </w:p>
    <w:p w:rsidR="00D478CA" w:rsidRDefault="00D478CA" w:rsidP="00414CDA">
      <w:pPr>
        <w:pStyle w:val="Ttulo1"/>
        <w:rPr>
          <w:rFonts w:cs="Times New Roman"/>
          <w:szCs w:val="24"/>
        </w:rPr>
      </w:pPr>
      <w:bookmarkStart w:id="17" w:name="_Toc516261775"/>
    </w:p>
    <w:p w:rsidR="00D478CA" w:rsidRDefault="00D478CA" w:rsidP="00414CDA">
      <w:pPr>
        <w:pStyle w:val="Ttulo1"/>
        <w:rPr>
          <w:rFonts w:cs="Times New Roman"/>
          <w:szCs w:val="24"/>
        </w:rPr>
      </w:pPr>
    </w:p>
    <w:p w:rsidR="00D478CA" w:rsidRDefault="00D478CA" w:rsidP="00414CDA">
      <w:pPr>
        <w:pStyle w:val="Ttulo1"/>
        <w:rPr>
          <w:rFonts w:cs="Times New Roman"/>
          <w:szCs w:val="24"/>
        </w:rPr>
      </w:pPr>
    </w:p>
    <w:p w:rsidR="00D478CA" w:rsidRDefault="00D478CA" w:rsidP="00414CDA">
      <w:pPr>
        <w:pStyle w:val="Ttulo1"/>
        <w:rPr>
          <w:rFonts w:cs="Times New Roman"/>
          <w:szCs w:val="24"/>
        </w:rPr>
      </w:pPr>
    </w:p>
    <w:p w:rsidR="00644FF5" w:rsidRPr="0013756A" w:rsidRDefault="00644FF5" w:rsidP="00414CDA">
      <w:pPr>
        <w:pStyle w:val="Ttulo1"/>
        <w:rPr>
          <w:rFonts w:cs="Times New Roman"/>
          <w:szCs w:val="24"/>
        </w:rPr>
      </w:pPr>
      <w:proofErr w:type="gramStart"/>
      <w:r w:rsidRPr="0013756A">
        <w:rPr>
          <w:rFonts w:cs="Times New Roman"/>
          <w:szCs w:val="24"/>
        </w:rPr>
        <w:lastRenderedPageBreak/>
        <w:t>4</w:t>
      </w:r>
      <w:proofErr w:type="gramEnd"/>
      <w:r w:rsidRPr="0013756A">
        <w:rPr>
          <w:rFonts w:cs="Times New Roman"/>
          <w:szCs w:val="24"/>
        </w:rPr>
        <w:t xml:space="preserve"> </w:t>
      </w:r>
      <w:r w:rsidR="0013756A">
        <w:rPr>
          <w:rFonts w:cs="Times New Roman"/>
          <w:szCs w:val="24"/>
        </w:rPr>
        <w:t>ANÁLISE DO INVESTIMENTO</w:t>
      </w:r>
      <w:bookmarkEnd w:id="17"/>
    </w:p>
    <w:p w:rsidR="00644FF5" w:rsidRDefault="00644FF5" w:rsidP="00274816">
      <w:pPr>
        <w:rPr>
          <w:rFonts w:cs="Times New Roman"/>
          <w:color w:val="000000" w:themeColor="text1"/>
          <w:szCs w:val="24"/>
        </w:rPr>
      </w:pPr>
    </w:p>
    <w:p w:rsidR="00350269" w:rsidRDefault="00350269" w:rsidP="00350269">
      <w:pPr>
        <w:ind w:firstLine="709"/>
        <w:rPr>
          <w:rFonts w:cs="Times New Roman"/>
          <w:color w:val="000000" w:themeColor="text1"/>
          <w:szCs w:val="24"/>
        </w:rPr>
      </w:pPr>
      <w:r>
        <w:rPr>
          <w:rFonts w:cs="Times New Roman"/>
          <w:color w:val="000000" w:themeColor="text1"/>
          <w:szCs w:val="24"/>
        </w:rPr>
        <w:t>O objetivo de uma análise de investimento é maximizar o negócio ou a empresa que está realizando o investimento.</w:t>
      </w:r>
      <w:r w:rsidR="004E391E">
        <w:rPr>
          <w:rFonts w:cs="Times New Roman"/>
          <w:color w:val="000000" w:themeColor="text1"/>
          <w:szCs w:val="24"/>
        </w:rPr>
        <w:t xml:space="preserve"> Para tomar as decisões com relação aos investimentos baseando-se nos lucros contábeis é preciso analisar o retorno sobre o capital investido (ROA). Já o ROE é o retorno sobre o patrimônio líquido e é utilizado para o investidor em ações.</w:t>
      </w:r>
    </w:p>
    <w:p w:rsidR="00B62BFA" w:rsidRDefault="00D478CA" w:rsidP="00EB351E">
      <w:pPr>
        <w:ind w:firstLine="709"/>
        <w:jc w:val="center"/>
        <w:rPr>
          <w:rFonts w:cs="Times New Roman"/>
          <w:color w:val="000000" w:themeColor="text1"/>
          <w:szCs w:val="24"/>
        </w:rPr>
      </w:pPr>
      <w:r>
        <w:rPr>
          <w:rFonts w:cs="Times New Roman"/>
          <w:noProof/>
          <w:color w:val="000000" w:themeColor="text1"/>
          <w:szCs w:val="24"/>
          <w:lang w:eastAsia="pt-BR"/>
        </w:rPr>
        <w:drawing>
          <wp:inline distT="0" distB="0" distL="0" distR="0">
            <wp:extent cx="5753100" cy="1000125"/>
            <wp:effectExtent l="19050" t="0" r="0" b="0"/>
            <wp:docPr id="2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753100" cy="1000125"/>
                    </a:xfrm>
                    <a:prstGeom prst="rect">
                      <a:avLst/>
                    </a:prstGeom>
                    <a:noFill/>
                    <a:ln w="9525">
                      <a:noFill/>
                      <a:miter lim="800000"/>
                      <a:headEnd/>
                      <a:tailEnd/>
                    </a:ln>
                  </pic:spPr>
                </pic:pic>
              </a:graphicData>
            </a:graphic>
          </wp:inline>
        </w:drawing>
      </w:r>
    </w:p>
    <w:p w:rsidR="00B62BFA" w:rsidRDefault="00B62BFA" w:rsidP="00B62BFA">
      <w:pPr>
        <w:rPr>
          <w:rFonts w:cs="Times New Roman"/>
          <w:color w:val="000000" w:themeColor="text1"/>
          <w:szCs w:val="24"/>
        </w:rPr>
      </w:pPr>
    </w:p>
    <w:p w:rsidR="00B62BFA" w:rsidRDefault="00F0161A" w:rsidP="00B62BFA">
      <w:pPr>
        <w:rPr>
          <w:rFonts w:cs="Times New Roman"/>
          <w:color w:val="000000" w:themeColor="text1"/>
          <w:szCs w:val="24"/>
        </w:rPr>
      </w:pPr>
      <w:r>
        <w:rPr>
          <w:rFonts w:cs="Times New Roman"/>
          <w:color w:val="000000" w:themeColor="text1"/>
          <w:szCs w:val="24"/>
        </w:rPr>
        <w:t xml:space="preserve">             </w:t>
      </w:r>
      <w:r w:rsidR="00D478CA">
        <w:rPr>
          <w:rFonts w:cs="Times New Roman"/>
          <w:color w:val="000000" w:themeColor="text1"/>
          <w:szCs w:val="24"/>
        </w:rPr>
        <w:t xml:space="preserve">De acordo com os dados acima, a empresa demonstrou um resultado ROA oscilante em função da crise nos anos de 2014-16, recuperando a partir do ano seguinte, porém muito inferior ao dado do ano de 2010, quando houve o maior valor. </w:t>
      </w:r>
      <w:r w:rsidR="00D10DB9">
        <w:rPr>
          <w:rFonts w:cs="Times New Roman"/>
          <w:color w:val="000000" w:themeColor="text1"/>
          <w:szCs w:val="24"/>
        </w:rPr>
        <w:t>De modo semelhante comportou-se o ROE, apresentando expressiva redução, chegando a oscilar negativamente quase 70% até 2017.</w:t>
      </w: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Default="00B62BFA" w:rsidP="00B62BFA">
      <w:pPr>
        <w:rPr>
          <w:rFonts w:cs="Times New Roman"/>
          <w:color w:val="000000" w:themeColor="text1"/>
          <w:szCs w:val="24"/>
        </w:rPr>
      </w:pPr>
    </w:p>
    <w:p w:rsidR="00207B17" w:rsidRDefault="00207B17" w:rsidP="00B62BFA">
      <w:pPr>
        <w:rPr>
          <w:rFonts w:cs="Times New Roman"/>
          <w:color w:val="000000" w:themeColor="text1"/>
          <w:szCs w:val="24"/>
        </w:rPr>
      </w:pPr>
    </w:p>
    <w:p w:rsidR="00207B17" w:rsidRDefault="00207B17" w:rsidP="00B62BFA">
      <w:pPr>
        <w:rPr>
          <w:rFonts w:cs="Times New Roman"/>
          <w:color w:val="000000" w:themeColor="text1"/>
          <w:szCs w:val="24"/>
        </w:rPr>
      </w:pPr>
    </w:p>
    <w:p w:rsidR="00B62BFA" w:rsidRDefault="00B62BFA" w:rsidP="00B62BFA">
      <w:pPr>
        <w:rPr>
          <w:rFonts w:cs="Times New Roman"/>
          <w:color w:val="000000" w:themeColor="text1"/>
          <w:szCs w:val="24"/>
        </w:rPr>
      </w:pPr>
    </w:p>
    <w:p w:rsidR="00B62BFA" w:rsidRPr="0013756A" w:rsidRDefault="00B62BFA" w:rsidP="00B62BFA">
      <w:pPr>
        <w:rPr>
          <w:rFonts w:cs="Times New Roman"/>
          <w:color w:val="000000" w:themeColor="text1"/>
          <w:szCs w:val="24"/>
        </w:rPr>
      </w:pPr>
    </w:p>
    <w:p w:rsidR="005A546F" w:rsidRDefault="0009748D" w:rsidP="00414CDA">
      <w:pPr>
        <w:pStyle w:val="Ttulo1"/>
        <w:rPr>
          <w:rFonts w:cs="Times New Roman"/>
        </w:rPr>
      </w:pPr>
      <w:bookmarkStart w:id="18" w:name="_Toc516261776"/>
      <w:r w:rsidRPr="0013756A">
        <w:rPr>
          <w:rFonts w:cs="Times New Roman"/>
        </w:rPr>
        <w:lastRenderedPageBreak/>
        <w:t xml:space="preserve">5 </w:t>
      </w:r>
      <w:r w:rsidR="0013756A">
        <w:rPr>
          <w:rFonts w:cs="Times New Roman"/>
        </w:rPr>
        <w:t>ANÁLISE DO FINANCIAMENTO</w:t>
      </w:r>
      <w:bookmarkEnd w:id="18"/>
    </w:p>
    <w:p w:rsidR="0013756A" w:rsidRDefault="0013756A" w:rsidP="0013756A"/>
    <w:p w:rsidR="00B11129" w:rsidRDefault="00D10DB9" w:rsidP="00B11129">
      <w:r>
        <w:rPr>
          <w:noProof/>
          <w:lang w:eastAsia="pt-BR"/>
        </w:rPr>
        <w:drawing>
          <wp:inline distT="0" distB="0" distL="0" distR="0">
            <wp:extent cx="5753100" cy="1371600"/>
            <wp:effectExtent l="19050" t="0" r="0" b="0"/>
            <wp:docPr id="2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753100" cy="1371600"/>
                    </a:xfrm>
                    <a:prstGeom prst="rect">
                      <a:avLst/>
                    </a:prstGeom>
                    <a:noFill/>
                    <a:ln w="9525">
                      <a:noFill/>
                      <a:miter lim="800000"/>
                      <a:headEnd/>
                      <a:tailEnd/>
                    </a:ln>
                  </pic:spPr>
                </pic:pic>
              </a:graphicData>
            </a:graphic>
          </wp:inline>
        </w:drawing>
      </w:r>
    </w:p>
    <w:p w:rsidR="00B11129" w:rsidRDefault="00B11129" w:rsidP="00B11129"/>
    <w:p w:rsidR="00B62BFA" w:rsidRDefault="008B6315" w:rsidP="0013756A">
      <w:pPr>
        <w:rPr>
          <w:rFonts w:eastAsia="Times New Roman" w:cs="Times New Roman"/>
          <w:color w:val="000000"/>
          <w:szCs w:val="24"/>
          <w:lang w:eastAsia="pt-BR"/>
        </w:rPr>
      </w:pPr>
      <w:r>
        <w:rPr>
          <w:rFonts w:eastAsia="Times New Roman" w:cs="Times New Roman"/>
          <w:color w:val="000000"/>
          <w:szCs w:val="24"/>
          <w:lang w:eastAsia="pt-BR"/>
        </w:rPr>
        <w:t xml:space="preserve">            </w:t>
      </w:r>
      <w:r w:rsidR="00D10DB9">
        <w:rPr>
          <w:rFonts w:eastAsia="Times New Roman" w:cs="Times New Roman"/>
          <w:color w:val="000000"/>
          <w:szCs w:val="24"/>
          <w:lang w:eastAsia="pt-BR"/>
        </w:rPr>
        <w:t xml:space="preserve">Observando-se o endividamento financeiro da empresa, no âmbito financeiro houve pouca variação ao longo dos </w:t>
      </w:r>
      <w:proofErr w:type="gramStart"/>
      <w:r w:rsidR="00D10DB9">
        <w:rPr>
          <w:rFonts w:eastAsia="Times New Roman" w:cs="Times New Roman"/>
          <w:color w:val="000000"/>
          <w:szCs w:val="24"/>
          <w:lang w:eastAsia="pt-BR"/>
        </w:rPr>
        <w:t>4</w:t>
      </w:r>
      <w:proofErr w:type="gramEnd"/>
      <w:r w:rsidR="00D10DB9">
        <w:rPr>
          <w:rFonts w:eastAsia="Times New Roman" w:cs="Times New Roman"/>
          <w:color w:val="000000"/>
          <w:szCs w:val="24"/>
          <w:lang w:eastAsia="pt-BR"/>
        </w:rPr>
        <w:t xml:space="preserve"> anos avaliados. A participação do PL no capital contábil obteve melhora, o endividamento de curto prazo apresentou pouca oscilação até 2015 e, no ano posterior, dobrou de valor. O endividamento de longo prazo comportou-se relativamente constante e superior às dívidas de curto prazo, vantajoso para a empresa uma vez que, denota investimentos e alívio da tensão creditícia no curto prazo.</w:t>
      </w:r>
    </w:p>
    <w:p w:rsidR="006931B4" w:rsidRDefault="006931B4" w:rsidP="0013756A">
      <w:pPr>
        <w:rPr>
          <w:rFonts w:eastAsia="Times New Roman" w:cs="Times New Roman"/>
          <w:color w:val="000000"/>
          <w:szCs w:val="24"/>
          <w:lang w:eastAsia="pt-BR"/>
        </w:rPr>
      </w:pPr>
      <w:r>
        <w:rPr>
          <w:rFonts w:eastAsia="Times New Roman" w:cs="Times New Roman"/>
          <w:color w:val="000000"/>
          <w:szCs w:val="24"/>
          <w:lang w:eastAsia="pt-BR"/>
        </w:rPr>
        <w:t xml:space="preserve">            O índice de cobertura de juros caiu d</w:t>
      </w:r>
      <w:r w:rsidR="00596C6A">
        <w:rPr>
          <w:rFonts w:eastAsia="Times New Roman" w:cs="Times New Roman"/>
          <w:color w:val="000000"/>
          <w:szCs w:val="24"/>
          <w:lang w:eastAsia="pt-BR"/>
        </w:rPr>
        <w:t xml:space="preserve">rasticamente ao longo do tempo e isso significa a queda na capacidade de arcar com as dívidas de juros. Isso sinaliza também uma necessidade maior por parte da empresa de rever os contratos de financiamentos, empréstimos dentre outros fatores para amenizar a situação crítica em que se encontra. </w:t>
      </w:r>
    </w:p>
    <w:p w:rsidR="00D10DB9" w:rsidRDefault="00D10DB9" w:rsidP="0013756A"/>
    <w:p w:rsidR="00B62BFA" w:rsidRDefault="00B62BFA" w:rsidP="0013756A"/>
    <w:p w:rsidR="0011216E" w:rsidRDefault="0011216E" w:rsidP="0013756A"/>
    <w:p w:rsidR="00AB259E" w:rsidRDefault="00AB259E" w:rsidP="0013756A"/>
    <w:p w:rsidR="00AB259E" w:rsidRDefault="00AB259E" w:rsidP="0013756A"/>
    <w:p w:rsidR="009C3AC5" w:rsidRDefault="009C3AC5" w:rsidP="0013756A"/>
    <w:p w:rsidR="00AB259E" w:rsidRDefault="00AB259E" w:rsidP="0013756A"/>
    <w:p w:rsidR="00AB259E" w:rsidRDefault="00AB259E" w:rsidP="0013756A"/>
    <w:p w:rsidR="00B62BFA" w:rsidRDefault="00B62BFA" w:rsidP="0013756A"/>
    <w:p w:rsidR="00596C6A" w:rsidRDefault="00596C6A" w:rsidP="0013756A">
      <w:pPr>
        <w:pStyle w:val="Ttulo1"/>
      </w:pPr>
      <w:bookmarkStart w:id="19" w:name="_Toc516261777"/>
    </w:p>
    <w:p w:rsidR="00596C6A" w:rsidRDefault="00596C6A" w:rsidP="0013756A">
      <w:pPr>
        <w:pStyle w:val="Ttulo1"/>
      </w:pPr>
    </w:p>
    <w:p w:rsidR="00596C6A" w:rsidRDefault="00596C6A" w:rsidP="0013756A">
      <w:pPr>
        <w:pStyle w:val="Ttulo1"/>
      </w:pPr>
    </w:p>
    <w:p w:rsidR="00596C6A" w:rsidRDefault="00596C6A" w:rsidP="0013756A">
      <w:pPr>
        <w:pStyle w:val="Ttulo1"/>
      </w:pPr>
    </w:p>
    <w:p w:rsidR="00596C6A" w:rsidRDefault="00596C6A" w:rsidP="0013756A">
      <w:pPr>
        <w:pStyle w:val="Ttulo1"/>
      </w:pPr>
    </w:p>
    <w:p w:rsidR="00596C6A" w:rsidRDefault="00596C6A" w:rsidP="0013756A">
      <w:pPr>
        <w:pStyle w:val="Ttulo1"/>
      </w:pPr>
    </w:p>
    <w:p w:rsidR="0013756A" w:rsidRDefault="0013756A" w:rsidP="0013756A">
      <w:pPr>
        <w:pStyle w:val="Ttulo1"/>
      </w:pPr>
      <w:proofErr w:type="gramStart"/>
      <w:r>
        <w:lastRenderedPageBreak/>
        <w:t>6</w:t>
      </w:r>
      <w:proofErr w:type="gramEnd"/>
      <w:r>
        <w:t xml:space="preserve"> ANÁLISE DA POLÍTICA DE DIVIDENDOS</w:t>
      </w:r>
      <w:bookmarkEnd w:id="19"/>
      <w:r w:rsidR="00964DEF">
        <w:t xml:space="preserve"> TELEFÔNICA</w:t>
      </w:r>
    </w:p>
    <w:p w:rsidR="00AB3689" w:rsidRPr="00964DEF" w:rsidRDefault="00AB3689" w:rsidP="008B2C11">
      <w:pPr>
        <w:rPr>
          <w:rFonts w:cs="Times New Roman"/>
        </w:rPr>
      </w:pPr>
    </w:p>
    <w:p w:rsidR="0013756A" w:rsidRPr="00964DEF" w:rsidRDefault="00964DEF" w:rsidP="00964DEF">
      <w:pPr>
        <w:spacing w:line="240" w:lineRule="auto"/>
        <w:rPr>
          <w:rFonts w:cs="Times New Roman"/>
          <w:sz w:val="32"/>
        </w:rPr>
      </w:pPr>
      <w:r>
        <w:rPr>
          <w:rFonts w:cs="Times New Roman"/>
          <w:b/>
          <w:szCs w:val="21"/>
          <w:shd w:val="clear" w:color="auto" w:fill="FFFFFF"/>
        </w:rPr>
        <w:t xml:space="preserve">PARÁGRAFO 1°: </w:t>
      </w:r>
      <w:r>
        <w:rPr>
          <w:rFonts w:cs="Times New Roman"/>
          <w:szCs w:val="21"/>
          <w:shd w:val="clear" w:color="auto" w:fill="FFFFFF"/>
        </w:rPr>
        <w:t>“</w:t>
      </w:r>
      <w:r w:rsidR="00A219AB" w:rsidRPr="00964DEF">
        <w:rPr>
          <w:rFonts w:cs="Times New Roman"/>
          <w:szCs w:val="21"/>
          <w:shd w:val="clear" w:color="auto" w:fill="FFFFFF"/>
        </w:rPr>
        <w:t xml:space="preserve">Do lucro líquido do exercício: (i) 5% (cinco por cento) serão destinados para a reserva legal, visando assegurar a integridade física do capital social, limitada a 20% (vinte por cento) do capital social integralizado; (ii) 25% (vinte e cinco por cento) do lucro líquido ajustado na forma dos incisos II e III do art. 202 da Lei nº 6.404/76 serão obrigatoriamente distribuídos como dividendo mínimo obrigatório a todos os acionistas; e (iii) o saldo remanescente, </w:t>
      </w:r>
      <w:proofErr w:type="gramStart"/>
      <w:r w:rsidR="00A219AB" w:rsidRPr="00964DEF">
        <w:rPr>
          <w:rFonts w:cs="Times New Roman"/>
          <w:szCs w:val="21"/>
          <w:shd w:val="clear" w:color="auto" w:fill="FFFFFF"/>
        </w:rPr>
        <w:t>após</w:t>
      </w:r>
      <w:proofErr w:type="gramEnd"/>
      <w:r w:rsidR="00A219AB" w:rsidRPr="00964DEF">
        <w:rPr>
          <w:rFonts w:cs="Times New Roman"/>
          <w:szCs w:val="21"/>
          <w:shd w:val="clear" w:color="auto" w:fill="FFFFFF"/>
        </w:rPr>
        <w:t xml:space="preserve"> atendidas as disposições contidas nos itens anteriores deste artigo, terá a destinação determinada pela Assembleia Geral de Acionistas, com base na proposta do Conselho de Administração contida nas demonstrações financeiras. Caso o saldo das reservas de lucros ultrapasse o capital social, a Assembleia Geral de Acionistas deliberará sobre a aplicação do excesso na integralização ou no aumento do capital social ou na distribuição de dividendos adicionais aos acionistas.</w:t>
      </w:r>
      <w:r>
        <w:rPr>
          <w:rFonts w:cs="Times New Roman"/>
          <w:szCs w:val="21"/>
          <w:shd w:val="clear" w:color="auto" w:fill="FFFFFF"/>
        </w:rPr>
        <w:t>”</w:t>
      </w:r>
    </w:p>
    <w:p w:rsidR="00B502EA" w:rsidRPr="008B2C11" w:rsidRDefault="00964DEF" w:rsidP="001375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ucro e Dividendos da Vivo" style="width:24.3pt;height:24.3pt"/>
        </w:pict>
      </w:r>
      <w:r>
        <w:rPr>
          <w:noProof/>
          <w:lang w:eastAsia="pt-BR"/>
        </w:rPr>
        <w:drawing>
          <wp:inline distT="0" distB="0" distL="0" distR="0">
            <wp:extent cx="5753100" cy="2390775"/>
            <wp:effectExtent l="19050" t="0" r="0" b="0"/>
            <wp:docPr id="27"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5753100" cy="2390775"/>
                    </a:xfrm>
                    <a:prstGeom prst="rect">
                      <a:avLst/>
                    </a:prstGeom>
                    <a:noFill/>
                    <a:ln w="9525">
                      <a:noFill/>
                      <a:miter lim="800000"/>
                      <a:headEnd/>
                      <a:tailEnd/>
                    </a:ln>
                  </pic:spPr>
                </pic:pic>
              </a:graphicData>
            </a:graphic>
          </wp:inline>
        </w:drawing>
      </w:r>
    </w:p>
    <w:p w:rsidR="00350269" w:rsidRDefault="00350269" w:rsidP="0013756A">
      <w:pPr>
        <w:pStyle w:val="Ttulo1"/>
      </w:pPr>
    </w:p>
    <w:p w:rsidR="00350269" w:rsidRDefault="00350269" w:rsidP="0013756A">
      <w:pPr>
        <w:pStyle w:val="Ttulo1"/>
      </w:pPr>
    </w:p>
    <w:p w:rsidR="00635B2B" w:rsidRDefault="00635B2B" w:rsidP="00635B2B"/>
    <w:p w:rsidR="00635B2B" w:rsidRDefault="00635B2B" w:rsidP="00635B2B"/>
    <w:p w:rsidR="00635B2B" w:rsidRDefault="00635B2B" w:rsidP="00635B2B"/>
    <w:p w:rsidR="00635B2B" w:rsidRDefault="00635B2B" w:rsidP="00635B2B"/>
    <w:p w:rsidR="00635B2B" w:rsidRDefault="00635B2B" w:rsidP="00635B2B"/>
    <w:p w:rsidR="00635B2B" w:rsidRDefault="00635B2B" w:rsidP="00635B2B"/>
    <w:p w:rsidR="00635B2B" w:rsidRDefault="00635B2B" w:rsidP="00635B2B"/>
    <w:p w:rsidR="00635B2B" w:rsidRDefault="00635B2B" w:rsidP="00635B2B"/>
    <w:p w:rsidR="00635B2B" w:rsidRDefault="00635B2B" w:rsidP="00635B2B"/>
    <w:p w:rsidR="00635B2B" w:rsidRDefault="00635B2B" w:rsidP="00635B2B"/>
    <w:p w:rsidR="00964DEF" w:rsidRDefault="00964DEF" w:rsidP="00635B2B"/>
    <w:p w:rsidR="00635B2B" w:rsidRPr="00635B2B" w:rsidRDefault="00635B2B" w:rsidP="00635B2B"/>
    <w:p w:rsidR="0013756A" w:rsidRDefault="0013756A" w:rsidP="0013756A">
      <w:pPr>
        <w:pStyle w:val="Ttulo1"/>
      </w:pPr>
      <w:bookmarkStart w:id="20" w:name="_Toc516261778"/>
      <w:r>
        <w:lastRenderedPageBreak/>
        <w:t>7 VALUATION</w:t>
      </w:r>
      <w:bookmarkEnd w:id="20"/>
    </w:p>
    <w:p w:rsidR="005D5AC8" w:rsidRPr="005D5AC8" w:rsidRDefault="005D5AC8" w:rsidP="005D5AC8"/>
    <w:p w:rsidR="0013756A" w:rsidRDefault="005D5AC8" w:rsidP="009C3AC5">
      <w:pPr>
        <w:ind w:firstLine="709"/>
      </w:pPr>
      <w:r>
        <w:rPr>
          <w:bCs/>
        </w:rPr>
        <w:t xml:space="preserve">Segundo SEBRAE (2017), o termo </w:t>
      </w:r>
      <w:r w:rsidRPr="005D5AC8">
        <w:rPr>
          <w:bCs/>
        </w:rPr>
        <w:t>Valuation</w:t>
      </w:r>
      <w:r w:rsidRPr="005D5AC8">
        <w:t> </w:t>
      </w:r>
      <w:r>
        <w:t>significa avaliação de empresas.</w:t>
      </w:r>
      <w:r w:rsidRPr="005D5AC8">
        <w:t xml:space="preserve"> </w:t>
      </w:r>
      <w:r>
        <w:t>“</w:t>
      </w:r>
      <w:r w:rsidRPr="005D5AC8">
        <w:t>Ao trabalhar com as percepções que a empresa possui dos investidores e clientes, o valuation envolve o julgamento da posição que ocupa no mercado e a previsão do retorno de investimento nas ações da empresa.</w:t>
      </w:r>
      <w:r>
        <w:t>” (SEBRAE, 2017).</w:t>
      </w:r>
    </w:p>
    <w:p w:rsidR="00337BA6" w:rsidRPr="00337BA6" w:rsidRDefault="00337BA6" w:rsidP="00967D5E">
      <w:pPr>
        <w:widowControl/>
        <w:ind w:firstLine="709"/>
        <w:rPr>
          <w:rFonts w:eastAsia="Times New Roman" w:cs="Times New Roman"/>
          <w:color w:val="000000"/>
          <w:szCs w:val="24"/>
          <w:lang w:eastAsia="pt-BR"/>
        </w:rPr>
      </w:pPr>
      <w:r w:rsidRPr="00337BA6">
        <w:rPr>
          <w:rFonts w:eastAsia="Times New Roman" w:cs="Times New Roman"/>
          <w:color w:val="000000"/>
          <w:szCs w:val="24"/>
          <w:lang w:eastAsia="pt-BR"/>
        </w:rPr>
        <w:t xml:space="preserve">Analisando a empresa </w:t>
      </w:r>
      <w:proofErr w:type="spellStart"/>
      <w:r w:rsidR="00DC5DE4">
        <w:rPr>
          <w:rFonts w:eastAsia="Times New Roman" w:cs="Times New Roman"/>
          <w:color w:val="000000"/>
          <w:szCs w:val="24"/>
          <w:lang w:eastAsia="pt-BR"/>
        </w:rPr>
        <w:t>VIVO-Telefônica</w:t>
      </w:r>
      <w:proofErr w:type="spellEnd"/>
      <w:r w:rsidR="00DC5DE4">
        <w:rPr>
          <w:rFonts w:eastAsia="Times New Roman" w:cs="Times New Roman"/>
          <w:color w:val="000000"/>
          <w:szCs w:val="24"/>
          <w:lang w:eastAsia="pt-BR"/>
        </w:rPr>
        <w:t xml:space="preserve"> Brasil</w:t>
      </w:r>
      <w:r w:rsidR="004F6B73" w:rsidRPr="00CD4734">
        <w:rPr>
          <w:rFonts w:eastAsia="Times New Roman" w:cs="Times New Roman"/>
          <w:color w:val="000000"/>
          <w:szCs w:val="24"/>
          <w:lang w:eastAsia="pt-BR"/>
        </w:rPr>
        <w:t xml:space="preserve"> que possui ações</w:t>
      </w:r>
      <w:r w:rsidRPr="00337BA6">
        <w:rPr>
          <w:rFonts w:eastAsia="Times New Roman" w:cs="Times New Roman"/>
          <w:color w:val="000000"/>
          <w:szCs w:val="24"/>
          <w:lang w:eastAsia="pt-BR"/>
        </w:rPr>
        <w:t xml:space="preserve"> negociada</w:t>
      </w:r>
      <w:r w:rsidR="004F6B73" w:rsidRPr="00CD4734">
        <w:rPr>
          <w:rFonts w:eastAsia="Times New Roman" w:cs="Times New Roman"/>
          <w:color w:val="000000"/>
          <w:szCs w:val="24"/>
          <w:lang w:eastAsia="pt-BR"/>
        </w:rPr>
        <w:t>s</w:t>
      </w:r>
      <w:r w:rsidRPr="00337BA6">
        <w:rPr>
          <w:rFonts w:eastAsia="Times New Roman" w:cs="Times New Roman"/>
          <w:color w:val="000000"/>
          <w:szCs w:val="24"/>
          <w:lang w:eastAsia="pt-BR"/>
        </w:rPr>
        <w:t xml:space="preserve"> na Bovespa como </w:t>
      </w:r>
      <w:r w:rsidR="00DC5DE4">
        <w:rPr>
          <w:rFonts w:eastAsia="Times New Roman" w:cs="Times New Roman"/>
          <w:color w:val="000000"/>
          <w:szCs w:val="24"/>
          <w:lang w:eastAsia="pt-BR"/>
        </w:rPr>
        <w:t xml:space="preserve">VIVT4, estimou-se que o VALUATION, </w:t>
      </w:r>
      <w:r w:rsidRPr="00337BA6">
        <w:rPr>
          <w:rFonts w:eastAsia="Times New Roman" w:cs="Times New Roman"/>
          <w:color w:val="000000"/>
          <w:szCs w:val="24"/>
          <w:lang w:eastAsia="pt-BR"/>
        </w:rPr>
        <w:t>considerando a hipótese mais pessimista sem crescimento do fluxo de caixa e exigência de taxa de retorno de 30%, seria de R$</w:t>
      </w:r>
      <w:r w:rsidR="00DC5DE4">
        <w:rPr>
          <w:rFonts w:eastAsia="Times New Roman" w:cs="Times New Roman"/>
          <w:color w:val="000000"/>
          <w:szCs w:val="24"/>
          <w:lang w:eastAsia="pt-BR"/>
        </w:rPr>
        <w:t>12,16</w:t>
      </w:r>
      <w:r w:rsidRPr="00337BA6">
        <w:rPr>
          <w:rFonts w:eastAsia="Times New Roman" w:cs="Times New Roman"/>
          <w:color w:val="000000"/>
          <w:szCs w:val="24"/>
          <w:lang w:eastAsia="pt-BR"/>
        </w:rPr>
        <w:t>, ou seja, menor que o va</w:t>
      </w:r>
      <w:r w:rsidR="00DC5DE4">
        <w:rPr>
          <w:rFonts w:eastAsia="Times New Roman" w:cs="Times New Roman"/>
          <w:color w:val="000000"/>
          <w:szCs w:val="24"/>
          <w:lang w:eastAsia="pt-BR"/>
        </w:rPr>
        <w:t>lor de mercado da ação que é R$ 40,67</w:t>
      </w:r>
      <w:r w:rsidRPr="00337BA6">
        <w:rPr>
          <w:rFonts w:eastAsia="Times New Roman" w:cs="Times New Roman"/>
          <w:color w:val="000000"/>
          <w:szCs w:val="24"/>
          <w:lang w:eastAsia="pt-BR"/>
        </w:rPr>
        <w:t xml:space="preserve"> (no dia </w:t>
      </w:r>
      <w:r w:rsidR="00DC5DE4">
        <w:rPr>
          <w:rFonts w:eastAsia="Times New Roman" w:cs="Times New Roman"/>
          <w:color w:val="000000"/>
          <w:szCs w:val="24"/>
          <w:lang w:eastAsia="pt-BR"/>
        </w:rPr>
        <w:t>14</w:t>
      </w:r>
      <w:r w:rsidR="004F6B73" w:rsidRPr="00CD4734">
        <w:rPr>
          <w:rFonts w:eastAsia="Times New Roman" w:cs="Times New Roman"/>
          <w:color w:val="000000"/>
          <w:szCs w:val="24"/>
          <w:lang w:eastAsia="pt-BR"/>
        </w:rPr>
        <w:t>/</w:t>
      </w:r>
      <w:r w:rsidR="00DC5DE4">
        <w:rPr>
          <w:rFonts w:eastAsia="Times New Roman" w:cs="Times New Roman"/>
          <w:color w:val="000000"/>
          <w:szCs w:val="24"/>
          <w:lang w:eastAsia="pt-BR"/>
        </w:rPr>
        <w:t>10</w:t>
      </w:r>
      <w:r w:rsidRPr="00337BA6">
        <w:rPr>
          <w:rFonts w:eastAsia="Times New Roman" w:cs="Times New Roman"/>
          <w:color w:val="000000"/>
          <w:szCs w:val="24"/>
          <w:lang w:eastAsia="pt-BR"/>
        </w:rPr>
        <w:t>/2018), nesse cenário o po</w:t>
      </w:r>
      <w:r w:rsidR="00DC5DE4">
        <w:rPr>
          <w:rFonts w:eastAsia="Times New Roman" w:cs="Times New Roman"/>
          <w:color w:val="000000"/>
          <w:szCs w:val="24"/>
          <w:lang w:eastAsia="pt-BR"/>
        </w:rPr>
        <w:t>tencial de baixa da ação é de 70</w:t>
      </w:r>
      <w:r w:rsidRPr="00337BA6">
        <w:rPr>
          <w:rFonts w:eastAsia="Times New Roman" w:cs="Times New Roman"/>
          <w:color w:val="000000"/>
          <w:szCs w:val="24"/>
          <w:lang w:eastAsia="pt-BR"/>
        </w:rPr>
        <w:t>%.</w:t>
      </w:r>
    </w:p>
    <w:p w:rsidR="004F6B73" w:rsidRPr="00CD4734" w:rsidRDefault="00337BA6" w:rsidP="00967D5E">
      <w:pPr>
        <w:widowControl/>
        <w:ind w:firstLine="709"/>
        <w:rPr>
          <w:rFonts w:eastAsia="Times New Roman" w:cs="Times New Roman"/>
          <w:color w:val="000000"/>
          <w:szCs w:val="24"/>
          <w:lang w:eastAsia="pt-BR"/>
        </w:rPr>
      </w:pPr>
      <w:r w:rsidRPr="00337BA6">
        <w:rPr>
          <w:rFonts w:eastAsia="Times New Roman" w:cs="Times New Roman"/>
          <w:color w:val="000000"/>
          <w:szCs w:val="24"/>
          <w:lang w:eastAsia="pt-BR"/>
        </w:rPr>
        <w:t>Agora, considerando um crescimento de 2% do fluxo de caixa e exigência de taxa</w:t>
      </w:r>
      <w:r w:rsidR="00DC5DE4">
        <w:rPr>
          <w:rFonts w:eastAsia="Times New Roman" w:cs="Times New Roman"/>
          <w:color w:val="000000"/>
          <w:szCs w:val="24"/>
          <w:lang w:eastAsia="pt-BR"/>
        </w:rPr>
        <w:t xml:space="preserve"> de retorno de 30%, fazendo-se o VALUATION o preço alvo da ação</w:t>
      </w:r>
      <w:r w:rsidR="00DC5DE4">
        <w:rPr>
          <w:rFonts w:eastAsia="Times New Roman" w:cs="Times New Roman"/>
          <w:color w:val="000000"/>
          <w:szCs w:val="24"/>
          <w:lang w:eastAsia="pt-BR"/>
        </w:rPr>
        <w:tab/>
        <w:t xml:space="preserve"> é </w:t>
      </w:r>
      <w:r w:rsidR="004F6B73" w:rsidRPr="00CD4734">
        <w:rPr>
          <w:rFonts w:eastAsia="Times New Roman" w:cs="Times New Roman"/>
          <w:color w:val="000000"/>
          <w:szCs w:val="24"/>
          <w:lang w:eastAsia="pt-BR"/>
        </w:rPr>
        <w:t>de</w:t>
      </w:r>
      <w:r w:rsidRPr="00337BA6">
        <w:rPr>
          <w:rFonts w:eastAsia="Times New Roman" w:cs="Times New Roman"/>
          <w:color w:val="000000"/>
          <w:szCs w:val="24"/>
          <w:lang w:eastAsia="pt-BR"/>
        </w:rPr>
        <w:t xml:space="preserve"> R$</w:t>
      </w:r>
      <w:r w:rsidR="00DC5DE4">
        <w:rPr>
          <w:rFonts w:eastAsia="Times New Roman" w:cs="Times New Roman"/>
          <w:color w:val="000000"/>
          <w:szCs w:val="24"/>
          <w:lang w:eastAsia="pt-BR"/>
        </w:rPr>
        <w:t>20,73</w:t>
      </w:r>
      <w:r w:rsidRPr="00337BA6">
        <w:rPr>
          <w:rFonts w:eastAsia="Times New Roman" w:cs="Times New Roman"/>
          <w:color w:val="000000"/>
          <w:szCs w:val="24"/>
          <w:lang w:eastAsia="pt-BR"/>
        </w:rPr>
        <w:t xml:space="preserve">, com um potencial de </w:t>
      </w:r>
      <w:r w:rsidR="004F6B73" w:rsidRPr="00CD4734">
        <w:rPr>
          <w:rFonts w:eastAsia="Times New Roman" w:cs="Times New Roman"/>
          <w:color w:val="000000"/>
          <w:szCs w:val="24"/>
          <w:lang w:eastAsia="pt-BR"/>
        </w:rPr>
        <w:t>baixa</w:t>
      </w:r>
      <w:r w:rsidRPr="00337BA6">
        <w:rPr>
          <w:rFonts w:eastAsia="Times New Roman" w:cs="Times New Roman"/>
          <w:color w:val="000000"/>
          <w:szCs w:val="24"/>
          <w:lang w:eastAsia="pt-BR"/>
        </w:rPr>
        <w:t xml:space="preserve"> de </w:t>
      </w:r>
      <w:r w:rsidR="00DC5DE4">
        <w:rPr>
          <w:rFonts w:eastAsia="Times New Roman" w:cs="Times New Roman"/>
          <w:color w:val="000000"/>
          <w:szCs w:val="24"/>
          <w:lang w:eastAsia="pt-BR"/>
        </w:rPr>
        <w:t>49</w:t>
      </w:r>
      <w:r w:rsidRPr="00337BA6">
        <w:rPr>
          <w:rFonts w:eastAsia="Times New Roman" w:cs="Times New Roman"/>
          <w:color w:val="000000"/>
          <w:szCs w:val="24"/>
          <w:lang w:eastAsia="pt-BR"/>
        </w:rPr>
        <w:t xml:space="preserve">%. </w:t>
      </w:r>
    </w:p>
    <w:p w:rsidR="00967D5E" w:rsidRDefault="00337BA6" w:rsidP="00967D5E">
      <w:pPr>
        <w:widowControl/>
        <w:ind w:firstLine="709"/>
        <w:rPr>
          <w:rFonts w:eastAsia="Times New Roman" w:cs="Times New Roman"/>
          <w:color w:val="000000"/>
          <w:szCs w:val="24"/>
          <w:lang w:eastAsia="pt-BR"/>
        </w:rPr>
      </w:pPr>
      <w:r w:rsidRPr="00337BA6">
        <w:rPr>
          <w:rFonts w:eastAsia="Times New Roman" w:cs="Times New Roman"/>
          <w:color w:val="000000"/>
          <w:szCs w:val="24"/>
          <w:lang w:eastAsia="pt-BR"/>
        </w:rPr>
        <w:t xml:space="preserve">Imaginando um crescimento de 2% do fluxo de caixa e exigência de taxa de retorno calculada pelo CAPM na ótica do investidor estrangeiro, o valuation da </w:t>
      </w:r>
      <w:r w:rsidR="00DC5DE4">
        <w:rPr>
          <w:rFonts w:eastAsia="Times New Roman" w:cs="Times New Roman"/>
          <w:color w:val="000000"/>
          <w:szCs w:val="24"/>
          <w:lang w:eastAsia="pt-BR"/>
        </w:rPr>
        <w:t>VIVT4</w:t>
      </w:r>
      <w:r w:rsidR="00CD4734" w:rsidRPr="00CD4734">
        <w:rPr>
          <w:rFonts w:eastAsia="Times New Roman" w:cs="Times New Roman"/>
          <w:color w:val="000000"/>
          <w:szCs w:val="24"/>
          <w:lang w:eastAsia="pt-BR"/>
        </w:rPr>
        <w:t xml:space="preserve"> o preço alvo</w:t>
      </w:r>
      <w:r w:rsidR="00DC5DE4">
        <w:rPr>
          <w:rFonts w:eastAsia="Times New Roman" w:cs="Times New Roman"/>
          <w:color w:val="000000"/>
          <w:szCs w:val="24"/>
          <w:lang w:eastAsia="pt-BR"/>
        </w:rPr>
        <w:t xml:space="preserve"> da ação chega ao valor de R$45,70</w:t>
      </w:r>
      <w:r w:rsidR="00CD4734" w:rsidRPr="00CD4734">
        <w:rPr>
          <w:rFonts w:eastAsia="Times New Roman" w:cs="Times New Roman"/>
          <w:color w:val="000000"/>
          <w:szCs w:val="24"/>
          <w:lang w:eastAsia="pt-BR"/>
        </w:rPr>
        <w:t xml:space="preserve"> e o potencial</w:t>
      </w:r>
      <w:r w:rsidR="006053A2">
        <w:rPr>
          <w:rFonts w:eastAsia="Times New Roman" w:cs="Times New Roman"/>
          <w:color w:val="000000"/>
          <w:szCs w:val="24"/>
          <w:lang w:eastAsia="pt-BR"/>
        </w:rPr>
        <w:t xml:space="preserve"> de alta</w:t>
      </w:r>
      <w:r w:rsidR="00CD4734" w:rsidRPr="00CD4734">
        <w:rPr>
          <w:rFonts w:eastAsia="Times New Roman" w:cs="Times New Roman"/>
          <w:color w:val="000000"/>
          <w:szCs w:val="24"/>
          <w:lang w:eastAsia="pt-BR"/>
        </w:rPr>
        <w:t xml:space="preserve"> é de 1</w:t>
      </w:r>
      <w:r w:rsidR="006053A2">
        <w:rPr>
          <w:rFonts w:eastAsia="Times New Roman" w:cs="Times New Roman"/>
          <w:color w:val="000000"/>
          <w:szCs w:val="24"/>
          <w:lang w:eastAsia="pt-BR"/>
        </w:rPr>
        <w:t>2</w:t>
      </w:r>
      <w:r w:rsidRPr="00337BA6">
        <w:rPr>
          <w:rFonts w:eastAsia="Times New Roman" w:cs="Times New Roman"/>
          <w:color w:val="000000"/>
          <w:szCs w:val="24"/>
          <w:lang w:eastAsia="pt-BR"/>
        </w:rPr>
        <w:t>%.</w:t>
      </w:r>
    </w:p>
    <w:p w:rsidR="00337BA6" w:rsidRPr="00337BA6" w:rsidRDefault="00CD4734" w:rsidP="00967D5E">
      <w:pPr>
        <w:widowControl/>
        <w:spacing w:after="100" w:afterAutospacing="1"/>
        <w:ind w:firstLine="709"/>
        <w:rPr>
          <w:rFonts w:eastAsia="Times New Roman" w:cs="Times New Roman"/>
          <w:color w:val="000000"/>
          <w:szCs w:val="24"/>
          <w:lang w:eastAsia="pt-BR"/>
        </w:rPr>
      </w:pPr>
      <w:r w:rsidRPr="00CD4734">
        <w:rPr>
          <w:rFonts w:eastAsia="Times New Roman" w:cs="Times New Roman"/>
          <w:color w:val="000000"/>
          <w:szCs w:val="24"/>
          <w:lang w:eastAsia="pt-BR"/>
        </w:rPr>
        <w:t>Observando os dado</w:t>
      </w:r>
      <w:r w:rsidR="006053A2">
        <w:rPr>
          <w:rFonts w:eastAsia="Times New Roman" w:cs="Times New Roman"/>
          <w:color w:val="000000"/>
          <w:szCs w:val="24"/>
          <w:lang w:eastAsia="pt-BR"/>
        </w:rPr>
        <w:t>s</w:t>
      </w:r>
      <w:r w:rsidRPr="00CD4734">
        <w:rPr>
          <w:rFonts w:eastAsia="Times New Roman" w:cs="Times New Roman"/>
          <w:color w:val="000000"/>
          <w:szCs w:val="24"/>
          <w:lang w:eastAsia="pt-BR"/>
        </w:rPr>
        <w:t xml:space="preserve"> retirados da tabela de </w:t>
      </w:r>
      <w:r w:rsidR="006053A2">
        <w:rPr>
          <w:rFonts w:eastAsia="Times New Roman" w:cs="Times New Roman"/>
          <w:color w:val="000000"/>
          <w:szCs w:val="24"/>
          <w:lang w:eastAsia="pt-BR"/>
        </w:rPr>
        <w:t xml:space="preserve">VALUATION </w:t>
      </w:r>
      <w:r w:rsidRPr="00CD4734">
        <w:rPr>
          <w:rFonts w:eastAsia="Times New Roman" w:cs="Times New Roman"/>
          <w:color w:val="000000"/>
          <w:szCs w:val="24"/>
          <w:lang w:eastAsia="pt-BR"/>
        </w:rPr>
        <w:t xml:space="preserve">podemos perceber que este não é um melhor momento para se investir na empresa </w:t>
      </w:r>
      <w:proofErr w:type="spellStart"/>
      <w:r w:rsidR="006053A2">
        <w:rPr>
          <w:rFonts w:eastAsia="Times New Roman" w:cs="Times New Roman"/>
          <w:color w:val="000000"/>
          <w:szCs w:val="24"/>
          <w:lang w:eastAsia="pt-BR"/>
        </w:rPr>
        <w:t>VIVO-Telefônica</w:t>
      </w:r>
      <w:proofErr w:type="spellEnd"/>
      <w:r w:rsidR="006053A2">
        <w:rPr>
          <w:rFonts w:eastAsia="Times New Roman" w:cs="Times New Roman"/>
          <w:color w:val="000000"/>
          <w:szCs w:val="24"/>
          <w:lang w:eastAsia="pt-BR"/>
        </w:rPr>
        <w:t xml:space="preserve"> Brasil</w:t>
      </w:r>
      <w:r w:rsidRPr="00CD4734">
        <w:rPr>
          <w:rFonts w:eastAsia="Times New Roman" w:cs="Times New Roman"/>
          <w:color w:val="000000"/>
          <w:szCs w:val="24"/>
          <w:lang w:eastAsia="pt-BR"/>
        </w:rPr>
        <w:t xml:space="preserve"> uma vez que suas ações estão superestimadas, t</w:t>
      </w:r>
      <w:r w:rsidR="006053A2">
        <w:rPr>
          <w:rFonts w:eastAsia="Times New Roman" w:cs="Times New Roman"/>
          <w:color w:val="000000"/>
          <w:szCs w:val="24"/>
          <w:lang w:eastAsia="pt-BR"/>
        </w:rPr>
        <w:t>endo somente potencial de queda para investidores nacionais, sendo vantajoso o investimento de estrangeiros na empresa, já que o potencial é de alta e varia 12% em relação ao preço atual.</w:t>
      </w:r>
    </w:p>
    <w:p w:rsidR="00E63E0D" w:rsidRDefault="00E63E0D" w:rsidP="00CD4734">
      <w:pPr>
        <w:ind w:firstLine="709"/>
      </w:pPr>
    </w:p>
    <w:p w:rsidR="002D720D" w:rsidRDefault="002D720D" w:rsidP="005D5AC8">
      <w:pPr>
        <w:ind w:firstLine="426"/>
      </w:pPr>
    </w:p>
    <w:p w:rsidR="002D720D" w:rsidRDefault="002D720D" w:rsidP="005D5AC8">
      <w:pPr>
        <w:ind w:firstLine="426"/>
      </w:pPr>
    </w:p>
    <w:p w:rsidR="002D720D" w:rsidRDefault="002D720D" w:rsidP="005D5AC8">
      <w:pPr>
        <w:ind w:firstLine="426"/>
      </w:pPr>
    </w:p>
    <w:p w:rsidR="00997241" w:rsidRDefault="00997241" w:rsidP="005D5AC8">
      <w:pPr>
        <w:ind w:firstLine="426"/>
      </w:pPr>
    </w:p>
    <w:p w:rsidR="00997241" w:rsidRDefault="00997241" w:rsidP="005D5AC8">
      <w:pPr>
        <w:ind w:firstLine="426"/>
      </w:pPr>
    </w:p>
    <w:p w:rsidR="002D720D" w:rsidRDefault="002D720D" w:rsidP="005D5AC8">
      <w:pPr>
        <w:ind w:firstLine="426"/>
      </w:pPr>
    </w:p>
    <w:p w:rsidR="00967D5E" w:rsidRDefault="00967D5E" w:rsidP="005D5AC8">
      <w:pPr>
        <w:ind w:firstLine="426"/>
      </w:pPr>
    </w:p>
    <w:p w:rsidR="00967D5E" w:rsidRDefault="00967D5E" w:rsidP="005D5AC8">
      <w:pPr>
        <w:ind w:firstLine="426"/>
      </w:pPr>
    </w:p>
    <w:p w:rsidR="00967D5E" w:rsidRDefault="00967D5E" w:rsidP="005D5AC8">
      <w:pPr>
        <w:ind w:firstLine="426"/>
      </w:pPr>
    </w:p>
    <w:p w:rsidR="00635B2B" w:rsidRDefault="00635B2B" w:rsidP="002D720D"/>
    <w:p w:rsidR="002D720D" w:rsidRDefault="002D720D" w:rsidP="002D720D"/>
    <w:p w:rsidR="00CD4734" w:rsidRPr="005D5AC8" w:rsidRDefault="00CD4734" w:rsidP="002D720D"/>
    <w:p w:rsidR="0013756A" w:rsidRPr="0013756A" w:rsidRDefault="0013756A" w:rsidP="0013756A">
      <w:pPr>
        <w:pStyle w:val="Ttulo1"/>
      </w:pPr>
      <w:bookmarkStart w:id="21" w:name="_Toc516261779"/>
      <w:r>
        <w:t>CONCLUSÃO</w:t>
      </w:r>
      <w:bookmarkEnd w:id="21"/>
    </w:p>
    <w:p w:rsidR="003D1370" w:rsidRPr="0013756A" w:rsidRDefault="003D1370" w:rsidP="00827F97">
      <w:pPr>
        <w:pStyle w:val="Ttulo1"/>
        <w:ind w:firstLine="709"/>
        <w:rPr>
          <w:rFonts w:cs="Times New Roman"/>
          <w:b w:val="0"/>
          <w:szCs w:val="24"/>
        </w:rPr>
      </w:pPr>
    </w:p>
    <w:p w:rsidR="005E7DDC" w:rsidRDefault="005E7DDC" w:rsidP="00997241">
      <w:pPr>
        <w:ind w:firstLine="709"/>
      </w:pPr>
    </w:p>
    <w:p w:rsidR="00BC128E" w:rsidRDefault="00BC128E" w:rsidP="007740E8">
      <w:pPr>
        <w:rPr>
          <w:rFonts w:cs="Times New Roman"/>
          <w:color w:val="000000" w:themeColor="text1"/>
          <w:szCs w:val="24"/>
        </w:rPr>
      </w:pPr>
      <w:r>
        <w:rPr>
          <w:rFonts w:cs="Times New Roman"/>
          <w:color w:val="000000" w:themeColor="text1"/>
          <w:szCs w:val="24"/>
        </w:rPr>
        <w:t xml:space="preserve">           </w:t>
      </w:r>
      <w:r w:rsidR="004B197D">
        <w:rPr>
          <w:rFonts w:cs="Times New Roman"/>
          <w:color w:val="000000" w:themeColor="text1"/>
          <w:szCs w:val="24"/>
        </w:rPr>
        <w:t xml:space="preserve">A empresa </w:t>
      </w:r>
      <w:proofErr w:type="spellStart"/>
      <w:r w:rsidR="004B197D">
        <w:rPr>
          <w:rFonts w:cs="Times New Roman"/>
          <w:color w:val="000000" w:themeColor="text1"/>
          <w:szCs w:val="24"/>
        </w:rPr>
        <w:t>VIVO-Telefônica</w:t>
      </w:r>
      <w:proofErr w:type="spellEnd"/>
      <w:r w:rsidR="004B197D">
        <w:rPr>
          <w:rFonts w:cs="Times New Roman"/>
          <w:color w:val="000000" w:themeColor="text1"/>
          <w:szCs w:val="24"/>
        </w:rPr>
        <w:t xml:space="preserve"> Brasil apresenta um patrimônio crescente, dívidas em sua grande parte de longo prazo, patrimônio líquido superior às obrigações com terceiros</w:t>
      </w:r>
      <w:r>
        <w:rPr>
          <w:rFonts w:cs="Times New Roman"/>
          <w:color w:val="000000" w:themeColor="text1"/>
          <w:szCs w:val="24"/>
        </w:rPr>
        <w:t xml:space="preserve"> e outros elementos que demonstram sua saúde financeira quando observado o seu balanço patrimonial. </w:t>
      </w:r>
    </w:p>
    <w:p w:rsidR="002650E8" w:rsidRDefault="00BC128E" w:rsidP="007740E8">
      <w:pPr>
        <w:rPr>
          <w:rFonts w:cs="Times New Roman"/>
          <w:color w:val="000000" w:themeColor="text1"/>
          <w:szCs w:val="24"/>
        </w:rPr>
      </w:pPr>
      <w:r>
        <w:rPr>
          <w:rFonts w:cs="Times New Roman"/>
          <w:color w:val="000000" w:themeColor="text1"/>
          <w:szCs w:val="24"/>
        </w:rPr>
        <w:t xml:space="preserve">          É necessário também pontuar alguns aspectos relacionados às fontes de financiamento, as quais ainda não se encontram adequadas para afirmar que a empresa possui segurança junto aos seus credores, deve-se ficar atento principalmente ao índice de cobertura de juros, o qual </w:t>
      </w:r>
      <w:proofErr w:type="gramStart"/>
      <w:r>
        <w:rPr>
          <w:rFonts w:cs="Times New Roman"/>
          <w:color w:val="000000" w:themeColor="text1"/>
          <w:szCs w:val="24"/>
        </w:rPr>
        <w:t>comporta-se</w:t>
      </w:r>
      <w:proofErr w:type="gramEnd"/>
      <w:r>
        <w:rPr>
          <w:rFonts w:cs="Times New Roman"/>
          <w:color w:val="000000" w:themeColor="text1"/>
          <w:szCs w:val="24"/>
        </w:rPr>
        <w:t xml:space="preserve"> de maneira decrescente e veloz. Deve-se manter atento também à solvência de caixa.</w:t>
      </w:r>
    </w:p>
    <w:p w:rsidR="00775EA1" w:rsidRDefault="00BC128E" w:rsidP="007740E8">
      <w:pPr>
        <w:rPr>
          <w:rFonts w:cs="Times New Roman"/>
          <w:color w:val="000000" w:themeColor="text1"/>
          <w:szCs w:val="24"/>
        </w:rPr>
      </w:pPr>
      <w:r>
        <w:rPr>
          <w:rFonts w:cs="Times New Roman"/>
          <w:color w:val="000000" w:themeColor="text1"/>
          <w:szCs w:val="24"/>
        </w:rPr>
        <w:t xml:space="preserve">        Com relação </w:t>
      </w:r>
      <w:proofErr w:type="gramStart"/>
      <w:r>
        <w:rPr>
          <w:rFonts w:cs="Times New Roman"/>
          <w:color w:val="000000" w:themeColor="text1"/>
          <w:szCs w:val="24"/>
        </w:rPr>
        <w:t>a</w:t>
      </w:r>
      <w:proofErr w:type="gramEnd"/>
      <w:r>
        <w:rPr>
          <w:rFonts w:cs="Times New Roman"/>
          <w:color w:val="000000" w:themeColor="text1"/>
          <w:szCs w:val="24"/>
        </w:rPr>
        <w:t xml:space="preserve"> estimação de investimento via VALUATION, no momento não é vantajoso para os possíveis interessados investir e</w:t>
      </w:r>
      <w:r w:rsidR="00775EA1">
        <w:rPr>
          <w:rFonts w:cs="Times New Roman"/>
          <w:color w:val="000000" w:themeColor="text1"/>
          <w:szCs w:val="24"/>
        </w:rPr>
        <w:t>m ações da VIVT4, pois n</w:t>
      </w:r>
      <w:r>
        <w:rPr>
          <w:rFonts w:cs="Times New Roman"/>
          <w:color w:val="000000" w:themeColor="text1"/>
          <w:szCs w:val="24"/>
        </w:rPr>
        <w:t>os casos: sem crescimento de fluxo de caixa</w:t>
      </w:r>
      <w:r w:rsidR="00775EA1">
        <w:rPr>
          <w:rFonts w:cs="Times New Roman"/>
          <w:color w:val="000000" w:themeColor="text1"/>
          <w:szCs w:val="24"/>
        </w:rPr>
        <w:t xml:space="preserve"> e retorno exigido de 30%</w:t>
      </w:r>
      <w:r>
        <w:rPr>
          <w:rFonts w:cs="Times New Roman"/>
          <w:color w:val="000000" w:themeColor="text1"/>
          <w:szCs w:val="24"/>
        </w:rPr>
        <w:t>; crescimento</w:t>
      </w:r>
      <w:r w:rsidR="00775EA1">
        <w:rPr>
          <w:rFonts w:cs="Times New Roman"/>
          <w:color w:val="000000" w:themeColor="text1"/>
          <w:szCs w:val="24"/>
        </w:rPr>
        <w:t xml:space="preserve"> de 2% e retorno exigido de 30%, existe somente potencial de baixa do preço das ações, ou seja, o preço de mercado está superior ao preço alvo. No entanto, para o investidor estrangeiro o investimento se torna viável em função de um potencial de alta de 12%.</w:t>
      </w:r>
    </w:p>
    <w:p w:rsidR="00775EA1" w:rsidRDefault="00775EA1" w:rsidP="007740E8">
      <w:pPr>
        <w:rPr>
          <w:rFonts w:cs="Times New Roman"/>
          <w:color w:val="000000" w:themeColor="text1"/>
          <w:szCs w:val="24"/>
        </w:rPr>
      </w:pPr>
      <w:r>
        <w:rPr>
          <w:rFonts w:cs="Times New Roman"/>
          <w:color w:val="000000" w:themeColor="text1"/>
          <w:szCs w:val="24"/>
        </w:rPr>
        <w:t xml:space="preserve">        Desse modo verificamos a grande utilidade do método de VALUATION para análise de investimento em empresas que negociam ações na bolsa de valores. O método possibilita ao interessado uma análise fundamentalista viável e relativamente simples, tornando ainda mais vantajoso e atraente participar na construção de um mercado financeiro nacional potente, rentável e que estimule o crescimento, desenvolvimento e o espírito empreendedor.</w:t>
      </w:r>
    </w:p>
    <w:p w:rsidR="00775EA1" w:rsidRDefault="00775EA1" w:rsidP="007740E8">
      <w:pPr>
        <w:rPr>
          <w:rFonts w:cs="Times New Roman"/>
          <w:color w:val="000000" w:themeColor="text1"/>
          <w:szCs w:val="24"/>
        </w:rPr>
      </w:pPr>
      <w:r>
        <w:rPr>
          <w:rFonts w:cs="Times New Roman"/>
          <w:color w:val="000000" w:themeColor="text1"/>
          <w:szCs w:val="24"/>
        </w:rPr>
        <w:t xml:space="preserve">       </w:t>
      </w:r>
    </w:p>
    <w:p w:rsidR="00BC128E" w:rsidRPr="004B197D" w:rsidRDefault="00BC128E" w:rsidP="007740E8">
      <w:pPr>
        <w:rPr>
          <w:rFonts w:cs="Times New Roman"/>
          <w:color w:val="000000" w:themeColor="text1"/>
          <w:szCs w:val="24"/>
        </w:rPr>
      </w:pPr>
      <w:r>
        <w:rPr>
          <w:rFonts w:cs="Times New Roman"/>
          <w:color w:val="000000" w:themeColor="text1"/>
          <w:szCs w:val="24"/>
        </w:rPr>
        <w:t xml:space="preserve">        </w:t>
      </w:r>
    </w:p>
    <w:p w:rsidR="0013756A" w:rsidRDefault="0013756A" w:rsidP="007740E8">
      <w:pPr>
        <w:rPr>
          <w:rFonts w:cs="Times New Roman"/>
          <w:b/>
          <w:color w:val="000000" w:themeColor="text1"/>
          <w:szCs w:val="24"/>
        </w:rPr>
      </w:pPr>
    </w:p>
    <w:p w:rsidR="0013756A" w:rsidRDefault="0013756A" w:rsidP="007740E8">
      <w:pPr>
        <w:rPr>
          <w:rFonts w:cs="Times New Roman"/>
          <w:b/>
          <w:color w:val="000000" w:themeColor="text1"/>
          <w:szCs w:val="24"/>
        </w:rPr>
      </w:pPr>
    </w:p>
    <w:p w:rsidR="0013756A" w:rsidRDefault="0013756A" w:rsidP="007740E8">
      <w:pPr>
        <w:rPr>
          <w:rFonts w:cs="Times New Roman"/>
          <w:b/>
          <w:color w:val="000000" w:themeColor="text1"/>
          <w:szCs w:val="24"/>
        </w:rPr>
      </w:pPr>
    </w:p>
    <w:p w:rsidR="0013756A" w:rsidRDefault="0013756A" w:rsidP="007740E8">
      <w:pPr>
        <w:rPr>
          <w:rFonts w:cs="Times New Roman"/>
          <w:b/>
          <w:color w:val="000000" w:themeColor="text1"/>
          <w:szCs w:val="24"/>
        </w:rPr>
      </w:pPr>
    </w:p>
    <w:p w:rsidR="0013756A" w:rsidRDefault="0013756A" w:rsidP="007740E8">
      <w:pPr>
        <w:rPr>
          <w:rFonts w:cs="Times New Roman"/>
          <w:b/>
          <w:color w:val="000000" w:themeColor="text1"/>
          <w:szCs w:val="24"/>
        </w:rPr>
      </w:pPr>
    </w:p>
    <w:p w:rsidR="0013756A" w:rsidRDefault="0013756A" w:rsidP="007740E8">
      <w:pPr>
        <w:rPr>
          <w:rFonts w:cs="Times New Roman"/>
          <w:b/>
          <w:color w:val="000000" w:themeColor="text1"/>
          <w:szCs w:val="24"/>
        </w:rPr>
      </w:pPr>
    </w:p>
    <w:p w:rsidR="00BC128E" w:rsidRDefault="00BC128E" w:rsidP="00BC128E">
      <w:pPr>
        <w:rPr>
          <w:rFonts w:cs="Times New Roman"/>
          <w:b/>
          <w:color w:val="000000" w:themeColor="text1"/>
          <w:szCs w:val="24"/>
        </w:rPr>
      </w:pPr>
      <w:bookmarkStart w:id="22" w:name="_Toc516261780"/>
    </w:p>
    <w:p w:rsidR="00A04D98" w:rsidRPr="00BC128E" w:rsidRDefault="00A04D98" w:rsidP="00BC128E"/>
    <w:p w:rsidR="003A5E32" w:rsidRDefault="00D334A0" w:rsidP="003A5E32">
      <w:pPr>
        <w:pStyle w:val="Ttulo1"/>
        <w:jc w:val="center"/>
        <w:rPr>
          <w:rFonts w:cs="Times New Roman"/>
        </w:rPr>
      </w:pPr>
      <w:r w:rsidRPr="0013756A">
        <w:rPr>
          <w:rFonts w:cs="Times New Roman"/>
        </w:rPr>
        <w:lastRenderedPageBreak/>
        <w:t>R</w:t>
      </w:r>
      <w:r w:rsidR="0051135A" w:rsidRPr="0013756A">
        <w:rPr>
          <w:rFonts w:cs="Times New Roman"/>
        </w:rPr>
        <w:t>EFERÊNCIAS</w:t>
      </w:r>
      <w:bookmarkStart w:id="23" w:name="_GoBack"/>
      <w:bookmarkEnd w:id="2"/>
      <w:bookmarkEnd w:id="22"/>
      <w:bookmarkEnd w:id="23"/>
    </w:p>
    <w:p w:rsidR="005B7D4B" w:rsidRDefault="005B7D4B" w:rsidP="002D720D">
      <w:pPr>
        <w:spacing w:line="240" w:lineRule="auto"/>
        <w:jc w:val="left"/>
      </w:pPr>
    </w:p>
    <w:p w:rsidR="0034416C" w:rsidRDefault="0034416C" w:rsidP="002D720D">
      <w:pPr>
        <w:spacing w:line="240" w:lineRule="auto"/>
        <w:jc w:val="left"/>
        <w:rPr>
          <w:b/>
          <w:color w:val="000000" w:themeColor="text1"/>
        </w:rPr>
      </w:pPr>
      <w:hyperlink r:id="rId22" w:history="1">
        <w:r w:rsidRPr="00B62A17">
          <w:rPr>
            <w:rStyle w:val="Hyperlink"/>
            <w:b/>
          </w:rPr>
          <w:t>http://www.telefonica.com.br/</w:t>
        </w:r>
      </w:hyperlink>
    </w:p>
    <w:p w:rsidR="0034416C" w:rsidRDefault="0034416C" w:rsidP="002D720D">
      <w:pPr>
        <w:spacing w:line="240" w:lineRule="auto"/>
        <w:jc w:val="left"/>
        <w:rPr>
          <w:b/>
          <w:color w:val="000000" w:themeColor="text1"/>
        </w:rPr>
      </w:pPr>
    </w:p>
    <w:p w:rsidR="0034416C" w:rsidRDefault="0034416C" w:rsidP="002D720D">
      <w:pPr>
        <w:spacing w:line="240" w:lineRule="auto"/>
        <w:jc w:val="left"/>
        <w:rPr>
          <w:b/>
          <w:color w:val="000000" w:themeColor="text1"/>
        </w:rPr>
      </w:pPr>
      <w:hyperlink r:id="rId23" w:history="1">
        <w:r w:rsidRPr="00B62A17">
          <w:rPr>
            <w:rStyle w:val="Hyperlink"/>
            <w:b/>
          </w:rPr>
          <w:t>https://pt.wikipedia.org/wiki/Vivo</w:t>
        </w:r>
      </w:hyperlink>
    </w:p>
    <w:p w:rsidR="0034416C" w:rsidRDefault="0034416C" w:rsidP="002D720D">
      <w:pPr>
        <w:spacing w:line="240" w:lineRule="auto"/>
        <w:jc w:val="left"/>
        <w:rPr>
          <w:b/>
          <w:color w:val="000000" w:themeColor="text1"/>
        </w:rPr>
      </w:pPr>
    </w:p>
    <w:p w:rsidR="004B197D" w:rsidRDefault="004B197D" w:rsidP="002D720D">
      <w:pPr>
        <w:spacing w:line="240" w:lineRule="auto"/>
        <w:jc w:val="left"/>
        <w:rPr>
          <w:b/>
          <w:color w:val="000000" w:themeColor="text1"/>
        </w:rPr>
      </w:pPr>
      <w:hyperlink r:id="rId24" w:history="1">
        <w:r w:rsidRPr="00B62A17">
          <w:rPr>
            <w:rStyle w:val="Hyperlink"/>
            <w:b/>
          </w:rPr>
          <w:t>http://www.telebrasil.org.br/component/docman/doc_download/1862-05-2018-o-desempenho-do-setor-de-telecom-series-temporais-2017-pdf?Itemid</w:t>
        </w:r>
      </w:hyperlink>
      <w:r w:rsidRPr="004B197D">
        <w:rPr>
          <w:b/>
          <w:color w:val="000000" w:themeColor="text1"/>
        </w:rPr>
        <w:t>=</w:t>
      </w:r>
    </w:p>
    <w:p w:rsidR="004B197D" w:rsidRDefault="004B197D" w:rsidP="002D720D">
      <w:pPr>
        <w:spacing w:line="240" w:lineRule="auto"/>
        <w:jc w:val="left"/>
        <w:rPr>
          <w:b/>
          <w:color w:val="000000" w:themeColor="text1"/>
        </w:rPr>
      </w:pPr>
    </w:p>
    <w:p w:rsidR="0034416C" w:rsidRDefault="0034416C" w:rsidP="002D720D">
      <w:pPr>
        <w:spacing w:line="240" w:lineRule="auto"/>
        <w:jc w:val="left"/>
        <w:rPr>
          <w:b/>
          <w:color w:val="000000" w:themeColor="text1"/>
        </w:rPr>
      </w:pPr>
      <w:hyperlink r:id="rId25" w:history="1">
        <w:r w:rsidRPr="00B62A17">
          <w:rPr>
            <w:rStyle w:val="Hyperlink"/>
            <w:b/>
          </w:rPr>
          <w:t>https://www.em.com.br/app/noticia/economia/2017/06/13/internas_economia,876186/anatel-setor-de-telecom-sofre-com-crise-economica-mas-esta-no-piloto.shtml</w:t>
        </w:r>
      </w:hyperlink>
    </w:p>
    <w:p w:rsidR="0034416C" w:rsidRDefault="0034416C" w:rsidP="002D720D">
      <w:pPr>
        <w:spacing w:line="240" w:lineRule="auto"/>
        <w:jc w:val="left"/>
        <w:rPr>
          <w:b/>
          <w:color w:val="000000" w:themeColor="text1"/>
        </w:rPr>
      </w:pPr>
    </w:p>
    <w:p w:rsidR="0034416C" w:rsidRDefault="0034416C" w:rsidP="002D720D">
      <w:pPr>
        <w:spacing w:line="240" w:lineRule="auto"/>
        <w:jc w:val="left"/>
        <w:rPr>
          <w:b/>
          <w:color w:val="000000" w:themeColor="text1"/>
        </w:rPr>
      </w:pPr>
      <w:hyperlink r:id="rId26" w:history="1">
        <w:r w:rsidRPr="00B62A17">
          <w:rPr>
            <w:rStyle w:val="Hyperlink"/>
            <w:b/>
          </w:rPr>
          <w:t>https://sidra.ibge.gov.br/home/pmc/brasil</w:t>
        </w:r>
      </w:hyperlink>
    </w:p>
    <w:p w:rsidR="0034416C" w:rsidRDefault="0034416C" w:rsidP="002D720D">
      <w:pPr>
        <w:spacing w:line="240" w:lineRule="auto"/>
        <w:jc w:val="left"/>
        <w:rPr>
          <w:b/>
          <w:color w:val="000000" w:themeColor="text1"/>
        </w:rPr>
      </w:pPr>
    </w:p>
    <w:p w:rsidR="003B09BB" w:rsidRDefault="003B09BB" w:rsidP="002D720D">
      <w:pPr>
        <w:spacing w:line="240" w:lineRule="auto"/>
        <w:jc w:val="left"/>
        <w:rPr>
          <w:b/>
          <w:color w:val="000000" w:themeColor="text1"/>
        </w:rPr>
      </w:pPr>
      <w:hyperlink r:id="rId27" w:history="1">
        <w:r w:rsidRPr="00B62A17">
          <w:rPr>
            <w:rStyle w:val="Hyperlink"/>
            <w:b/>
          </w:rPr>
          <w:t>https://g1.globo.com/economia/noticia/2018/08/24/telecomunicacoes-deixa-de-liderar-ranking-do-setor-de-servicos-no-brasil-aponta-ibge.ghtml</w:t>
        </w:r>
      </w:hyperlink>
    </w:p>
    <w:p w:rsidR="003B09BB" w:rsidRDefault="003B09BB" w:rsidP="002D720D">
      <w:pPr>
        <w:spacing w:line="240" w:lineRule="auto"/>
        <w:jc w:val="left"/>
        <w:rPr>
          <w:b/>
          <w:color w:val="000000" w:themeColor="text1"/>
        </w:rPr>
      </w:pPr>
    </w:p>
    <w:p w:rsidR="00DC5DE4" w:rsidRDefault="00DC5DE4" w:rsidP="002D720D">
      <w:pPr>
        <w:spacing w:line="240" w:lineRule="auto"/>
        <w:jc w:val="left"/>
        <w:rPr>
          <w:b/>
          <w:color w:val="000000" w:themeColor="text1"/>
        </w:rPr>
      </w:pPr>
      <w:hyperlink r:id="rId28" w:history="1">
        <w:r w:rsidRPr="00B62A17">
          <w:rPr>
            <w:rStyle w:val="Hyperlink"/>
            <w:b/>
          </w:rPr>
          <w:t>https://www.sunoresearch.com.br/artigos/faturamento-vivo/</w:t>
        </w:r>
      </w:hyperlink>
    </w:p>
    <w:p w:rsidR="00DC5DE4" w:rsidRDefault="00DC5DE4" w:rsidP="002D720D">
      <w:pPr>
        <w:spacing w:line="240" w:lineRule="auto"/>
        <w:jc w:val="left"/>
        <w:rPr>
          <w:b/>
          <w:color w:val="000000" w:themeColor="text1"/>
        </w:rPr>
      </w:pPr>
    </w:p>
    <w:p w:rsidR="004B197D" w:rsidRPr="00350269" w:rsidRDefault="004B197D" w:rsidP="004B197D">
      <w:pPr>
        <w:spacing w:line="240" w:lineRule="auto"/>
        <w:jc w:val="left"/>
        <w:rPr>
          <w:b/>
          <w:bCs/>
        </w:rPr>
      </w:pPr>
      <w:r w:rsidRPr="00350269">
        <w:rPr>
          <w:color w:val="000000" w:themeColor="text1"/>
        </w:rPr>
        <w:t>PORTAL GESTÃO.</w:t>
      </w:r>
      <w:r>
        <w:rPr>
          <w:color w:val="000000" w:themeColor="text1"/>
        </w:rPr>
        <w:t xml:space="preserve"> </w:t>
      </w:r>
      <w:r w:rsidRPr="00350269">
        <w:t>O que é a análise financeira horizontal e vertical? Disponível em: &lt;</w:t>
      </w:r>
      <w:proofErr w:type="gramStart"/>
      <w:r w:rsidRPr="00350269">
        <w:t>https</w:t>
      </w:r>
      <w:proofErr w:type="gramEnd"/>
      <w:r w:rsidRPr="00350269">
        <w:t>://www.portal-gestao.com/artigos/7653-o-que-%C3%A9-a-an%C3%A1lise-financeira-horizontal-e-vertical.html&gt;. Acesso em: 06 jun. 2018.</w:t>
      </w:r>
    </w:p>
    <w:p w:rsidR="004B197D" w:rsidRDefault="004B197D" w:rsidP="002D720D">
      <w:pPr>
        <w:spacing w:line="240" w:lineRule="auto"/>
        <w:jc w:val="left"/>
        <w:rPr>
          <w:b/>
          <w:color w:val="000000" w:themeColor="text1"/>
        </w:rPr>
      </w:pPr>
    </w:p>
    <w:p w:rsidR="004B197D" w:rsidRDefault="004B197D" w:rsidP="004B197D">
      <w:pPr>
        <w:spacing w:line="240" w:lineRule="auto"/>
        <w:jc w:val="left"/>
        <w:rPr>
          <w:color w:val="000000" w:themeColor="text1"/>
        </w:rPr>
      </w:pPr>
      <w:r>
        <w:rPr>
          <w:color w:val="000000" w:themeColor="text1"/>
        </w:rPr>
        <w:t xml:space="preserve">SEBRAE. </w:t>
      </w:r>
      <w:r w:rsidRPr="00D33403">
        <w:rPr>
          <w:b/>
          <w:color w:val="000000" w:themeColor="text1"/>
        </w:rPr>
        <w:t xml:space="preserve">Conheça o </w:t>
      </w:r>
      <w:proofErr w:type="spellStart"/>
      <w:r w:rsidRPr="00D33403">
        <w:rPr>
          <w:b/>
          <w:color w:val="000000" w:themeColor="text1"/>
        </w:rPr>
        <w:t>valuation</w:t>
      </w:r>
      <w:proofErr w:type="spellEnd"/>
      <w:r w:rsidRPr="00D33403">
        <w:rPr>
          <w:b/>
          <w:color w:val="000000" w:themeColor="text1"/>
        </w:rPr>
        <w:t xml:space="preserve"> e saiba quanto vale sua empresa.</w:t>
      </w:r>
      <w:r>
        <w:rPr>
          <w:color w:val="000000" w:themeColor="text1"/>
        </w:rPr>
        <w:t xml:space="preserve"> </w:t>
      </w:r>
      <w:r w:rsidRPr="00D33403">
        <w:rPr>
          <w:color w:val="000000" w:themeColor="text1"/>
        </w:rPr>
        <w:t>Dispon</w:t>
      </w:r>
      <w:r>
        <w:rPr>
          <w:color w:val="000000" w:themeColor="text1"/>
        </w:rPr>
        <w:t>ível em: &lt;</w:t>
      </w:r>
      <w:proofErr w:type="gramStart"/>
      <w:r w:rsidRPr="00D33403">
        <w:rPr>
          <w:color w:val="000000" w:themeColor="text1"/>
        </w:rPr>
        <w:t>http://www.sebrae.com.br/sites/PortalSebrae/artigos/conheca-o-valuation-e-saiba-quanto-vale-sua-empresa,</w:t>
      </w:r>
      <w:proofErr w:type="gramEnd"/>
      <w:r w:rsidRPr="00D33403">
        <w:rPr>
          <w:color w:val="000000" w:themeColor="text1"/>
        </w:rPr>
        <w:t>290732f8d0cbf410VgnVCM1000004c00210aRCRD</w:t>
      </w:r>
      <w:r>
        <w:rPr>
          <w:color w:val="000000" w:themeColor="text1"/>
        </w:rPr>
        <w:t xml:space="preserve">&gt;. Acesso em: </w:t>
      </w:r>
      <w:proofErr w:type="gramStart"/>
      <w:r>
        <w:rPr>
          <w:color w:val="000000" w:themeColor="text1"/>
        </w:rPr>
        <w:t>6</w:t>
      </w:r>
      <w:proofErr w:type="gramEnd"/>
      <w:r>
        <w:rPr>
          <w:color w:val="000000" w:themeColor="text1"/>
        </w:rPr>
        <w:t xml:space="preserve"> jun. 2018.</w:t>
      </w:r>
    </w:p>
    <w:p w:rsidR="004B197D" w:rsidRDefault="004B197D" w:rsidP="002D720D">
      <w:pPr>
        <w:spacing w:line="240" w:lineRule="auto"/>
        <w:jc w:val="left"/>
        <w:rPr>
          <w:b/>
          <w:color w:val="000000" w:themeColor="text1"/>
        </w:rPr>
      </w:pPr>
    </w:p>
    <w:p w:rsidR="004B197D" w:rsidRPr="00D33403" w:rsidRDefault="004B197D" w:rsidP="004B197D">
      <w:pPr>
        <w:spacing w:line="240" w:lineRule="auto"/>
        <w:jc w:val="left"/>
        <w:rPr>
          <w:color w:val="000000" w:themeColor="text1"/>
        </w:rPr>
      </w:pPr>
      <w:r>
        <w:rPr>
          <w:color w:val="000000" w:themeColor="text1"/>
        </w:rPr>
        <w:t xml:space="preserve">SOCIEDADE DE NEGÓCIOS. </w:t>
      </w:r>
      <w:r w:rsidRPr="00E07375">
        <w:rPr>
          <w:b/>
          <w:color w:val="000000" w:themeColor="text1"/>
        </w:rPr>
        <w:t>Indicadores de atividade</w:t>
      </w:r>
      <w:r>
        <w:rPr>
          <w:color w:val="000000" w:themeColor="text1"/>
        </w:rPr>
        <w:t>. Disponível em: &lt;</w:t>
      </w:r>
      <w:proofErr w:type="gramStart"/>
      <w:r w:rsidRPr="005B7D4B">
        <w:rPr>
          <w:color w:val="000000" w:themeColor="text1"/>
        </w:rPr>
        <w:t>https</w:t>
      </w:r>
      <w:proofErr w:type="gramEnd"/>
      <w:r w:rsidRPr="005B7D4B">
        <w:rPr>
          <w:color w:val="000000" w:themeColor="text1"/>
        </w:rPr>
        <w:t>://www.sociedadedenegocios.com.br/RelacionamentoPJ/home/dicionario/i/indicadores-de-atividade</w:t>
      </w:r>
      <w:r>
        <w:rPr>
          <w:color w:val="000000" w:themeColor="text1"/>
        </w:rPr>
        <w:t>&gt;. Acesso em: 08 jun. 2018.</w:t>
      </w:r>
    </w:p>
    <w:p w:rsidR="004B197D" w:rsidRPr="0034416C" w:rsidRDefault="004B197D" w:rsidP="002D720D">
      <w:pPr>
        <w:spacing w:line="240" w:lineRule="auto"/>
        <w:jc w:val="left"/>
        <w:rPr>
          <w:b/>
          <w:color w:val="000000" w:themeColor="text1"/>
        </w:rPr>
      </w:pPr>
    </w:p>
    <w:sectPr w:rsidR="004B197D" w:rsidRPr="0034416C" w:rsidSect="005D1A64">
      <w:headerReference w:type="default" r:id="rId29"/>
      <w:pgSz w:w="11906" w:h="16838"/>
      <w:pgMar w:top="1701" w:right="1134" w:bottom="1134" w:left="170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8C1" w:rsidRDefault="00CE48C1" w:rsidP="00374360">
      <w:pPr>
        <w:spacing w:line="240" w:lineRule="auto"/>
      </w:pPr>
      <w:r>
        <w:separator/>
      </w:r>
    </w:p>
  </w:endnote>
  <w:endnote w:type="continuationSeparator" w:id="0">
    <w:p w:rsidR="00CE48C1" w:rsidRDefault="00CE48C1" w:rsidP="003743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8C1" w:rsidRDefault="00CE48C1" w:rsidP="00374360">
      <w:pPr>
        <w:spacing w:line="240" w:lineRule="auto"/>
      </w:pPr>
      <w:r>
        <w:separator/>
      </w:r>
    </w:p>
  </w:footnote>
  <w:footnote w:type="continuationSeparator" w:id="0">
    <w:p w:rsidR="00CE48C1" w:rsidRDefault="00CE48C1" w:rsidP="0037436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8E" w:rsidRDefault="00BC128E">
    <w:pPr>
      <w:pStyle w:val="Cabealho"/>
      <w:jc w:val="right"/>
    </w:pPr>
  </w:p>
  <w:p w:rsidR="00BC128E" w:rsidRDefault="00BC128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8E" w:rsidRPr="00050289" w:rsidRDefault="00BC128E">
    <w:pPr>
      <w:pStyle w:val="Cabealho"/>
      <w:jc w:val="right"/>
      <w:rPr>
        <w:sz w:val="20"/>
        <w:szCs w:val="20"/>
      </w:rPr>
    </w:pPr>
  </w:p>
  <w:p w:rsidR="00BC128E" w:rsidRPr="00050289" w:rsidRDefault="00BC128E">
    <w:pPr>
      <w:pStyle w:val="Cabealh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14641243"/>
      <w:docPartObj>
        <w:docPartGallery w:val="Page Numbers (Top of Page)"/>
        <w:docPartUnique/>
      </w:docPartObj>
    </w:sdtPr>
    <w:sdtContent>
      <w:p w:rsidR="00BC128E" w:rsidRPr="005D1A64" w:rsidRDefault="00BC128E">
        <w:pPr>
          <w:pStyle w:val="Cabealho"/>
          <w:jc w:val="right"/>
          <w:rPr>
            <w:sz w:val="20"/>
            <w:szCs w:val="20"/>
          </w:rPr>
        </w:pPr>
        <w:r w:rsidRPr="005D1A64">
          <w:rPr>
            <w:sz w:val="20"/>
            <w:szCs w:val="20"/>
          </w:rPr>
          <w:fldChar w:fldCharType="begin"/>
        </w:r>
        <w:r w:rsidRPr="005D1A64">
          <w:rPr>
            <w:sz w:val="20"/>
            <w:szCs w:val="20"/>
          </w:rPr>
          <w:instrText>PAGE   \* MERGEFORMAT</w:instrText>
        </w:r>
        <w:r w:rsidRPr="005D1A64">
          <w:rPr>
            <w:sz w:val="20"/>
            <w:szCs w:val="20"/>
          </w:rPr>
          <w:fldChar w:fldCharType="separate"/>
        </w:r>
        <w:r w:rsidR="00A04D98">
          <w:rPr>
            <w:noProof/>
            <w:sz w:val="20"/>
            <w:szCs w:val="20"/>
          </w:rPr>
          <w:t>16</w:t>
        </w:r>
        <w:r w:rsidRPr="005D1A64">
          <w:rPr>
            <w:sz w:val="20"/>
            <w:szCs w:val="20"/>
          </w:rPr>
          <w:fldChar w:fldCharType="end"/>
        </w:r>
      </w:p>
    </w:sdtContent>
  </w:sdt>
  <w:p w:rsidR="00BC128E" w:rsidRDefault="00BC12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6EB37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7B01EC8"/>
    <w:multiLevelType w:val="hybridMultilevel"/>
    <w:tmpl w:val="4F5AAB0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1D13270"/>
    <w:multiLevelType w:val="hybridMultilevel"/>
    <w:tmpl w:val="68D2A1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DF5C6A"/>
    <w:multiLevelType w:val="multilevel"/>
    <w:tmpl w:val="4E4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626EED"/>
    <w:multiLevelType w:val="hybridMultilevel"/>
    <w:tmpl w:val="5A6A1BC0"/>
    <w:lvl w:ilvl="0" w:tplc="B9EC016E">
      <w:start w:val="7"/>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CCC6F51"/>
    <w:multiLevelType w:val="hybridMultilevel"/>
    <w:tmpl w:val="ABA0C386"/>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55F27393"/>
    <w:multiLevelType w:val="hybridMultilevel"/>
    <w:tmpl w:val="D27C7502"/>
    <w:lvl w:ilvl="0" w:tplc="4F388556">
      <w:start w:val="7"/>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9AD00FB"/>
    <w:multiLevelType w:val="hybridMultilevel"/>
    <w:tmpl w:val="395C0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1FD7434"/>
    <w:multiLevelType w:val="hybridMultilevel"/>
    <w:tmpl w:val="8CF07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65F21DC"/>
    <w:multiLevelType w:val="hybridMultilevel"/>
    <w:tmpl w:val="3E5CD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6365275"/>
    <w:multiLevelType w:val="hybridMultilevel"/>
    <w:tmpl w:val="1BF013A2"/>
    <w:lvl w:ilvl="0" w:tplc="57109198">
      <w:start w:val="7"/>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6"/>
  </w:num>
  <w:num w:numId="6">
    <w:abstractNumId w:val="3"/>
  </w:num>
  <w:num w:numId="7">
    <w:abstractNumId w:val="8"/>
  </w:num>
  <w:num w:numId="8">
    <w:abstractNumId w:val="9"/>
  </w:num>
  <w:num w:numId="9">
    <w:abstractNumId w:val="1"/>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4"/>
  <w:defaultTabStop w:val="708"/>
  <w:hyphenationZone w:val="425"/>
  <w:characterSpacingControl w:val="doNotCompress"/>
  <w:footnotePr>
    <w:footnote w:id="-1"/>
    <w:footnote w:id="0"/>
  </w:footnotePr>
  <w:endnotePr>
    <w:endnote w:id="-1"/>
    <w:endnote w:id="0"/>
  </w:endnotePr>
  <w:compat/>
  <w:rsids>
    <w:rsidRoot w:val="008B0978"/>
    <w:rsid w:val="0000126E"/>
    <w:rsid w:val="0000358A"/>
    <w:rsid w:val="000037B0"/>
    <w:rsid w:val="000047FD"/>
    <w:rsid w:val="00010B42"/>
    <w:rsid w:val="00011D35"/>
    <w:rsid w:val="000139F0"/>
    <w:rsid w:val="0001475A"/>
    <w:rsid w:val="00014878"/>
    <w:rsid w:val="00014D4B"/>
    <w:rsid w:val="000156D2"/>
    <w:rsid w:val="000167E6"/>
    <w:rsid w:val="0002298B"/>
    <w:rsid w:val="00022D2C"/>
    <w:rsid w:val="00023D81"/>
    <w:rsid w:val="00024ED7"/>
    <w:rsid w:val="000251C0"/>
    <w:rsid w:val="00025217"/>
    <w:rsid w:val="000273B3"/>
    <w:rsid w:val="0002746F"/>
    <w:rsid w:val="000278F7"/>
    <w:rsid w:val="00031C54"/>
    <w:rsid w:val="00031E8B"/>
    <w:rsid w:val="00033DCF"/>
    <w:rsid w:val="000340C3"/>
    <w:rsid w:val="00034AEF"/>
    <w:rsid w:val="000364C5"/>
    <w:rsid w:val="00036954"/>
    <w:rsid w:val="00040627"/>
    <w:rsid w:val="00040B61"/>
    <w:rsid w:val="00041361"/>
    <w:rsid w:val="0004151C"/>
    <w:rsid w:val="000417FF"/>
    <w:rsid w:val="000445F6"/>
    <w:rsid w:val="00045A6E"/>
    <w:rsid w:val="0004681A"/>
    <w:rsid w:val="00046E90"/>
    <w:rsid w:val="0005013B"/>
    <w:rsid w:val="00050289"/>
    <w:rsid w:val="0005036C"/>
    <w:rsid w:val="00050A10"/>
    <w:rsid w:val="00050CD5"/>
    <w:rsid w:val="00051035"/>
    <w:rsid w:val="00054787"/>
    <w:rsid w:val="00055545"/>
    <w:rsid w:val="00055CC8"/>
    <w:rsid w:val="000560F6"/>
    <w:rsid w:val="00057F90"/>
    <w:rsid w:val="00061165"/>
    <w:rsid w:val="00062F4B"/>
    <w:rsid w:val="000631FC"/>
    <w:rsid w:val="00063F6D"/>
    <w:rsid w:val="000646E3"/>
    <w:rsid w:val="000666AA"/>
    <w:rsid w:val="00067236"/>
    <w:rsid w:val="00067CBE"/>
    <w:rsid w:val="00067D71"/>
    <w:rsid w:val="00070A77"/>
    <w:rsid w:val="00072590"/>
    <w:rsid w:val="0007392F"/>
    <w:rsid w:val="0007408A"/>
    <w:rsid w:val="0007411A"/>
    <w:rsid w:val="00075040"/>
    <w:rsid w:val="000772EE"/>
    <w:rsid w:val="0008025C"/>
    <w:rsid w:val="000815FB"/>
    <w:rsid w:val="000818F4"/>
    <w:rsid w:val="00083BC5"/>
    <w:rsid w:val="00083BEE"/>
    <w:rsid w:val="00084C54"/>
    <w:rsid w:val="000853CB"/>
    <w:rsid w:val="00085A20"/>
    <w:rsid w:val="00090072"/>
    <w:rsid w:val="000921D2"/>
    <w:rsid w:val="000924D6"/>
    <w:rsid w:val="00092F26"/>
    <w:rsid w:val="00094651"/>
    <w:rsid w:val="000956FB"/>
    <w:rsid w:val="00096870"/>
    <w:rsid w:val="00097042"/>
    <w:rsid w:val="0009748D"/>
    <w:rsid w:val="00097B47"/>
    <w:rsid w:val="000A0644"/>
    <w:rsid w:val="000A0A61"/>
    <w:rsid w:val="000A21B3"/>
    <w:rsid w:val="000A34ED"/>
    <w:rsid w:val="000A3D47"/>
    <w:rsid w:val="000A3DCF"/>
    <w:rsid w:val="000A5C03"/>
    <w:rsid w:val="000A6DC3"/>
    <w:rsid w:val="000A7E7D"/>
    <w:rsid w:val="000B0D43"/>
    <w:rsid w:val="000B3211"/>
    <w:rsid w:val="000B4530"/>
    <w:rsid w:val="000B5435"/>
    <w:rsid w:val="000B74AF"/>
    <w:rsid w:val="000B7EA4"/>
    <w:rsid w:val="000B7F5C"/>
    <w:rsid w:val="000C0E5C"/>
    <w:rsid w:val="000C186C"/>
    <w:rsid w:val="000C2294"/>
    <w:rsid w:val="000C2E05"/>
    <w:rsid w:val="000C4787"/>
    <w:rsid w:val="000C5C0A"/>
    <w:rsid w:val="000C5FEB"/>
    <w:rsid w:val="000C7301"/>
    <w:rsid w:val="000C767E"/>
    <w:rsid w:val="000C76EB"/>
    <w:rsid w:val="000D095A"/>
    <w:rsid w:val="000D1DB8"/>
    <w:rsid w:val="000D354A"/>
    <w:rsid w:val="000D41E3"/>
    <w:rsid w:val="000D41F6"/>
    <w:rsid w:val="000D53A2"/>
    <w:rsid w:val="000D576B"/>
    <w:rsid w:val="000D5A4E"/>
    <w:rsid w:val="000D797F"/>
    <w:rsid w:val="000E1809"/>
    <w:rsid w:val="000E1F2B"/>
    <w:rsid w:val="000E242A"/>
    <w:rsid w:val="000E3723"/>
    <w:rsid w:val="000E56B4"/>
    <w:rsid w:val="000E6605"/>
    <w:rsid w:val="000E6A40"/>
    <w:rsid w:val="000E6D62"/>
    <w:rsid w:val="000E76A8"/>
    <w:rsid w:val="000E77DF"/>
    <w:rsid w:val="000F0650"/>
    <w:rsid w:val="000F149B"/>
    <w:rsid w:val="000F299B"/>
    <w:rsid w:val="000F358F"/>
    <w:rsid w:val="000F4169"/>
    <w:rsid w:val="000F4171"/>
    <w:rsid w:val="000F4A94"/>
    <w:rsid w:val="000F5415"/>
    <w:rsid w:val="00101602"/>
    <w:rsid w:val="00101C1B"/>
    <w:rsid w:val="00107025"/>
    <w:rsid w:val="00111109"/>
    <w:rsid w:val="00111236"/>
    <w:rsid w:val="0011216E"/>
    <w:rsid w:val="00112920"/>
    <w:rsid w:val="00112F0F"/>
    <w:rsid w:val="00114057"/>
    <w:rsid w:val="001153D7"/>
    <w:rsid w:val="001156FF"/>
    <w:rsid w:val="001164A7"/>
    <w:rsid w:val="00117888"/>
    <w:rsid w:val="00120C19"/>
    <w:rsid w:val="00126880"/>
    <w:rsid w:val="0012729B"/>
    <w:rsid w:val="00127EF7"/>
    <w:rsid w:val="00130811"/>
    <w:rsid w:val="00130FF7"/>
    <w:rsid w:val="0013366E"/>
    <w:rsid w:val="00134F45"/>
    <w:rsid w:val="001360DC"/>
    <w:rsid w:val="001370AC"/>
    <w:rsid w:val="0013756A"/>
    <w:rsid w:val="00141206"/>
    <w:rsid w:val="001419A8"/>
    <w:rsid w:val="00145FD2"/>
    <w:rsid w:val="0014706C"/>
    <w:rsid w:val="001470EE"/>
    <w:rsid w:val="00147533"/>
    <w:rsid w:val="001476B0"/>
    <w:rsid w:val="001477E3"/>
    <w:rsid w:val="00152A7F"/>
    <w:rsid w:val="00155F44"/>
    <w:rsid w:val="00156B22"/>
    <w:rsid w:val="00157740"/>
    <w:rsid w:val="00162964"/>
    <w:rsid w:val="0016394B"/>
    <w:rsid w:val="001656BC"/>
    <w:rsid w:val="00166964"/>
    <w:rsid w:val="001700CA"/>
    <w:rsid w:val="001705E7"/>
    <w:rsid w:val="00170925"/>
    <w:rsid w:val="00171F17"/>
    <w:rsid w:val="00172288"/>
    <w:rsid w:val="0017296F"/>
    <w:rsid w:val="00172E0D"/>
    <w:rsid w:val="00173023"/>
    <w:rsid w:val="001734EF"/>
    <w:rsid w:val="00173FED"/>
    <w:rsid w:val="00174F17"/>
    <w:rsid w:val="00175E52"/>
    <w:rsid w:val="001766B2"/>
    <w:rsid w:val="0017686E"/>
    <w:rsid w:val="001769EA"/>
    <w:rsid w:val="00176C85"/>
    <w:rsid w:val="00177B7D"/>
    <w:rsid w:val="001816F8"/>
    <w:rsid w:val="0018224D"/>
    <w:rsid w:val="001822E3"/>
    <w:rsid w:val="00182BB4"/>
    <w:rsid w:val="00186EED"/>
    <w:rsid w:val="0018720B"/>
    <w:rsid w:val="00187653"/>
    <w:rsid w:val="00187A65"/>
    <w:rsid w:val="0019080E"/>
    <w:rsid w:val="00193473"/>
    <w:rsid w:val="00194606"/>
    <w:rsid w:val="00197861"/>
    <w:rsid w:val="00197EF6"/>
    <w:rsid w:val="001A1E75"/>
    <w:rsid w:val="001A2BE7"/>
    <w:rsid w:val="001A3149"/>
    <w:rsid w:val="001A69AF"/>
    <w:rsid w:val="001A713C"/>
    <w:rsid w:val="001B0A85"/>
    <w:rsid w:val="001B109F"/>
    <w:rsid w:val="001B2DC7"/>
    <w:rsid w:val="001B426A"/>
    <w:rsid w:val="001B5F1E"/>
    <w:rsid w:val="001B7E23"/>
    <w:rsid w:val="001C0CA7"/>
    <w:rsid w:val="001C4666"/>
    <w:rsid w:val="001C492B"/>
    <w:rsid w:val="001C6C40"/>
    <w:rsid w:val="001C7ACD"/>
    <w:rsid w:val="001D02B4"/>
    <w:rsid w:val="001D0BA2"/>
    <w:rsid w:val="001D11D5"/>
    <w:rsid w:val="001D2189"/>
    <w:rsid w:val="001E2FD8"/>
    <w:rsid w:val="001E41F0"/>
    <w:rsid w:val="001E47E7"/>
    <w:rsid w:val="001E5CC2"/>
    <w:rsid w:val="001E61EA"/>
    <w:rsid w:val="001E6E3D"/>
    <w:rsid w:val="001F0A9B"/>
    <w:rsid w:val="001F1244"/>
    <w:rsid w:val="001F16B6"/>
    <w:rsid w:val="001F1961"/>
    <w:rsid w:val="001F1A47"/>
    <w:rsid w:val="001F1BC9"/>
    <w:rsid w:val="001F2F21"/>
    <w:rsid w:val="001F3467"/>
    <w:rsid w:val="001F57BE"/>
    <w:rsid w:val="001F76DD"/>
    <w:rsid w:val="001F7B56"/>
    <w:rsid w:val="00201686"/>
    <w:rsid w:val="00202875"/>
    <w:rsid w:val="00202ACA"/>
    <w:rsid w:val="00202F1E"/>
    <w:rsid w:val="00203546"/>
    <w:rsid w:val="00203552"/>
    <w:rsid w:val="00203938"/>
    <w:rsid w:val="00204AAB"/>
    <w:rsid w:val="00204F89"/>
    <w:rsid w:val="002063E5"/>
    <w:rsid w:val="00207B17"/>
    <w:rsid w:val="00212C65"/>
    <w:rsid w:val="0021390E"/>
    <w:rsid w:val="00213EBE"/>
    <w:rsid w:val="00214AD9"/>
    <w:rsid w:val="0021591A"/>
    <w:rsid w:val="00216975"/>
    <w:rsid w:val="002173EE"/>
    <w:rsid w:val="0022346B"/>
    <w:rsid w:val="00225C79"/>
    <w:rsid w:val="00227A37"/>
    <w:rsid w:val="0023050A"/>
    <w:rsid w:val="0023074C"/>
    <w:rsid w:val="00235A8D"/>
    <w:rsid w:val="00235F65"/>
    <w:rsid w:val="00236162"/>
    <w:rsid w:val="00236CFE"/>
    <w:rsid w:val="0023732A"/>
    <w:rsid w:val="002378FC"/>
    <w:rsid w:val="00237C12"/>
    <w:rsid w:val="0024098E"/>
    <w:rsid w:val="00240FAD"/>
    <w:rsid w:val="00245044"/>
    <w:rsid w:val="002457C8"/>
    <w:rsid w:val="00247156"/>
    <w:rsid w:val="0024787B"/>
    <w:rsid w:val="00247F8D"/>
    <w:rsid w:val="00252481"/>
    <w:rsid w:val="00254846"/>
    <w:rsid w:val="002563A4"/>
    <w:rsid w:val="00257C59"/>
    <w:rsid w:val="0026054E"/>
    <w:rsid w:val="00260D9C"/>
    <w:rsid w:val="00262F08"/>
    <w:rsid w:val="00263083"/>
    <w:rsid w:val="002631D7"/>
    <w:rsid w:val="00263320"/>
    <w:rsid w:val="00264108"/>
    <w:rsid w:val="002641EF"/>
    <w:rsid w:val="00264E63"/>
    <w:rsid w:val="002650E8"/>
    <w:rsid w:val="00267EB2"/>
    <w:rsid w:val="002709DC"/>
    <w:rsid w:val="00270A4A"/>
    <w:rsid w:val="002723D3"/>
    <w:rsid w:val="00273108"/>
    <w:rsid w:val="002735A5"/>
    <w:rsid w:val="00273746"/>
    <w:rsid w:val="00273DF9"/>
    <w:rsid w:val="00274816"/>
    <w:rsid w:val="002753A8"/>
    <w:rsid w:val="00275FC0"/>
    <w:rsid w:val="0027629A"/>
    <w:rsid w:val="00276E48"/>
    <w:rsid w:val="0027791B"/>
    <w:rsid w:val="0028095D"/>
    <w:rsid w:val="002819FF"/>
    <w:rsid w:val="00281D2F"/>
    <w:rsid w:val="00284F0D"/>
    <w:rsid w:val="0028648C"/>
    <w:rsid w:val="00286E23"/>
    <w:rsid w:val="002875F9"/>
    <w:rsid w:val="0028788B"/>
    <w:rsid w:val="00290457"/>
    <w:rsid w:val="00290751"/>
    <w:rsid w:val="00290FBC"/>
    <w:rsid w:val="002914B1"/>
    <w:rsid w:val="00291807"/>
    <w:rsid w:val="002938D4"/>
    <w:rsid w:val="00295EDB"/>
    <w:rsid w:val="00296E8B"/>
    <w:rsid w:val="00296FD3"/>
    <w:rsid w:val="002978A7"/>
    <w:rsid w:val="002A186F"/>
    <w:rsid w:val="002A2D6A"/>
    <w:rsid w:val="002A585B"/>
    <w:rsid w:val="002A5FBB"/>
    <w:rsid w:val="002B0CF4"/>
    <w:rsid w:val="002B2E90"/>
    <w:rsid w:val="002B2F27"/>
    <w:rsid w:val="002B3B71"/>
    <w:rsid w:val="002B46C8"/>
    <w:rsid w:val="002B4B01"/>
    <w:rsid w:val="002B6288"/>
    <w:rsid w:val="002B649D"/>
    <w:rsid w:val="002B6859"/>
    <w:rsid w:val="002C295F"/>
    <w:rsid w:val="002C3EFB"/>
    <w:rsid w:val="002C4769"/>
    <w:rsid w:val="002C533A"/>
    <w:rsid w:val="002C6609"/>
    <w:rsid w:val="002C783E"/>
    <w:rsid w:val="002C7B68"/>
    <w:rsid w:val="002D07DE"/>
    <w:rsid w:val="002D0938"/>
    <w:rsid w:val="002D0B82"/>
    <w:rsid w:val="002D0E20"/>
    <w:rsid w:val="002D1AF5"/>
    <w:rsid w:val="002D1C56"/>
    <w:rsid w:val="002D2D25"/>
    <w:rsid w:val="002D3A25"/>
    <w:rsid w:val="002D536C"/>
    <w:rsid w:val="002D686D"/>
    <w:rsid w:val="002D720D"/>
    <w:rsid w:val="002E061B"/>
    <w:rsid w:val="002E0904"/>
    <w:rsid w:val="002E0B1F"/>
    <w:rsid w:val="002E10D0"/>
    <w:rsid w:val="002E258E"/>
    <w:rsid w:val="002E2ACF"/>
    <w:rsid w:val="002E4212"/>
    <w:rsid w:val="002E43AC"/>
    <w:rsid w:val="002E4AF3"/>
    <w:rsid w:val="002E56D5"/>
    <w:rsid w:val="002E5799"/>
    <w:rsid w:val="002E648B"/>
    <w:rsid w:val="002E65F1"/>
    <w:rsid w:val="002F1035"/>
    <w:rsid w:val="002F148E"/>
    <w:rsid w:val="002F1DFC"/>
    <w:rsid w:val="002F6027"/>
    <w:rsid w:val="0030095C"/>
    <w:rsid w:val="00300A45"/>
    <w:rsid w:val="00300C44"/>
    <w:rsid w:val="0030111B"/>
    <w:rsid w:val="00302E64"/>
    <w:rsid w:val="003047F4"/>
    <w:rsid w:val="0030672A"/>
    <w:rsid w:val="00306C6A"/>
    <w:rsid w:val="003130D4"/>
    <w:rsid w:val="00313148"/>
    <w:rsid w:val="003136A7"/>
    <w:rsid w:val="00313F13"/>
    <w:rsid w:val="003140CF"/>
    <w:rsid w:val="00314122"/>
    <w:rsid w:val="00315480"/>
    <w:rsid w:val="003156A5"/>
    <w:rsid w:val="00315FD5"/>
    <w:rsid w:val="00316525"/>
    <w:rsid w:val="00316B8C"/>
    <w:rsid w:val="00320736"/>
    <w:rsid w:val="003223A2"/>
    <w:rsid w:val="00322FA3"/>
    <w:rsid w:val="003252DA"/>
    <w:rsid w:val="00330190"/>
    <w:rsid w:val="0033087D"/>
    <w:rsid w:val="00331A6B"/>
    <w:rsid w:val="00331CB3"/>
    <w:rsid w:val="0033332E"/>
    <w:rsid w:val="00334062"/>
    <w:rsid w:val="00336B08"/>
    <w:rsid w:val="00337BA6"/>
    <w:rsid w:val="00337CF5"/>
    <w:rsid w:val="0034282A"/>
    <w:rsid w:val="00342B84"/>
    <w:rsid w:val="0034416C"/>
    <w:rsid w:val="00345DD2"/>
    <w:rsid w:val="0034620B"/>
    <w:rsid w:val="00350269"/>
    <w:rsid w:val="0035166A"/>
    <w:rsid w:val="00352FE5"/>
    <w:rsid w:val="003539EB"/>
    <w:rsid w:val="00354176"/>
    <w:rsid w:val="00354621"/>
    <w:rsid w:val="0035564E"/>
    <w:rsid w:val="00357D66"/>
    <w:rsid w:val="0036040F"/>
    <w:rsid w:val="0036047E"/>
    <w:rsid w:val="003607F6"/>
    <w:rsid w:val="0036236B"/>
    <w:rsid w:val="00362853"/>
    <w:rsid w:val="00363372"/>
    <w:rsid w:val="00363AE5"/>
    <w:rsid w:val="00364CDB"/>
    <w:rsid w:val="003650BE"/>
    <w:rsid w:val="00365CAF"/>
    <w:rsid w:val="003671B7"/>
    <w:rsid w:val="003672F9"/>
    <w:rsid w:val="00367866"/>
    <w:rsid w:val="0037041D"/>
    <w:rsid w:val="00372428"/>
    <w:rsid w:val="00372534"/>
    <w:rsid w:val="00372B79"/>
    <w:rsid w:val="00373654"/>
    <w:rsid w:val="003739F2"/>
    <w:rsid w:val="00374360"/>
    <w:rsid w:val="00374F48"/>
    <w:rsid w:val="0037602C"/>
    <w:rsid w:val="0037689B"/>
    <w:rsid w:val="00377549"/>
    <w:rsid w:val="00381B1D"/>
    <w:rsid w:val="00381D48"/>
    <w:rsid w:val="003826E3"/>
    <w:rsid w:val="00382942"/>
    <w:rsid w:val="00383D9F"/>
    <w:rsid w:val="0038578C"/>
    <w:rsid w:val="00386050"/>
    <w:rsid w:val="00387198"/>
    <w:rsid w:val="00387770"/>
    <w:rsid w:val="00391B22"/>
    <w:rsid w:val="00391BC8"/>
    <w:rsid w:val="00391CBD"/>
    <w:rsid w:val="00391DF3"/>
    <w:rsid w:val="0039392E"/>
    <w:rsid w:val="00393AE8"/>
    <w:rsid w:val="00393B11"/>
    <w:rsid w:val="0039448B"/>
    <w:rsid w:val="0039527C"/>
    <w:rsid w:val="00395625"/>
    <w:rsid w:val="00396D95"/>
    <w:rsid w:val="00396FA0"/>
    <w:rsid w:val="0039766A"/>
    <w:rsid w:val="003A37C8"/>
    <w:rsid w:val="003A4890"/>
    <w:rsid w:val="003A544B"/>
    <w:rsid w:val="003A5E32"/>
    <w:rsid w:val="003A72B8"/>
    <w:rsid w:val="003A7AFD"/>
    <w:rsid w:val="003A7D1E"/>
    <w:rsid w:val="003B0086"/>
    <w:rsid w:val="003B0177"/>
    <w:rsid w:val="003B0440"/>
    <w:rsid w:val="003B071B"/>
    <w:rsid w:val="003B09BB"/>
    <w:rsid w:val="003B0BE2"/>
    <w:rsid w:val="003B14B5"/>
    <w:rsid w:val="003B294C"/>
    <w:rsid w:val="003B47F0"/>
    <w:rsid w:val="003B4E29"/>
    <w:rsid w:val="003B60FC"/>
    <w:rsid w:val="003B6A3E"/>
    <w:rsid w:val="003B6DBE"/>
    <w:rsid w:val="003B719A"/>
    <w:rsid w:val="003C179E"/>
    <w:rsid w:val="003C2067"/>
    <w:rsid w:val="003C2CC6"/>
    <w:rsid w:val="003C3AAD"/>
    <w:rsid w:val="003C51D7"/>
    <w:rsid w:val="003C57C3"/>
    <w:rsid w:val="003C57EE"/>
    <w:rsid w:val="003D0C19"/>
    <w:rsid w:val="003D1028"/>
    <w:rsid w:val="003D1370"/>
    <w:rsid w:val="003D28C2"/>
    <w:rsid w:val="003D3B48"/>
    <w:rsid w:val="003D460F"/>
    <w:rsid w:val="003D6D62"/>
    <w:rsid w:val="003D6DDE"/>
    <w:rsid w:val="003D7A5F"/>
    <w:rsid w:val="003E070E"/>
    <w:rsid w:val="003E0923"/>
    <w:rsid w:val="003E100D"/>
    <w:rsid w:val="003E2929"/>
    <w:rsid w:val="003E4A1D"/>
    <w:rsid w:val="003E5170"/>
    <w:rsid w:val="003E55D1"/>
    <w:rsid w:val="003E5D40"/>
    <w:rsid w:val="003E6BFC"/>
    <w:rsid w:val="003F06A7"/>
    <w:rsid w:val="003F2374"/>
    <w:rsid w:val="003F2813"/>
    <w:rsid w:val="003F2E95"/>
    <w:rsid w:val="003F7051"/>
    <w:rsid w:val="00403F05"/>
    <w:rsid w:val="00404E28"/>
    <w:rsid w:val="004112F5"/>
    <w:rsid w:val="004114FD"/>
    <w:rsid w:val="00411CDE"/>
    <w:rsid w:val="004134C7"/>
    <w:rsid w:val="00414CDA"/>
    <w:rsid w:val="0041532F"/>
    <w:rsid w:val="0041574B"/>
    <w:rsid w:val="0042027C"/>
    <w:rsid w:val="00420820"/>
    <w:rsid w:val="004215C6"/>
    <w:rsid w:val="00421702"/>
    <w:rsid w:val="00421B60"/>
    <w:rsid w:val="00422FBD"/>
    <w:rsid w:val="00424F51"/>
    <w:rsid w:val="00425693"/>
    <w:rsid w:val="00426D36"/>
    <w:rsid w:val="00430F79"/>
    <w:rsid w:val="0043418F"/>
    <w:rsid w:val="00435951"/>
    <w:rsid w:val="00435CD9"/>
    <w:rsid w:val="00436AB9"/>
    <w:rsid w:val="00436E5D"/>
    <w:rsid w:val="00436F3B"/>
    <w:rsid w:val="00437E18"/>
    <w:rsid w:val="00440737"/>
    <w:rsid w:val="004421C1"/>
    <w:rsid w:val="00442301"/>
    <w:rsid w:val="00445596"/>
    <w:rsid w:val="00445C73"/>
    <w:rsid w:val="00446B24"/>
    <w:rsid w:val="00450500"/>
    <w:rsid w:val="0045078B"/>
    <w:rsid w:val="00450A2A"/>
    <w:rsid w:val="004538BF"/>
    <w:rsid w:val="0045435C"/>
    <w:rsid w:val="00454D05"/>
    <w:rsid w:val="004565AB"/>
    <w:rsid w:val="00456B0C"/>
    <w:rsid w:val="004616E4"/>
    <w:rsid w:val="00461EED"/>
    <w:rsid w:val="0046227E"/>
    <w:rsid w:val="0046270F"/>
    <w:rsid w:val="004627F0"/>
    <w:rsid w:val="00463230"/>
    <w:rsid w:val="00463818"/>
    <w:rsid w:val="004638D3"/>
    <w:rsid w:val="0046456A"/>
    <w:rsid w:val="00464E19"/>
    <w:rsid w:val="004653CC"/>
    <w:rsid w:val="00465C64"/>
    <w:rsid w:val="00467B16"/>
    <w:rsid w:val="00467DA3"/>
    <w:rsid w:val="00467EA6"/>
    <w:rsid w:val="004706FB"/>
    <w:rsid w:val="00470DC4"/>
    <w:rsid w:val="00472099"/>
    <w:rsid w:val="0047292D"/>
    <w:rsid w:val="0047331C"/>
    <w:rsid w:val="00473892"/>
    <w:rsid w:val="00473ABA"/>
    <w:rsid w:val="00473D29"/>
    <w:rsid w:val="0047541D"/>
    <w:rsid w:val="00475813"/>
    <w:rsid w:val="00476135"/>
    <w:rsid w:val="0047720C"/>
    <w:rsid w:val="00480AE1"/>
    <w:rsid w:val="00481819"/>
    <w:rsid w:val="004823A0"/>
    <w:rsid w:val="00484491"/>
    <w:rsid w:val="004848A9"/>
    <w:rsid w:val="00485264"/>
    <w:rsid w:val="004857D0"/>
    <w:rsid w:val="00485BDF"/>
    <w:rsid w:val="0048611D"/>
    <w:rsid w:val="00487731"/>
    <w:rsid w:val="004908A4"/>
    <w:rsid w:val="004911E4"/>
    <w:rsid w:val="00491370"/>
    <w:rsid w:val="00494430"/>
    <w:rsid w:val="00495740"/>
    <w:rsid w:val="00495BA9"/>
    <w:rsid w:val="00496254"/>
    <w:rsid w:val="00496E08"/>
    <w:rsid w:val="00497CAD"/>
    <w:rsid w:val="004A01BC"/>
    <w:rsid w:val="004A2C19"/>
    <w:rsid w:val="004A3031"/>
    <w:rsid w:val="004A384A"/>
    <w:rsid w:val="004A3BAB"/>
    <w:rsid w:val="004A6ACA"/>
    <w:rsid w:val="004A6BC8"/>
    <w:rsid w:val="004B057F"/>
    <w:rsid w:val="004B0612"/>
    <w:rsid w:val="004B06E4"/>
    <w:rsid w:val="004B13B4"/>
    <w:rsid w:val="004B1911"/>
    <w:rsid w:val="004B197D"/>
    <w:rsid w:val="004B367A"/>
    <w:rsid w:val="004B3AEC"/>
    <w:rsid w:val="004B42B5"/>
    <w:rsid w:val="004B43AD"/>
    <w:rsid w:val="004B50C1"/>
    <w:rsid w:val="004B592E"/>
    <w:rsid w:val="004B5B48"/>
    <w:rsid w:val="004C04E8"/>
    <w:rsid w:val="004C067B"/>
    <w:rsid w:val="004C2F18"/>
    <w:rsid w:val="004C39FF"/>
    <w:rsid w:val="004C3D3C"/>
    <w:rsid w:val="004C47ED"/>
    <w:rsid w:val="004C5958"/>
    <w:rsid w:val="004C5F85"/>
    <w:rsid w:val="004C648C"/>
    <w:rsid w:val="004C76B2"/>
    <w:rsid w:val="004D0837"/>
    <w:rsid w:val="004D0EC1"/>
    <w:rsid w:val="004D0F12"/>
    <w:rsid w:val="004D146B"/>
    <w:rsid w:val="004D1822"/>
    <w:rsid w:val="004D1BAC"/>
    <w:rsid w:val="004D2577"/>
    <w:rsid w:val="004D341B"/>
    <w:rsid w:val="004D386D"/>
    <w:rsid w:val="004D4705"/>
    <w:rsid w:val="004D476F"/>
    <w:rsid w:val="004D49BE"/>
    <w:rsid w:val="004D4F30"/>
    <w:rsid w:val="004D688C"/>
    <w:rsid w:val="004E265A"/>
    <w:rsid w:val="004E391E"/>
    <w:rsid w:val="004E3ABB"/>
    <w:rsid w:val="004E3EF8"/>
    <w:rsid w:val="004E51F7"/>
    <w:rsid w:val="004E52C8"/>
    <w:rsid w:val="004E668B"/>
    <w:rsid w:val="004F00EA"/>
    <w:rsid w:val="004F55DD"/>
    <w:rsid w:val="004F65C3"/>
    <w:rsid w:val="004F6B73"/>
    <w:rsid w:val="004F6FC2"/>
    <w:rsid w:val="004F735D"/>
    <w:rsid w:val="00500011"/>
    <w:rsid w:val="005000C9"/>
    <w:rsid w:val="00501E7A"/>
    <w:rsid w:val="00502C6C"/>
    <w:rsid w:val="00504477"/>
    <w:rsid w:val="00504ACA"/>
    <w:rsid w:val="00506C85"/>
    <w:rsid w:val="00507597"/>
    <w:rsid w:val="0051033F"/>
    <w:rsid w:val="005108C1"/>
    <w:rsid w:val="0051135A"/>
    <w:rsid w:val="00512042"/>
    <w:rsid w:val="00513612"/>
    <w:rsid w:val="00513DA3"/>
    <w:rsid w:val="00515463"/>
    <w:rsid w:val="005171CA"/>
    <w:rsid w:val="00521AFF"/>
    <w:rsid w:val="0052233C"/>
    <w:rsid w:val="00523F7B"/>
    <w:rsid w:val="0052466B"/>
    <w:rsid w:val="00525162"/>
    <w:rsid w:val="005259BE"/>
    <w:rsid w:val="00525C05"/>
    <w:rsid w:val="00526A23"/>
    <w:rsid w:val="00526B0A"/>
    <w:rsid w:val="00532CD0"/>
    <w:rsid w:val="00532F1E"/>
    <w:rsid w:val="00533114"/>
    <w:rsid w:val="00533A45"/>
    <w:rsid w:val="005346FC"/>
    <w:rsid w:val="00534A29"/>
    <w:rsid w:val="00535B4E"/>
    <w:rsid w:val="00536652"/>
    <w:rsid w:val="00536CD9"/>
    <w:rsid w:val="0053753C"/>
    <w:rsid w:val="00537EFD"/>
    <w:rsid w:val="005405D4"/>
    <w:rsid w:val="00541327"/>
    <w:rsid w:val="0054156C"/>
    <w:rsid w:val="00541BC4"/>
    <w:rsid w:val="00541E7D"/>
    <w:rsid w:val="005440AA"/>
    <w:rsid w:val="00544777"/>
    <w:rsid w:val="005455A4"/>
    <w:rsid w:val="00546BA8"/>
    <w:rsid w:val="00547CF6"/>
    <w:rsid w:val="00551E4B"/>
    <w:rsid w:val="005534DA"/>
    <w:rsid w:val="00554C48"/>
    <w:rsid w:val="00555FDA"/>
    <w:rsid w:val="00557E31"/>
    <w:rsid w:val="00560C6B"/>
    <w:rsid w:val="0056142E"/>
    <w:rsid w:val="00561D27"/>
    <w:rsid w:val="00561DC4"/>
    <w:rsid w:val="00563479"/>
    <w:rsid w:val="00563DA5"/>
    <w:rsid w:val="00565473"/>
    <w:rsid w:val="005658CA"/>
    <w:rsid w:val="00566300"/>
    <w:rsid w:val="00567888"/>
    <w:rsid w:val="005715B9"/>
    <w:rsid w:val="00571C92"/>
    <w:rsid w:val="00572347"/>
    <w:rsid w:val="00573F04"/>
    <w:rsid w:val="0057402E"/>
    <w:rsid w:val="0057426C"/>
    <w:rsid w:val="005747A1"/>
    <w:rsid w:val="005747D4"/>
    <w:rsid w:val="00575465"/>
    <w:rsid w:val="00575625"/>
    <w:rsid w:val="00575FAA"/>
    <w:rsid w:val="00577675"/>
    <w:rsid w:val="00577EA1"/>
    <w:rsid w:val="0058011E"/>
    <w:rsid w:val="00581057"/>
    <w:rsid w:val="00581C97"/>
    <w:rsid w:val="00582818"/>
    <w:rsid w:val="00583505"/>
    <w:rsid w:val="0058531E"/>
    <w:rsid w:val="0059067B"/>
    <w:rsid w:val="0059075D"/>
    <w:rsid w:val="00591CA3"/>
    <w:rsid w:val="005929C1"/>
    <w:rsid w:val="00592FDD"/>
    <w:rsid w:val="00593D69"/>
    <w:rsid w:val="00594EB7"/>
    <w:rsid w:val="00596333"/>
    <w:rsid w:val="00596C6A"/>
    <w:rsid w:val="005A00C9"/>
    <w:rsid w:val="005A0926"/>
    <w:rsid w:val="005A1757"/>
    <w:rsid w:val="005A271A"/>
    <w:rsid w:val="005A31AF"/>
    <w:rsid w:val="005A4F82"/>
    <w:rsid w:val="005A520C"/>
    <w:rsid w:val="005A546F"/>
    <w:rsid w:val="005A5CBF"/>
    <w:rsid w:val="005A6AE1"/>
    <w:rsid w:val="005B139A"/>
    <w:rsid w:val="005B21F6"/>
    <w:rsid w:val="005B2DB1"/>
    <w:rsid w:val="005B42D4"/>
    <w:rsid w:val="005B53CF"/>
    <w:rsid w:val="005B5C42"/>
    <w:rsid w:val="005B623C"/>
    <w:rsid w:val="005B71E0"/>
    <w:rsid w:val="005B79A5"/>
    <w:rsid w:val="005B79AF"/>
    <w:rsid w:val="005B7D4B"/>
    <w:rsid w:val="005C02F6"/>
    <w:rsid w:val="005C08BF"/>
    <w:rsid w:val="005C0C0A"/>
    <w:rsid w:val="005C0E4A"/>
    <w:rsid w:val="005C1E5C"/>
    <w:rsid w:val="005C31AC"/>
    <w:rsid w:val="005C47F0"/>
    <w:rsid w:val="005C54C0"/>
    <w:rsid w:val="005C5625"/>
    <w:rsid w:val="005D06EA"/>
    <w:rsid w:val="005D0E9C"/>
    <w:rsid w:val="005D102F"/>
    <w:rsid w:val="005D1258"/>
    <w:rsid w:val="005D14D9"/>
    <w:rsid w:val="005D1A64"/>
    <w:rsid w:val="005D55D2"/>
    <w:rsid w:val="005D5AC8"/>
    <w:rsid w:val="005D7A4A"/>
    <w:rsid w:val="005E032D"/>
    <w:rsid w:val="005E1462"/>
    <w:rsid w:val="005E1C46"/>
    <w:rsid w:val="005E203E"/>
    <w:rsid w:val="005E20EF"/>
    <w:rsid w:val="005E297B"/>
    <w:rsid w:val="005E3317"/>
    <w:rsid w:val="005E695F"/>
    <w:rsid w:val="005E7DDC"/>
    <w:rsid w:val="005F0A42"/>
    <w:rsid w:val="005F0D78"/>
    <w:rsid w:val="005F0E7F"/>
    <w:rsid w:val="005F1046"/>
    <w:rsid w:val="005F2EED"/>
    <w:rsid w:val="005F2F67"/>
    <w:rsid w:val="005F304E"/>
    <w:rsid w:val="005F521E"/>
    <w:rsid w:val="005F76E6"/>
    <w:rsid w:val="00601220"/>
    <w:rsid w:val="006015D3"/>
    <w:rsid w:val="0060265F"/>
    <w:rsid w:val="00604B7A"/>
    <w:rsid w:val="00605116"/>
    <w:rsid w:val="006053A2"/>
    <w:rsid w:val="006063E4"/>
    <w:rsid w:val="00607532"/>
    <w:rsid w:val="0061057D"/>
    <w:rsid w:val="006108FE"/>
    <w:rsid w:val="006113C5"/>
    <w:rsid w:val="006149C2"/>
    <w:rsid w:val="00614D56"/>
    <w:rsid w:val="00615708"/>
    <w:rsid w:val="00616794"/>
    <w:rsid w:val="00617211"/>
    <w:rsid w:val="00617F60"/>
    <w:rsid w:val="00620B15"/>
    <w:rsid w:val="00621BA1"/>
    <w:rsid w:val="00622971"/>
    <w:rsid w:val="0062325F"/>
    <w:rsid w:val="006249FC"/>
    <w:rsid w:val="00624A3B"/>
    <w:rsid w:val="00624D94"/>
    <w:rsid w:val="00625F37"/>
    <w:rsid w:val="00626669"/>
    <w:rsid w:val="0062769F"/>
    <w:rsid w:val="006276A7"/>
    <w:rsid w:val="0063029C"/>
    <w:rsid w:val="00630322"/>
    <w:rsid w:val="00630A27"/>
    <w:rsid w:val="00631694"/>
    <w:rsid w:val="00631962"/>
    <w:rsid w:val="0063291A"/>
    <w:rsid w:val="006331E2"/>
    <w:rsid w:val="00634CDC"/>
    <w:rsid w:val="00635958"/>
    <w:rsid w:val="00635B2B"/>
    <w:rsid w:val="006378A1"/>
    <w:rsid w:val="00637D67"/>
    <w:rsid w:val="006424EC"/>
    <w:rsid w:val="00642A24"/>
    <w:rsid w:val="00643418"/>
    <w:rsid w:val="006434F4"/>
    <w:rsid w:val="00643ED6"/>
    <w:rsid w:val="00644FF5"/>
    <w:rsid w:val="00645ECA"/>
    <w:rsid w:val="0064705B"/>
    <w:rsid w:val="0065026A"/>
    <w:rsid w:val="00650B2E"/>
    <w:rsid w:val="00652F8D"/>
    <w:rsid w:val="0065516E"/>
    <w:rsid w:val="00655B52"/>
    <w:rsid w:val="00656BBE"/>
    <w:rsid w:val="00656F41"/>
    <w:rsid w:val="006575D1"/>
    <w:rsid w:val="00660A46"/>
    <w:rsid w:val="00661C42"/>
    <w:rsid w:val="00662B46"/>
    <w:rsid w:val="0066311D"/>
    <w:rsid w:val="0066541B"/>
    <w:rsid w:val="00666191"/>
    <w:rsid w:val="00667273"/>
    <w:rsid w:val="00670A09"/>
    <w:rsid w:val="00670A74"/>
    <w:rsid w:val="00670AAD"/>
    <w:rsid w:val="00671999"/>
    <w:rsid w:val="00673EE4"/>
    <w:rsid w:val="00674352"/>
    <w:rsid w:val="006764DB"/>
    <w:rsid w:val="00676AB7"/>
    <w:rsid w:val="0068087B"/>
    <w:rsid w:val="0068391B"/>
    <w:rsid w:val="006860D3"/>
    <w:rsid w:val="00686540"/>
    <w:rsid w:val="006866E1"/>
    <w:rsid w:val="00687559"/>
    <w:rsid w:val="006907A8"/>
    <w:rsid w:val="006909E1"/>
    <w:rsid w:val="006931B4"/>
    <w:rsid w:val="00693B1F"/>
    <w:rsid w:val="006951B0"/>
    <w:rsid w:val="0069592A"/>
    <w:rsid w:val="00696768"/>
    <w:rsid w:val="00696B85"/>
    <w:rsid w:val="00696BDC"/>
    <w:rsid w:val="00697990"/>
    <w:rsid w:val="006A0B1D"/>
    <w:rsid w:val="006A1051"/>
    <w:rsid w:val="006A234A"/>
    <w:rsid w:val="006A5344"/>
    <w:rsid w:val="006A5831"/>
    <w:rsid w:val="006B03B6"/>
    <w:rsid w:val="006B079C"/>
    <w:rsid w:val="006B09B9"/>
    <w:rsid w:val="006B1176"/>
    <w:rsid w:val="006B1315"/>
    <w:rsid w:val="006B4290"/>
    <w:rsid w:val="006B443E"/>
    <w:rsid w:val="006B4547"/>
    <w:rsid w:val="006B5921"/>
    <w:rsid w:val="006B60B7"/>
    <w:rsid w:val="006B70DE"/>
    <w:rsid w:val="006C03E9"/>
    <w:rsid w:val="006C1F1E"/>
    <w:rsid w:val="006C26C2"/>
    <w:rsid w:val="006C36DF"/>
    <w:rsid w:val="006C4598"/>
    <w:rsid w:val="006C562C"/>
    <w:rsid w:val="006C6B91"/>
    <w:rsid w:val="006C6F2D"/>
    <w:rsid w:val="006C7630"/>
    <w:rsid w:val="006D0281"/>
    <w:rsid w:val="006D13C1"/>
    <w:rsid w:val="006D19D1"/>
    <w:rsid w:val="006D1CAE"/>
    <w:rsid w:val="006D3A1E"/>
    <w:rsid w:val="006D4852"/>
    <w:rsid w:val="006D5189"/>
    <w:rsid w:val="006D6A2A"/>
    <w:rsid w:val="006D730A"/>
    <w:rsid w:val="006E28E8"/>
    <w:rsid w:val="006E2DE6"/>
    <w:rsid w:val="006E3D34"/>
    <w:rsid w:val="006E414D"/>
    <w:rsid w:val="006E4FBD"/>
    <w:rsid w:val="006E686F"/>
    <w:rsid w:val="006E6E77"/>
    <w:rsid w:val="006E792D"/>
    <w:rsid w:val="006E7977"/>
    <w:rsid w:val="006F0BDA"/>
    <w:rsid w:val="006F1013"/>
    <w:rsid w:val="006F25C8"/>
    <w:rsid w:val="006F4D66"/>
    <w:rsid w:val="006F53EA"/>
    <w:rsid w:val="006F79D7"/>
    <w:rsid w:val="006F7ECC"/>
    <w:rsid w:val="00700C48"/>
    <w:rsid w:val="0070158E"/>
    <w:rsid w:val="007018FF"/>
    <w:rsid w:val="007024DB"/>
    <w:rsid w:val="007031E6"/>
    <w:rsid w:val="007033C7"/>
    <w:rsid w:val="007055B3"/>
    <w:rsid w:val="00706345"/>
    <w:rsid w:val="00706813"/>
    <w:rsid w:val="00706BEC"/>
    <w:rsid w:val="00707EEE"/>
    <w:rsid w:val="00710B44"/>
    <w:rsid w:val="0071187A"/>
    <w:rsid w:val="00711CB9"/>
    <w:rsid w:val="00712332"/>
    <w:rsid w:val="00712793"/>
    <w:rsid w:val="00714BD6"/>
    <w:rsid w:val="00714CF9"/>
    <w:rsid w:val="00715A07"/>
    <w:rsid w:val="0071686F"/>
    <w:rsid w:val="00716F37"/>
    <w:rsid w:val="00720189"/>
    <w:rsid w:val="00721799"/>
    <w:rsid w:val="00722965"/>
    <w:rsid w:val="007234AD"/>
    <w:rsid w:val="00723B03"/>
    <w:rsid w:val="00723CD9"/>
    <w:rsid w:val="007312EC"/>
    <w:rsid w:val="007313A6"/>
    <w:rsid w:val="00732DBD"/>
    <w:rsid w:val="00734F4B"/>
    <w:rsid w:val="0073605B"/>
    <w:rsid w:val="00736141"/>
    <w:rsid w:val="00736153"/>
    <w:rsid w:val="00736F90"/>
    <w:rsid w:val="007371E4"/>
    <w:rsid w:val="00737D14"/>
    <w:rsid w:val="00737EF6"/>
    <w:rsid w:val="00741316"/>
    <w:rsid w:val="007437C1"/>
    <w:rsid w:val="00745A7D"/>
    <w:rsid w:val="00746080"/>
    <w:rsid w:val="00746195"/>
    <w:rsid w:val="0074638C"/>
    <w:rsid w:val="00746835"/>
    <w:rsid w:val="007472B9"/>
    <w:rsid w:val="007476C1"/>
    <w:rsid w:val="0075108D"/>
    <w:rsid w:val="0075155B"/>
    <w:rsid w:val="00752113"/>
    <w:rsid w:val="007523D4"/>
    <w:rsid w:val="0075269C"/>
    <w:rsid w:val="007539A7"/>
    <w:rsid w:val="00761273"/>
    <w:rsid w:val="00761FC5"/>
    <w:rsid w:val="007621B3"/>
    <w:rsid w:val="00762238"/>
    <w:rsid w:val="00762CB9"/>
    <w:rsid w:val="00762E66"/>
    <w:rsid w:val="00763AF1"/>
    <w:rsid w:val="00765954"/>
    <w:rsid w:val="0076777D"/>
    <w:rsid w:val="007706EF"/>
    <w:rsid w:val="0077186E"/>
    <w:rsid w:val="007730BD"/>
    <w:rsid w:val="007740E8"/>
    <w:rsid w:val="00774241"/>
    <w:rsid w:val="00775ADD"/>
    <w:rsid w:val="00775E86"/>
    <w:rsid w:val="00775EA1"/>
    <w:rsid w:val="00777150"/>
    <w:rsid w:val="00780728"/>
    <w:rsid w:val="00781241"/>
    <w:rsid w:val="007820AC"/>
    <w:rsid w:val="00783F23"/>
    <w:rsid w:val="00784413"/>
    <w:rsid w:val="00784C3B"/>
    <w:rsid w:val="00790430"/>
    <w:rsid w:val="0079147F"/>
    <w:rsid w:val="00791CC0"/>
    <w:rsid w:val="00792FFB"/>
    <w:rsid w:val="007937AF"/>
    <w:rsid w:val="007951FC"/>
    <w:rsid w:val="007964A7"/>
    <w:rsid w:val="0079717B"/>
    <w:rsid w:val="007A04E1"/>
    <w:rsid w:val="007A0A5F"/>
    <w:rsid w:val="007A18FE"/>
    <w:rsid w:val="007A3575"/>
    <w:rsid w:val="007A45CB"/>
    <w:rsid w:val="007A6041"/>
    <w:rsid w:val="007A63FC"/>
    <w:rsid w:val="007A7696"/>
    <w:rsid w:val="007B0197"/>
    <w:rsid w:val="007B064D"/>
    <w:rsid w:val="007B37D7"/>
    <w:rsid w:val="007B3CB0"/>
    <w:rsid w:val="007B7587"/>
    <w:rsid w:val="007C14F3"/>
    <w:rsid w:val="007C1B8B"/>
    <w:rsid w:val="007C2B2D"/>
    <w:rsid w:val="007C2BFB"/>
    <w:rsid w:val="007C6F95"/>
    <w:rsid w:val="007C709C"/>
    <w:rsid w:val="007D07A5"/>
    <w:rsid w:val="007D1753"/>
    <w:rsid w:val="007D1B5C"/>
    <w:rsid w:val="007D358F"/>
    <w:rsid w:val="007D47C8"/>
    <w:rsid w:val="007D5C09"/>
    <w:rsid w:val="007D5E38"/>
    <w:rsid w:val="007E13E8"/>
    <w:rsid w:val="007E1DEB"/>
    <w:rsid w:val="007E2587"/>
    <w:rsid w:val="007E274A"/>
    <w:rsid w:val="007E2A06"/>
    <w:rsid w:val="007E328D"/>
    <w:rsid w:val="007E523D"/>
    <w:rsid w:val="007E579B"/>
    <w:rsid w:val="007E5E05"/>
    <w:rsid w:val="007E61A1"/>
    <w:rsid w:val="007E6C29"/>
    <w:rsid w:val="007E6E19"/>
    <w:rsid w:val="007E782F"/>
    <w:rsid w:val="007F09DC"/>
    <w:rsid w:val="007F2D42"/>
    <w:rsid w:val="007F3405"/>
    <w:rsid w:val="007F3F11"/>
    <w:rsid w:val="007F5517"/>
    <w:rsid w:val="007F57F7"/>
    <w:rsid w:val="00800777"/>
    <w:rsid w:val="00801BD8"/>
    <w:rsid w:val="00801EC3"/>
    <w:rsid w:val="008027EE"/>
    <w:rsid w:val="00803211"/>
    <w:rsid w:val="00803C22"/>
    <w:rsid w:val="00804575"/>
    <w:rsid w:val="00804AD0"/>
    <w:rsid w:val="008056D2"/>
    <w:rsid w:val="008064FC"/>
    <w:rsid w:val="00806AD4"/>
    <w:rsid w:val="00807E04"/>
    <w:rsid w:val="00810A53"/>
    <w:rsid w:val="00810F09"/>
    <w:rsid w:val="008110B2"/>
    <w:rsid w:val="00811D3E"/>
    <w:rsid w:val="008126EF"/>
    <w:rsid w:val="00813E93"/>
    <w:rsid w:val="00814410"/>
    <w:rsid w:val="00815D70"/>
    <w:rsid w:val="00820942"/>
    <w:rsid w:val="00820BEC"/>
    <w:rsid w:val="008228CB"/>
    <w:rsid w:val="008238FF"/>
    <w:rsid w:val="00823A06"/>
    <w:rsid w:val="0082759F"/>
    <w:rsid w:val="00827A80"/>
    <w:rsid w:val="00827F35"/>
    <w:rsid w:val="00827F97"/>
    <w:rsid w:val="00830417"/>
    <w:rsid w:val="00830D85"/>
    <w:rsid w:val="00831DCA"/>
    <w:rsid w:val="008322EE"/>
    <w:rsid w:val="00833452"/>
    <w:rsid w:val="0083366E"/>
    <w:rsid w:val="008343F2"/>
    <w:rsid w:val="00835D68"/>
    <w:rsid w:val="00836686"/>
    <w:rsid w:val="00837563"/>
    <w:rsid w:val="008404FA"/>
    <w:rsid w:val="00840B5F"/>
    <w:rsid w:val="00841B16"/>
    <w:rsid w:val="00842CA0"/>
    <w:rsid w:val="008432A0"/>
    <w:rsid w:val="00843CBA"/>
    <w:rsid w:val="00844F7C"/>
    <w:rsid w:val="008461C7"/>
    <w:rsid w:val="00850578"/>
    <w:rsid w:val="00850CE6"/>
    <w:rsid w:val="0085267C"/>
    <w:rsid w:val="0085339D"/>
    <w:rsid w:val="00853A87"/>
    <w:rsid w:val="00853C8E"/>
    <w:rsid w:val="00856909"/>
    <w:rsid w:val="00857197"/>
    <w:rsid w:val="00857E8C"/>
    <w:rsid w:val="008603C2"/>
    <w:rsid w:val="0086163A"/>
    <w:rsid w:val="00861E54"/>
    <w:rsid w:val="00862A99"/>
    <w:rsid w:val="00864435"/>
    <w:rsid w:val="0086543E"/>
    <w:rsid w:val="00865889"/>
    <w:rsid w:val="0086684B"/>
    <w:rsid w:val="00866AEC"/>
    <w:rsid w:val="00867450"/>
    <w:rsid w:val="008706C7"/>
    <w:rsid w:val="008715B2"/>
    <w:rsid w:val="008717FD"/>
    <w:rsid w:val="00871B80"/>
    <w:rsid w:val="00872CCD"/>
    <w:rsid w:val="008745BE"/>
    <w:rsid w:val="008752B0"/>
    <w:rsid w:val="00876140"/>
    <w:rsid w:val="0087638C"/>
    <w:rsid w:val="0087667A"/>
    <w:rsid w:val="0087684C"/>
    <w:rsid w:val="00880344"/>
    <w:rsid w:val="00881DF5"/>
    <w:rsid w:val="00883069"/>
    <w:rsid w:val="0088345B"/>
    <w:rsid w:val="00883F13"/>
    <w:rsid w:val="00884951"/>
    <w:rsid w:val="00884C47"/>
    <w:rsid w:val="00886AA6"/>
    <w:rsid w:val="00886AB9"/>
    <w:rsid w:val="00886B1A"/>
    <w:rsid w:val="00886F10"/>
    <w:rsid w:val="0089207A"/>
    <w:rsid w:val="00894209"/>
    <w:rsid w:val="008943C9"/>
    <w:rsid w:val="00894A49"/>
    <w:rsid w:val="008960E4"/>
    <w:rsid w:val="008961A1"/>
    <w:rsid w:val="008A238D"/>
    <w:rsid w:val="008A3173"/>
    <w:rsid w:val="008A4021"/>
    <w:rsid w:val="008A41CA"/>
    <w:rsid w:val="008A4F05"/>
    <w:rsid w:val="008A5FF8"/>
    <w:rsid w:val="008B0978"/>
    <w:rsid w:val="008B14CC"/>
    <w:rsid w:val="008B2C11"/>
    <w:rsid w:val="008B2E78"/>
    <w:rsid w:val="008B318B"/>
    <w:rsid w:val="008B382B"/>
    <w:rsid w:val="008B5FB3"/>
    <w:rsid w:val="008B6315"/>
    <w:rsid w:val="008B6799"/>
    <w:rsid w:val="008B793B"/>
    <w:rsid w:val="008C00DC"/>
    <w:rsid w:val="008C1A44"/>
    <w:rsid w:val="008C4AFD"/>
    <w:rsid w:val="008C73B4"/>
    <w:rsid w:val="008D11C7"/>
    <w:rsid w:val="008D1BFC"/>
    <w:rsid w:val="008D37E3"/>
    <w:rsid w:val="008D652D"/>
    <w:rsid w:val="008D7906"/>
    <w:rsid w:val="008D7D6A"/>
    <w:rsid w:val="008E044E"/>
    <w:rsid w:val="008E08C7"/>
    <w:rsid w:val="008E1AA9"/>
    <w:rsid w:val="008E33E6"/>
    <w:rsid w:val="008E41D6"/>
    <w:rsid w:val="008E4598"/>
    <w:rsid w:val="008E4AD6"/>
    <w:rsid w:val="008E4F63"/>
    <w:rsid w:val="008E6E21"/>
    <w:rsid w:val="008F04CA"/>
    <w:rsid w:val="008F06D0"/>
    <w:rsid w:val="008F287C"/>
    <w:rsid w:val="008F2C31"/>
    <w:rsid w:val="008F2FD6"/>
    <w:rsid w:val="008F381B"/>
    <w:rsid w:val="008F3D8C"/>
    <w:rsid w:val="008F4021"/>
    <w:rsid w:val="008F40AE"/>
    <w:rsid w:val="008F4E96"/>
    <w:rsid w:val="008F534B"/>
    <w:rsid w:val="008F7B5B"/>
    <w:rsid w:val="0090375F"/>
    <w:rsid w:val="0090519B"/>
    <w:rsid w:val="009070E2"/>
    <w:rsid w:val="00910003"/>
    <w:rsid w:val="009125CF"/>
    <w:rsid w:val="009129B8"/>
    <w:rsid w:val="009130D6"/>
    <w:rsid w:val="00915AC7"/>
    <w:rsid w:val="00915D38"/>
    <w:rsid w:val="00916468"/>
    <w:rsid w:val="00916DE2"/>
    <w:rsid w:val="00917621"/>
    <w:rsid w:val="00920FDC"/>
    <w:rsid w:val="00921488"/>
    <w:rsid w:val="00923AB2"/>
    <w:rsid w:val="00924897"/>
    <w:rsid w:val="00926227"/>
    <w:rsid w:val="00926A45"/>
    <w:rsid w:val="00926A54"/>
    <w:rsid w:val="00927BFC"/>
    <w:rsid w:val="00930A0D"/>
    <w:rsid w:val="00931631"/>
    <w:rsid w:val="00931A66"/>
    <w:rsid w:val="00936410"/>
    <w:rsid w:val="0093657C"/>
    <w:rsid w:val="00941F22"/>
    <w:rsid w:val="009427A6"/>
    <w:rsid w:val="009437A8"/>
    <w:rsid w:val="00944E33"/>
    <w:rsid w:val="00946A32"/>
    <w:rsid w:val="00950CF8"/>
    <w:rsid w:val="00950E11"/>
    <w:rsid w:val="00951435"/>
    <w:rsid w:val="009519FD"/>
    <w:rsid w:val="00951F69"/>
    <w:rsid w:val="009534D1"/>
    <w:rsid w:val="00953EDE"/>
    <w:rsid w:val="009544F1"/>
    <w:rsid w:val="00956181"/>
    <w:rsid w:val="0096109D"/>
    <w:rsid w:val="0096166D"/>
    <w:rsid w:val="00962E72"/>
    <w:rsid w:val="009649BC"/>
    <w:rsid w:val="00964DEF"/>
    <w:rsid w:val="00965282"/>
    <w:rsid w:val="00965AFB"/>
    <w:rsid w:val="009660F4"/>
    <w:rsid w:val="009667F0"/>
    <w:rsid w:val="0096724A"/>
    <w:rsid w:val="00967D5E"/>
    <w:rsid w:val="0097118F"/>
    <w:rsid w:val="00971C51"/>
    <w:rsid w:val="00971F4C"/>
    <w:rsid w:val="00972F07"/>
    <w:rsid w:val="00974173"/>
    <w:rsid w:val="00974A8A"/>
    <w:rsid w:val="00974CD2"/>
    <w:rsid w:val="00974E7B"/>
    <w:rsid w:val="00975432"/>
    <w:rsid w:val="00975D6D"/>
    <w:rsid w:val="009769AC"/>
    <w:rsid w:val="00977191"/>
    <w:rsid w:val="0097795A"/>
    <w:rsid w:val="009806D6"/>
    <w:rsid w:val="009818DB"/>
    <w:rsid w:val="00982AE7"/>
    <w:rsid w:val="00982C76"/>
    <w:rsid w:val="00987717"/>
    <w:rsid w:val="00987ABF"/>
    <w:rsid w:val="00987B61"/>
    <w:rsid w:val="00987F91"/>
    <w:rsid w:val="00987FDD"/>
    <w:rsid w:val="0099258B"/>
    <w:rsid w:val="009938A9"/>
    <w:rsid w:val="00994178"/>
    <w:rsid w:val="00994F0A"/>
    <w:rsid w:val="00995D1B"/>
    <w:rsid w:val="00996154"/>
    <w:rsid w:val="00997241"/>
    <w:rsid w:val="009A10ED"/>
    <w:rsid w:val="009A12A6"/>
    <w:rsid w:val="009A149F"/>
    <w:rsid w:val="009A2A76"/>
    <w:rsid w:val="009A3925"/>
    <w:rsid w:val="009A5556"/>
    <w:rsid w:val="009A59A8"/>
    <w:rsid w:val="009A5ABB"/>
    <w:rsid w:val="009A6676"/>
    <w:rsid w:val="009B09D9"/>
    <w:rsid w:val="009B164C"/>
    <w:rsid w:val="009B1E46"/>
    <w:rsid w:val="009B29A7"/>
    <w:rsid w:val="009B33A7"/>
    <w:rsid w:val="009B5C0D"/>
    <w:rsid w:val="009B67E6"/>
    <w:rsid w:val="009B7E7A"/>
    <w:rsid w:val="009C0A7C"/>
    <w:rsid w:val="009C3AC5"/>
    <w:rsid w:val="009C4A4D"/>
    <w:rsid w:val="009C5B6F"/>
    <w:rsid w:val="009C655F"/>
    <w:rsid w:val="009C7B03"/>
    <w:rsid w:val="009D021D"/>
    <w:rsid w:val="009D0FDD"/>
    <w:rsid w:val="009D10B7"/>
    <w:rsid w:val="009D16C5"/>
    <w:rsid w:val="009D1BF6"/>
    <w:rsid w:val="009D2864"/>
    <w:rsid w:val="009D2A53"/>
    <w:rsid w:val="009D4819"/>
    <w:rsid w:val="009D6065"/>
    <w:rsid w:val="009D686B"/>
    <w:rsid w:val="009D708A"/>
    <w:rsid w:val="009E0369"/>
    <w:rsid w:val="009E07EB"/>
    <w:rsid w:val="009E11BF"/>
    <w:rsid w:val="009E1DA1"/>
    <w:rsid w:val="009E1EB5"/>
    <w:rsid w:val="009E2ABE"/>
    <w:rsid w:val="009E2DB0"/>
    <w:rsid w:val="009E450D"/>
    <w:rsid w:val="009F0965"/>
    <w:rsid w:val="009F1D81"/>
    <w:rsid w:val="009F36BA"/>
    <w:rsid w:val="009F484C"/>
    <w:rsid w:val="009F4EF1"/>
    <w:rsid w:val="009F693E"/>
    <w:rsid w:val="00A008ED"/>
    <w:rsid w:val="00A00F9D"/>
    <w:rsid w:val="00A01303"/>
    <w:rsid w:val="00A02A69"/>
    <w:rsid w:val="00A03A1F"/>
    <w:rsid w:val="00A04A14"/>
    <w:rsid w:val="00A04D98"/>
    <w:rsid w:val="00A04F18"/>
    <w:rsid w:val="00A06807"/>
    <w:rsid w:val="00A122BF"/>
    <w:rsid w:val="00A136B5"/>
    <w:rsid w:val="00A167FC"/>
    <w:rsid w:val="00A16953"/>
    <w:rsid w:val="00A16CDE"/>
    <w:rsid w:val="00A20697"/>
    <w:rsid w:val="00A208BE"/>
    <w:rsid w:val="00A219AB"/>
    <w:rsid w:val="00A21CF6"/>
    <w:rsid w:val="00A21F53"/>
    <w:rsid w:val="00A2292B"/>
    <w:rsid w:val="00A235BD"/>
    <w:rsid w:val="00A2375B"/>
    <w:rsid w:val="00A23B02"/>
    <w:rsid w:val="00A23C6A"/>
    <w:rsid w:val="00A23E8E"/>
    <w:rsid w:val="00A24298"/>
    <w:rsid w:val="00A24740"/>
    <w:rsid w:val="00A262AE"/>
    <w:rsid w:val="00A27EA1"/>
    <w:rsid w:val="00A303CD"/>
    <w:rsid w:val="00A3162F"/>
    <w:rsid w:val="00A34282"/>
    <w:rsid w:val="00A360A7"/>
    <w:rsid w:val="00A3618F"/>
    <w:rsid w:val="00A36A66"/>
    <w:rsid w:val="00A37574"/>
    <w:rsid w:val="00A404DA"/>
    <w:rsid w:val="00A41583"/>
    <w:rsid w:val="00A42E3D"/>
    <w:rsid w:val="00A442F6"/>
    <w:rsid w:val="00A44835"/>
    <w:rsid w:val="00A44FCB"/>
    <w:rsid w:val="00A455D8"/>
    <w:rsid w:val="00A4586D"/>
    <w:rsid w:val="00A464D2"/>
    <w:rsid w:val="00A505B2"/>
    <w:rsid w:val="00A5127B"/>
    <w:rsid w:val="00A526A4"/>
    <w:rsid w:val="00A538B2"/>
    <w:rsid w:val="00A5458F"/>
    <w:rsid w:val="00A56CCC"/>
    <w:rsid w:val="00A56E87"/>
    <w:rsid w:val="00A57541"/>
    <w:rsid w:val="00A57BCD"/>
    <w:rsid w:val="00A603AA"/>
    <w:rsid w:val="00A636BE"/>
    <w:rsid w:val="00A64CA4"/>
    <w:rsid w:val="00A65D2E"/>
    <w:rsid w:val="00A7099A"/>
    <w:rsid w:val="00A70E07"/>
    <w:rsid w:val="00A712FE"/>
    <w:rsid w:val="00A736C2"/>
    <w:rsid w:val="00A75863"/>
    <w:rsid w:val="00A76A1E"/>
    <w:rsid w:val="00A80EF4"/>
    <w:rsid w:val="00A815D1"/>
    <w:rsid w:val="00A82414"/>
    <w:rsid w:val="00A82849"/>
    <w:rsid w:val="00A83E6D"/>
    <w:rsid w:val="00A84721"/>
    <w:rsid w:val="00A85D82"/>
    <w:rsid w:val="00A87D10"/>
    <w:rsid w:val="00A87F48"/>
    <w:rsid w:val="00A9047C"/>
    <w:rsid w:val="00A90E8B"/>
    <w:rsid w:val="00A90ED5"/>
    <w:rsid w:val="00A92B62"/>
    <w:rsid w:val="00A93665"/>
    <w:rsid w:val="00A93C39"/>
    <w:rsid w:val="00A9488C"/>
    <w:rsid w:val="00A949D7"/>
    <w:rsid w:val="00A968CA"/>
    <w:rsid w:val="00A969B1"/>
    <w:rsid w:val="00A96A10"/>
    <w:rsid w:val="00A97BDE"/>
    <w:rsid w:val="00AA1062"/>
    <w:rsid w:val="00AA1346"/>
    <w:rsid w:val="00AA1B30"/>
    <w:rsid w:val="00AA1CEF"/>
    <w:rsid w:val="00AA3372"/>
    <w:rsid w:val="00AA35F6"/>
    <w:rsid w:val="00AA6BBF"/>
    <w:rsid w:val="00AB0714"/>
    <w:rsid w:val="00AB259E"/>
    <w:rsid w:val="00AB3689"/>
    <w:rsid w:val="00AB5C45"/>
    <w:rsid w:val="00AB6DD8"/>
    <w:rsid w:val="00AC093A"/>
    <w:rsid w:val="00AC2C84"/>
    <w:rsid w:val="00AC2D20"/>
    <w:rsid w:val="00AC355C"/>
    <w:rsid w:val="00AC36D5"/>
    <w:rsid w:val="00AC3FED"/>
    <w:rsid w:val="00AC5514"/>
    <w:rsid w:val="00AC56A0"/>
    <w:rsid w:val="00AC70BF"/>
    <w:rsid w:val="00AC7CA7"/>
    <w:rsid w:val="00AD0DA2"/>
    <w:rsid w:val="00AD1574"/>
    <w:rsid w:val="00AD1C03"/>
    <w:rsid w:val="00AD22AC"/>
    <w:rsid w:val="00AD282D"/>
    <w:rsid w:val="00AD5274"/>
    <w:rsid w:val="00AD5C16"/>
    <w:rsid w:val="00AD7B74"/>
    <w:rsid w:val="00AE2316"/>
    <w:rsid w:val="00AE2CEC"/>
    <w:rsid w:val="00AE5184"/>
    <w:rsid w:val="00AE52E7"/>
    <w:rsid w:val="00AE5FC5"/>
    <w:rsid w:val="00AE6022"/>
    <w:rsid w:val="00AE7C5F"/>
    <w:rsid w:val="00AE7E7F"/>
    <w:rsid w:val="00AF0FD0"/>
    <w:rsid w:val="00AF115E"/>
    <w:rsid w:val="00AF137D"/>
    <w:rsid w:val="00AF33D1"/>
    <w:rsid w:val="00AF5033"/>
    <w:rsid w:val="00AF60E9"/>
    <w:rsid w:val="00AF69FF"/>
    <w:rsid w:val="00AF731B"/>
    <w:rsid w:val="00B0068A"/>
    <w:rsid w:val="00B009B8"/>
    <w:rsid w:val="00B00AA7"/>
    <w:rsid w:val="00B017C3"/>
    <w:rsid w:val="00B0197B"/>
    <w:rsid w:val="00B01D5C"/>
    <w:rsid w:val="00B03D1F"/>
    <w:rsid w:val="00B04025"/>
    <w:rsid w:val="00B10862"/>
    <w:rsid w:val="00B10E92"/>
    <w:rsid w:val="00B11129"/>
    <w:rsid w:val="00B116DA"/>
    <w:rsid w:val="00B1178C"/>
    <w:rsid w:val="00B123F3"/>
    <w:rsid w:val="00B12878"/>
    <w:rsid w:val="00B12DB0"/>
    <w:rsid w:val="00B12E56"/>
    <w:rsid w:val="00B12FC8"/>
    <w:rsid w:val="00B1326F"/>
    <w:rsid w:val="00B17535"/>
    <w:rsid w:val="00B20271"/>
    <w:rsid w:val="00B21091"/>
    <w:rsid w:val="00B21A21"/>
    <w:rsid w:val="00B21D91"/>
    <w:rsid w:val="00B22687"/>
    <w:rsid w:val="00B2349C"/>
    <w:rsid w:val="00B23E1D"/>
    <w:rsid w:val="00B254AE"/>
    <w:rsid w:val="00B26D36"/>
    <w:rsid w:val="00B3057E"/>
    <w:rsid w:val="00B3090A"/>
    <w:rsid w:val="00B309EE"/>
    <w:rsid w:val="00B343AB"/>
    <w:rsid w:val="00B35AF6"/>
    <w:rsid w:val="00B3636C"/>
    <w:rsid w:val="00B3704A"/>
    <w:rsid w:val="00B379BC"/>
    <w:rsid w:val="00B404E7"/>
    <w:rsid w:val="00B40A1F"/>
    <w:rsid w:val="00B40A2C"/>
    <w:rsid w:val="00B414BC"/>
    <w:rsid w:val="00B439AE"/>
    <w:rsid w:val="00B44A14"/>
    <w:rsid w:val="00B452F6"/>
    <w:rsid w:val="00B45401"/>
    <w:rsid w:val="00B502EA"/>
    <w:rsid w:val="00B525AF"/>
    <w:rsid w:val="00B545FC"/>
    <w:rsid w:val="00B55267"/>
    <w:rsid w:val="00B5678C"/>
    <w:rsid w:val="00B57423"/>
    <w:rsid w:val="00B60CD5"/>
    <w:rsid w:val="00B62BFA"/>
    <w:rsid w:val="00B65D07"/>
    <w:rsid w:val="00B6758F"/>
    <w:rsid w:val="00B67745"/>
    <w:rsid w:val="00B705BA"/>
    <w:rsid w:val="00B711ED"/>
    <w:rsid w:val="00B714C0"/>
    <w:rsid w:val="00B71E2B"/>
    <w:rsid w:val="00B72E30"/>
    <w:rsid w:val="00B72FD3"/>
    <w:rsid w:val="00B74104"/>
    <w:rsid w:val="00B7529E"/>
    <w:rsid w:val="00B75D7E"/>
    <w:rsid w:val="00B75D93"/>
    <w:rsid w:val="00B761CB"/>
    <w:rsid w:val="00B76D08"/>
    <w:rsid w:val="00B805D7"/>
    <w:rsid w:val="00B809F5"/>
    <w:rsid w:val="00B816A2"/>
    <w:rsid w:val="00B81A56"/>
    <w:rsid w:val="00B81E40"/>
    <w:rsid w:val="00B83E3B"/>
    <w:rsid w:val="00B8449E"/>
    <w:rsid w:val="00B861E4"/>
    <w:rsid w:val="00B8642B"/>
    <w:rsid w:val="00B86E29"/>
    <w:rsid w:val="00B877B9"/>
    <w:rsid w:val="00B90D05"/>
    <w:rsid w:val="00B91013"/>
    <w:rsid w:val="00B91F4D"/>
    <w:rsid w:val="00B94018"/>
    <w:rsid w:val="00B95B13"/>
    <w:rsid w:val="00B95ED2"/>
    <w:rsid w:val="00B974A6"/>
    <w:rsid w:val="00BA0485"/>
    <w:rsid w:val="00BA118E"/>
    <w:rsid w:val="00BA237C"/>
    <w:rsid w:val="00BA2CA5"/>
    <w:rsid w:val="00BA40EB"/>
    <w:rsid w:val="00BA4158"/>
    <w:rsid w:val="00BA6C3B"/>
    <w:rsid w:val="00BB0701"/>
    <w:rsid w:val="00BB15A7"/>
    <w:rsid w:val="00BB2045"/>
    <w:rsid w:val="00BB4572"/>
    <w:rsid w:val="00BB5FB5"/>
    <w:rsid w:val="00BB66FD"/>
    <w:rsid w:val="00BB7328"/>
    <w:rsid w:val="00BB7B25"/>
    <w:rsid w:val="00BC0A00"/>
    <w:rsid w:val="00BC128E"/>
    <w:rsid w:val="00BC453D"/>
    <w:rsid w:val="00BC4A33"/>
    <w:rsid w:val="00BC500F"/>
    <w:rsid w:val="00BC5535"/>
    <w:rsid w:val="00BC6E45"/>
    <w:rsid w:val="00BC730C"/>
    <w:rsid w:val="00BC7785"/>
    <w:rsid w:val="00BD103C"/>
    <w:rsid w:val="00BD2AF5"/>
    <w:rsid w:val="00BD4C8C"/>
    <w:rsid w:val="00BD62FE"/>
    <w:rsid w:val="00BD68C3"/>
    <w:rsid w:val="00BE0A57"/>
    <w:rsid w:val="00BE3218"/>
    <w:rsid w:val="00BE3842"/>
    <w:rsid w:val="00BE42F1"/>
    <w:rsid w:val="00BE7341"/>
    <w:rsid w:val="00BF03B3"/>
    <w:rsid w:val="00BF1113"/>
    <w:rsid w:val="00BF13E3"/>
    <w:rsid w:val="00BF167E"/>
    <w:rsid w:val="00BF2FE8"/>
    <w:rsid w:val="00BF34DF"/>
    <w:rsid w:val="00BF71C7"/>
    <w:rsid w:val="00BF72FA"/>
    <w:rsid w:val="00BF7711"/>
    <w:rsid w:val="00BF7C5E"/>
    <w:rsid w:val="00C001EB"/>
    <w:rsid w:val="00C007FD"/>
    <w:rsid w:val="00C008CA"/>
    <w:rsid w:val="00C018B3"/>
    <w:rsid w:val="00C01D77"/>
    <w:rsid w:val="00C03251"/>
    <w:rsid w:val="00C0587B"/>
    <w:rsid w:val="00C05F05"/>
    <w:rsid w:val="00C05FB8"/>
    <w:rsid w:val="00C110E4"/>
    <w:rsid w:val="00C11AB3"/>
    <w:rsid w:val="00C14865"/>
    <w:rsid w:val="00C15573"/>
    <w:rsid w:val="00C15AB8"/>
    <w:rsid w:val="00C17246"/>
    <w:rsid w:val="00C17A95"/>
    <w:rsid w:val="00C20185"/>
    <w:rsid w:val="00C201B0"/>
    <w:rsid w:val="00C21A88"/>
    <w:rsid w:val="00C23FBC"/>
    <w:rsid w:val="00C24400"/>
    <w:rsid w:val="00C246F8"/>
    <w:rsid w:val="00C24EA5"/>
    <w:rsid w:val="00C25EF6"/>
    <w:rsid w:val="00C25F04"/>
    <w:rsid w:val="00C268E2"/>
    <w:rsid w:val="00C26FE5"/>
    <w:rsid w:val="00C308A6"/>
    <w:rsid w:val="00C34384"/>
    <w:rsid w:val="00C400BA"/>
    <w:rsid w:val="00C418E0"/>
    <w:rsid w:val="00C41E67"/>
    <w:rsid w:val="00C42133"/>
    <w:rsid w:val="00C4313D"/>
    <w:rsid w:val="00C4509B"/>
    <w:rsid w:val="00C452CE"/>
    <w:rsid w:val="00C474D7"/>
    <w:rsid w:val="00C47C3C"/>
    <w:rsid w:val="00C52D7B"/>
    <w:rsid w:val="00C52F46"/>
    <w:rsid w:val="00C5483D"/>
    <w:rsid w:val="00C55C0C"/>
    <w:rsid w:val="00C55E37"/>
    <w:rsid w:val="00C5601B"/>
    <w:rsid w:val="00C600ED"/>
    <w:rsid w:val="00C602CF"/>
    <w:rsid w:val="00C62DF5"/>
    <w:rsid w:val="00C64763"/>
    <w:rsid w:val="00C65515"/>
    <w:rsid w:val="00C66F7D"/>
    <w:rsid w:val="00C7017B"/>
    <w:rsid w:val="00C7046B"/>
    <w:rsid w:val="00C70C34"/>
    <w:rsid w:val="00C72F2D"/>
    <w:rsid w:val="00C73130"/>
    <w:rsid w:val="00C73CBE"/>
    <w:rsid w:val="00C746CF"/>
    <w:rsid w:val="00C75145"/>
    <w:rsid w:val="00C758C8"/>
    <w:rsid w:val="00C760AA"/>
    <w:rsid w:val="00C76C96"/>
    <w:rsid w:val="00C816E1"/>
    <w:rsid w:val="00C82234"/>
    <w:rsid w:val="00C82317"/>
    <w:rsid w:val="00C82E6F"/>
    <w:rsid w:val="00C830FC"/>
    <w:rsid w:val="00C84740"/>
    <w:rsid w:val="00C85F95"/>
    <w:rsid w:val="00C86EDA"/>
    <w:rsid w:val="00C902E4"/>
    <w:rsid w:val="00C91463"/>
    <w:rsid w:val="00C91A88"/>
    <w:rsid w:val="00C931ED"/>
    <w:rsid w:val="00C9380F"/>
    <w:rsid w:val="00C9567B"/>
    <w:rsid w:val="00C95825"/>
    <w:rsid w:val="00C95FFD"/>
    <w:rsid w:val="00C973E5"/>
    <w:rsid w:val="00CA0BA2"/>
    <w:rsid w:val="00CA1B1E"/>
    <w:rsid w:val="00CA1FB0"/>
    <w:rsid w:val="00CA3B89"/>
    <w:rsid w:val="00CA3C41"/>
    <w:rsid w:val="00CA55F8"/>
    <w:rsid w:val="00CA6730"/>
    <w:rsid w:val="00CA77A0"/>
    <w:rsid w:val="00CB00B9"/>
    <w:rsid w:val="00CB1969"/>
    <w:rsid w:val="00CB5DF6"/>
    <w:rsid w:val="00CB602B"/>
    <w:rsid w:val="00CB63CB"/>
    <w:rsid w:val="00CC0652"/>
    <w:rsid w:val="00CC12B6"/>
    <w:rsid w:val="00CC13F8"/>
    <w:rsid w:val="00CC1B14"/>
    <w:rsid w:val="00CC2CDD"/>
    <w:rsid w:val="00CC4CC3"/>
    <w:rsid w:val="00CC5435"/>
    <w:rsid w:val="00CC5F54"/>
    <w:rsid w:val="00CC682A"/>
    <w:rsid w:val="00CC7335"/>
    <w:rsid w:val="00CD061D"/>
    <w:rsid w:val="00CD0AC3"/>
    <w:rsid w:val="00CD4734"/>
    <w:rsid w:val="00CD66F6"/>
    <w:rsid w:val="00CD6A47"/>
    <w:rsid w:val="00CD74FC"/>
    <w:rsid w:val="00CD7ED8"/>
    <w:rsid w:val="00CE082E"/>
    <w:rsid w:val="00CE16AF"/>
    <w:rsid w:val="00CE2E92"/>
    <w:rsid w:val="00CE2F86"/>
    <w:rsid w:val="00CE38E2"/>
    <w:rsid w:val="00CE38FC"/>
    <w:rsid w:val="00CE3E25"/>
    <w:rsid w:val="00CE48C1"/>
    <w:rsid w:val="00CE55DA"/>
    <w:rsid w:val="00CE5AEE"/>
    <w:rsid w:val="00CE6D62"/>
    <w:rsid w:val="00CE798A"/>
    <w:rsid w:val="00CF17F1"/>
    <w:rsid w:val="00CF19CC"/>
    <w:rsid w:val="00CF21E9"/>
    <w:rsid w:val="00CF5A32"/>
    <w:rsid w:val="00CF651C"/>
    <w:rsid w:val="00D00831"/>
    <w:rsid w:val="00D05B46"/>
    <w:rsid w:val="00D05BA0"/>
    <w:rsid w:val="00D05F15"/>
    <w:rsid w:val="00D100FC"/>
    <w:rsid w:val="00D1047F"/>
    <w:rsid w:val="00D10DB9"/>
    <w:rsid w:val="00D10EB7"/>
    <w:rsid w:val="00D11BED"/>
    <w:rsid w:val="00D11CCC"/>
    <w:rsid w:val="00D13129"/>
    <w:rsid w:val="00D13F06"/>
    <w:rsid w:val="00D14B76"/>
    <w:rsid w:val="00D14F90"/>
    <w:rsid w:val="00D14FEC"/>
    <w:rsid w:val="00D156DF"/>
    <w:rsid w:val="00D15CE2"/>
    <w:rsid w:val="00D15D01"/>
    <w:rsid w:val="00D16128"/>
    <w:rsid w:val="00D17461"/>
    <w:rsid w:val="00D17978"/>
    <w:rsid w:val="00D20D6C"/>
    <w:rsid w:val="00D20DD0"/>
    <w:rsid w:val="00D21DA4"/>
    <w:rsid w:val="00D2330F"/>
    <w:rsid w:val="00D24D71"/>
    <w:rsid w:val="00D27BD3"/>
    <w:rsid w:val="00D31D0C"/>
    <w:rsid w:val="00D32AAA"/>
    <w:rsid w:val="00D33403"/>
    <w:rsid w:val="00D334A0"/>
    <w:rsid w:val="00D348C3"/>
    <w:rsid w:val="00D35BC2"/>
    <w:rsid w:val="00D40871"/>
    <w:rsid w:val="00D40C4C"/>
    <w:rsid w:val="00D42D42"/>
    <w:rsid w:val="00D43D54"/>
    <w:rsid w:val="00D44BF7"/>
    <w:rsid w:val="00D46F37"/>
    <w:rsid w:val="00D47865"/>
    <w:rsid w:val="00D47896"/>
    <w:rsid w:val="00D478CA"/>
    <w:rsid w:val="00D50D43"/>
    <w:rsid w:val="00D51657"/>
    <w:rsid w:val="00D52D88"/>
    <w:rsid w:val="00D538F4"/>
    <w:rsid w:val="00D53CD0"/>
    <w:rsid w:val="00D55212"/>
    <w:rsid w:val="00D55CEA"/>
    <w:rsid w:val="00D55E73"/>
    <w:rsid w:val="00D55E98"/>
    <w:rsid w:val="00D5703E"/>
    <w:rsid w:val="00D57C7A"/>
    <w:rsid w:val="00D6002C"/>
    <w:rsid w:val="00D6032D"/>
    <w:rsid w:val="00D60F07"/>
    <w:rsid w:val="00D6158E"/>
    <w:rsid w:val="00D61750"/>
    <w:rsid w:val="00D62095"/>
    <w:rsid w:val="00D6375B"/>
    <w:rsid w:val="00D66E71"/>
    <w:rsid w:val="00D67DBA"/>
    <w:rsid w:val="00D709BF"/>
    <w:rsid w:val="00D70D4D"/>
    <w:rsid w:val="00D73C70"/>
    <w:rsid w:val="00D741EE"/>
    <w:rsid w:val="00D74960"/>
    <w:rsid w:val="00D7560C"/>
    <w:rsid w:val="00D7648C"/>
    <w:rsid w:val="00D76B04"/>
    <w:rsid w:val="00D77169"/>
    <w:rsid w:val="00D77A8F"/>
    <w:rsid w:val="00D8137F"/>
    <w:rsid w:val="00D8273F"/>
    <w:rsid w:val="00D84E50"/>
    <w:rsid w:val="00D84FCE"/>
    <w:rsid w:val="00D85533"/>
    <w:rsid w:val="00D8726A"/>
    <w:rsid w:val="00D9298F"/>
    <w:rsid w:val="00D92D91"/>
    <w:rsid w:val="00D94346"/>
    <w:rsid w:val="00D944F6"/>
    <w:rsid w:val="00D94755"/>
    <w:rsid w:val="00D949BB"/>
    <w:rsid w:val="00D94A63"/>
    <w:rsid w:val="00D969B6"/>
    <w:rsid w:val="00D96DB0"/>
    <w:rsid w:val="00D96DD0"/>
    <w:rsid w:val="00D9776C"/>
    <w:rsid w:val="00DA07CA"/>
    <w:rsid w:val="00DA1951"/>
    <w:rsid w:val="00DA1B57"/>
    <w:rsid w:val="00DA1C8B"/>
    <w:rsid w:val="00DA279D"/>
    <w:rsid w:val="00DA4924"/>
    <w:rsid w:val="00DA5023"/>
    <w:rsid w:val="00DA5F16"/>
    <w:rsid w:val="00DA7D11"/>
    <w:rsid w:val="00DB16D7"/>
    <w:rsid w:val="00DB22A4"/>
    <w:rsid w:val="00DB7834"/>
    <w:rsid w:val="00DB78BF"/>
    <w:rsid w:val="00DB7D79"/>
    <w:rsid w:val="00DC1070"/>
    <w:rsid w:val="00DC1925"/>
    <w:rsid w:val="00DC2D58"/>
    <w:rsid w:val="00DC31D1"/>
    <w:rsid w:val="00DC46C3"/>
    <w:rsid w:val="00DC49D6"/>
    <w:rsid w:val="00DC5DE4"/>
    <w:rsid w:val="00DC6F47"/>
    <w:rsid w:val="00DC6FA9"/>
    <w:rsid w:val="00DC733C"/>
    <w:rsid w:val="00DD07E0"/>
    <w:rsid w:val="00DD16B7"/>
    <w:rsid w:val="00DD1839"/>
    <w:rsid w:val="00DD2F7A"/>
    <w:rsid w:val="00DD520D"/>
    <w:rsid w:val="00DD6440"/>
    <w:rsid w:val="00DD7710"/>
    <w:rsid w:val="00DD79C2"/>
    <w:rsid w:val="00DE0CEF"/>
    <w:rsid w:val="00DE2500"/>
    <w:rsid w:val="00DE25F5"/>
    <w:rsid w:val="00DE4AFD"/>
    <w:rsid w:val="00DE4D10"/>
    <w:rsid w:val="00DE509A"/>
    <w:rsid w:val="00DE5155"/>
    <w:rsid w:val="00DE5CAD"/>
    <w:rsid w:val="00DE6675"/>
    <w:rsid w:val="00DF088C"/>
    <w:rsid w:val="00DF1B94"/>
    <w:rsid w:val="00DF1F5D"/>
    <w:rsid w:val="00DF3170"/>
    <w:rsid w:val="00DF3F10"/>
    <w:rsid w:val="00DF4C6F"/>
    <w:rsid w:val="00DF59F8"/>
    <w:rsid w:val="00DF77B2"/>
    <w:rsid w:val="00E005C6"/>
    <w:rsid w:val="00E023A7"/>
    <w:rsid w:val="00E039DE"/>
    <w:rsid w:val="00E03FF9"/>
    <w:rsid w:val="00E0599E"/>
    <w:rsid w:val="00E07375"/>
    <w:rsid w:val="00E0746C"/>
    <w:rsid w:val="00E11C7B"/>
    <w:rsid w:val="00E11D6D"/>
    <w:rsid w:val="00E11FE6"/>
    <w:rsid w:val="00E15D93"/>
    <w:rsid w:val="00E170DE"/>
    <w:rsid w:val="00E1740E"/>
    <w:rsid w:val="00E221B7"/>
    <w:rsid w:val="00E22684"/>
    <w:rsid w:val="00E22865"/>
    <w:rsid w:val="00E23E1A"/>
    <w:rsid w:val="00E24EE3"/>
    <w:rsid w:val="00E2559A"/>
    <w:rsid w:val="00E2585C"/>
    <w:rsid w:val="00E3056C"/>
    <w:rsid w:val="00E3058F"/>
    <w:rsid w:val="00E30B3D"/>
    <w:rsid w:val="00E32D09"/>
    <w:rsid w:val="00E34CE1"/>
    <w:rsid w:val="00E35278"/>
    <w:rsid w:val="00E357B9"/>
    <w:rsid w:val="00E35B5F"/>
    <w:rsid w:val="00E4017E"/>
    <w:rsid w:val="00E40369"/>
    <w:rsid w:val="00E40478"/>
    <w:rsid w:val="00E41AAB"/>
    <w:rsid w:val="00E431B2"/>
    <w:rsid w:val="00E43ED9"/>
    <w:rsid w:val="00E441E0"/>
    <w:rsid w:val="00E445FC"/>
    <w:rsid w:val="00E45C67"/>
    <w:rsid w:val="00E465AD"/>
    <w:rsid w:val="00E47938"/>
    <w:rsid w:val="00E5035C"/>
    <w:rsid w:val="00E57B35"/>
    <w:rsid w:val="00E630E0"/>
    <w:rsid w:val="00E63E0D"/>
    <w:rsid w:val="00E6427E"/>
    <w:rsid w:val="00E64FC7"/>
    <w:rsid w:val="00E6504B"/>
    <w:rsid w:val="00E654C0"/>
    <w:rsid w:val="00E658D2"/>
    <w:rsid w:val="00E65C83"/>
    <w:rsid w:val="00E67F31"/>
    <w:rsid w:val="00E70940"/>
    <w:rsid w:val="00E70F89"/>
    <w:rsid w:val="00E715BE"/>
    <w:rsid w:val="00E71F0A"/>
    <w:rsid w:val="00E72170"/>
    <w:rsid w:val="00E728F5"/>
    <w:rsid w:val="00E73415"/>
    <w:rsid w:val="00E734E2"/>
    <w:rsid w:val="00E743C1"/>
    <w:rsid w:val="00E76050"/>
    <w:rsid w:val="00E767AC"/>
    <w:rsid w:val="00E77AE5"/>
    <w:rsid w:val="00E80690"/>
    <w:rsid w:val="00E809F5"/>
    <w:rsid w:val="00E81F01"/>
    <w:rsid w:val="00E82533"/>
    <w:rsid w:val="00E83920"/>
    <w:rsid w:val="00E8541A"/>
    <w:rsid w:val="00E85619"/>
    <w:rsid w:val="00E85701"/>
    <w:rsid w:val="00E85AF4"/>
    <w:rsid w:val="00E86153"/>
    <w:rsid w:val="00E874C8"/>
    <w:rsid w:val="00E874FC"/>
    <w:rsid w:val="00E87A00"/>
    <w:rsid w:val="00E87BED"/>
    <w:rsid w:val="00E909E4"/>
    <w:rsid w:val="00E915EE"/>
    <w:rsid w:val="00E9231C"/>
    <w:rsid w:val="00E939CD"/>
    <w:rsid w:val="00E940D4"/>
    <w:rsid w:val="00E94967"/>
    <w:rsid w:val="00E949BB"/>
    <w:rsid w:val="00E96050"/>
    <w:rsid w:val="00E9629C"/>
    <w:rsid w:val="00E96FDA"/>
    <w:rsid w:val="00E97FC6"/>
    <w:rsid w:val="00EA1088"/>
    <w:rsid w:val="00EA1429"/>
    <w:rsid w:val="00EA18B8"/>
    <w:rsid w:val="00EA1CEE"/>
    <w:rsid w:val="00EA2FA8"/>
    <w:rsid w:val="00EA3195"/>
    <w:rsid w:val="00EA32A3"/>
    <w:rsid w:val="00EA462B"/>
    <w:rsid w:val="00EA509D"/>
    <w:rsid w:val="00EA72AF"/>
    <w:rsid w:val="00EA77AA"/>
    <w:rsid w:val="00EA7873"/>
    <w:rsid w:val="00EB027A"/>
    <w:rsid w:val="00EB0A8B"/>
    <w:rsid w:val="00EB0C23"/>
    <w:rsid w:val="00EB1546"/>
    <w:rsid w:val="00EB15EE"/>
    <w:rsid w:val="00EB249B"/>
    <w:rsid w:val="00EB28C8"/>
    <w:rsid w:val="00EB2947"/>
    <w:rsid w:val="00EB351E"/>
    <w:rsid w:val="00EB455C"/>
    <w:rsid w:val="00EB4FFA"/>
    <w:rsid w:val="00EB7686"/>
    <w:rsid w:val="00EC056F"/>
    <w:rsid w:val="00EC0CB3"/>
    <w:rsid w:val="00EC1C1E"/>
    <w:rsid w:val="00EC30FC"/>
    <w:rsid w:val="00EC3E4E"/>
    <w:rsid w:val="00EC4642"/>
    <w:rsid w:val="00EC585E"/>
    <w:rsid w:val="00EC5E0A"/>
    <w:rsid w:val="00EC6C77"/>
    <w:rsid w:val="00EC7661"/>
    <w:rsid w:val="00ED0E53"/>
    <w:rsid w:val="00ED0F2F"/>
    <w:rsid w:val="00ED3816"/>
    <w:rsid w:val="00ED4BAC"/>
    <w:rsid w:val="00ED6345"/>
    <w:rsid w:val="00ED695C"/>
    <w:rsid w:val="00ED69E3"/>
    <w:rsid w:val="00ED7A0A"/>
    <w:rsid w:val="00EE0209"/>
    <w:rsid w:val="00EE046E"/>
    <w:rsid w:val="00EE1233"/>
    <w:rsid w:val="00EE1491"/>
    <w:rsid w:val="00EE1E54"/>
    <w:rsid w:val="00EE4763"/>
    <w:rsid w:val="00EE4A13"/>
    <w:rsid w:val="00EE4D82"/>
    <w:rsid w:val="00EE5051"/>
    <w:rsid w:val="00EE6AAE"/>
    <w:rsid w:val="00EF082F"/>
    <w:rsid w:val="00EF0D0F"/>
    <w:rsid w:val="00EF19A2"/>
    <w:rsid w:val="00EF1E93"/>
    <w:rsid w:val="00EF1FDB"/>
    <w:rsid w:val="00EF32BA"/>
    <w:rsid w:val="00EF4530"/>
    <w:rsid w:val="00EF45AB"/>
    <w:rsid w:val="00EF6199"/>
    <w:rsid w:val="00EF74FF"/>
    <w:rsid w:val="00F00E73"/>
    <w:rsid w:val="00F0161A"/>
    <w:rsid w:val="00F025B8"/>
    <w:rsid w:val="00F05E4E"/>
    <w:rsid w:val="00F06AF4"/>
    <w:rsid w:val="00F06F72"/>
    <w:rsid w:val="00F10C37"/>
    <w:rsid w:val="00F10ED4"/>
    <w:rsid w:val="00F10EE7"/>
    <w:rsid w:val="00F12293"/>
    <w:rsid w:val="00F132EC"/>
    <w:rsid w:val="00F134E2"/>
    <w:rsid w:val="00F16C81"/>
    <w:rsid w:val="00F170C7"/>
    <w:rsid w:val="00F21D73"/>
    <w:rsid w:val="00F2224F"/>
    <w:rsid w:val="00F2371C"/>
    <w:rsid w:val="00F241B6"/>
    <w:rsid w:val="00F25810"/>
    <w:rsid w:val="00F258CA"/>
    <w:rsid w:val="00F27CA7"/>
    <w:rsid w:val="00F30462"/>
    <w:rsid w:val="00F32284"/>
    <w:rsid w:val="00F32D92"/>
    <w:rsid w:val="00F3328C"/>
    <w:rsid w:val="00F342DD"/>
    <w:rsid w:val="00F360F9"/>
    <w:rsid w:val="00F378F5"/>
    <w:rsid w:val="00F37D26"/>
    <w:rsid w:val="00F40BFC"/>
    <w:rsid w:val="00F410B4"/>
    <w:rsid w:val="00F41183"/>
    <w:rsid w:val="00F418D1"/>
    <w:rsid w:val="00F421AB"/>
    <w:rsid w:val="00F42B20"/>
    <w:rsid w:val="00F4327A"/>
    <w:rsid w:val="00F43BAE"/>
    <w:rsid w:val="00F44D5C"/>
    <w:rsid w:val="00F45CFF"/>
    <w:rsid w:val="00F47433"/>
    <w:rsid w:val="00F5161F"/>
    <w:rsid w:val="00F52293"/>
    <w:rsid w:val="00F53A0F"/>
    <w:rsid w:val="00F5497B"/>
    <w:rsid w:val="00F5583C"/>
    <w:rsid w:val="00F564C2"/>
    <w:rsid w:val="00F6177C"/>
    <w:rsid w:val="00F62234"/>
    <w:rsid w:val="00F637F0"/>
    <w:rsid w:val="00F6477A"/>
    <w:rsid w:val="00F65396"/>
    <w:rsid w:val="00F6591A"/>
    <w:rsid w:val="00F65C39"/>
    <w:rsid w:val="00F66203"/>
    <w:rsid w:val="00F67F45"/>
    <w:rsid w:val="00F705F1"/>
    <w:rsid w:val="00F70F28"/>
    <w:rsid w:val="00F7178F"/>
    <w:rsid w:val="00F72438"/>
    <w:rsid w:val="00F726D7"/>
    <w:rsid w:val="00F76972"/>
    <w:rsid w:val="00F77A35"/>
    <w:rsid w:val="00F81F6F"/>
    <w:rsid w:val="00F8543D"/>
    <w:rsid w:val="00F9006B"/>
    <w:rsid w:val="00F929E7"/>
    <w:rsid w:val="00F940E2"/>
    <w:rsid w:val="00F97277"/>
    <w:rsid w:val="00FA0690"/>
    <w:rsid w:val="00FA1093"/>
    <w:rsid w:val="00FA1D2C"/>
    <w:rsid w:val="00FA1F4E"/>
    <w:rsid w:val="00FA287E"/>
    <w:rsid w:val="00FA6572"/>
    <w:rsid w:val="00FA7DEA"/>
    <w:rsid w:val="00FB0154"/>
    <w:rsid w:val="00FB13F3"/>
    <w:rsid w:val="00FB21D7"/>
    <w:rsid w:val="00FB28E4"/>
    <w:rsid w:val="00FB2902"/>
    <w:rsid w:val="00FB3CF5"/>
    <w:rsid w:val="00FB43E2"/>
    <w:rsid w:val="00FB4DA2"/>
    <w:rsid w:val="00FB6177"/>
    <w:rsid w:val="00FB6884"/>
    <w:rsid w:val="00FB741D"/>
    <w:rsid w:val="00FC0A57"/>
    <w:rsid w:val="00FC156C"/>
    <w:rsid w:val="00FC1CB8"/>
    <w:rsid w:val="00FC1E95"/>
    <w:rsid w:val="00FC241B"/>
    <w:rsid w:val="00FC3A3A"/>
    <w:rsid w:val="00FC3B90"/>
    <w:rsid w:val="00FC45EF"/>
    <w:rsid w:val="00FC4D5D"/>
    <w:rsid w:val="00FC5731"/>
    <w:rsid w:val="00FC6E5A"/>
    <w:rsid w:val="00FD0B69"/>
    <w:rsid w:val="00FD1212"/>
    <w:rsid w:val="00FD206B"/>
    <w:rsid w:val="00FD25A4"/>
    <w:rsid w:val="00FD44C7"/>
    <w:rsid w:val="00FD4D86"/>
    <w:rsid w:val="00FD5889"/>
    <w:rsid w:val="00FD7377"/>
    <w:rsid w:val="00FD7E54"/>
    <w:rsid w:val="00FE05DF"/>
    <w:rsid w:val="00FE0A34"/>
    <w:rsid w:val="00FE11AA"/>
    <w:rsid w:val="00FE29EC"/>
    <w:rsid w:val="00FE3F6E"/>
    <w:rsid w:val="00FE4BCB"/>
    <w:rsid w:val="00FE53FC"/>
    <w:rsid w:val="00FE5CAB"/>
    <w:rsid w:val="00FE66D7"/>
    <w:rsid w:val="00FF1AF1"/>
    <w:rsid w:val="00FF21BA"/>
    <w:rsid w:val="00FF26D3"/>
    <w:rsid w:val="00FF2EF1"/>
    <w:rsid w:val="00FF3418"/>
    <w:rsid w:val="00FF34A8"/>
    <w:rsid w:val="00FF3C2B"/>
    <w:rsid w:val="00FF4A22"/>
    <w:rsid w:val="00FF5E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4B"/>
    <w:pPr>
      <w:widowControl w:val="0"/>
      <w:spacing w:after="0" w:line="360" w:lineRule="auto"/>
      <w:jc w:val="both"/>
    </w:pPr>
    <w:rPr>
      <w:rFonts w:ascii="Times New Roman" w:hAnsi="Times New Roman"/>
      <w:sz w:val="24"/>
    </w:rPr>
  </w:style>
  <w:style w:type="paragraph" w:styleId="Ttulo1">
    <w:name w:val="heading 1"/>
    <w:aliases w:val="PRIMÁRIA"/>
    <w:basedOn w:val="Normal"/>
    <w:next w:val="Normal"/>
    <w:link w:val="Ttulo1Char"/>
    <w:uiPriority w:val="9"/>
    <w:qFormat/>
    <w:rsid w:val="00414CDA"/>
    <w:pPr>
      <w:outlineLvl w:val="0"/>
    </w:pPr>
    <w:rPr>
      <w:rFonts w:eastAsiaTheme="majorEastAsia" w:cstheme="majorBidi"/>
      <w:b/>
      <w:color w:val="000000" w:themeColor="text1"/>
      <w:szCs w:val="32"/>
    </w:rPr>
  </w:style>
  <w:style w:type="paragraph" w:styleId="Ttulo2">
    <w:name w:val="heading 2"/>
    <w:aliases w:val="Secundária"/>
    <w:basedOn w:val="Normal"/>
    <w:link w:val="Ttulo2Char"/>
    <w:uiPriority w:val="9"/>
    <w:qFormat/>
    <w:rsid w:val="00414CDA"/>
    <w:pPr>
      <w:outlineLvl w:val="1"/>
    </w:pPr>
    <w:rPr>
      <w:rFonts w:eastAsia="Times New Roman" w:cs="Times New Roman"/>
      <w:b/>
      <w:bCs/>
      <w:szCs w:val="36"/>
      <w:lang w:eastAsia="pt-BR"/>
    </w:rPr>
  </w:style>
  <w:style w:type="paragraph" w:styleId="Ttulo3">
    <w:name w:val="heading 3"/>
    <w:aliases w:val="Terciária"/>
    <w:basedOn w:val="Normal"/>
    <w:next w:val="Normal"/>
    <w:link w:val="Ttulo3Char"/>
    <w:uiPriority w:val="9"/>
    <w:unhideWhenUsed/>
    <w:qFormat/>
    <w:rsid w:val="00FD1212"/>
    <w:pPr>
      <w:outlineLvl w:val="2"/>
    </w:pPr>
    <w:rPr>
      <w:rFonts w:eastAsiaTheme="majorEastAsia" w:cstheme="majorBidi"/>
      <w:i/>
      <w:szCs w:val="24"/>
    </w:rPr>
  </w:style>
  <w:style w:type="paragraph" w:styleId="Ttulo4">
    <w:name w:val="heading 4"/>
    <w:basedOn w:val="Normal"/>
    <w:next w:val="Normal"/>
    <w:link w:val="Ttulo4Char"/>
    <w:uiPriority w:val="9"/>
    <w:unhideWhenUsed/>
    <w:qFormat/>
    <w:rsid w:val="00C52D7B"/>
    <w:pPr>
      <w:jc w:val="center"/>
      <w:outlineLvl w:val="3"/>
    </w:pPr>
    <w:rPr>
      <w:rFonts w:eastAsiaTheme="majorEastAsia" w:cstheme="majorBid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PRIMÁRIA Char"/>
    <w:basedOn w:val="Fontepargpadro"/>
    <w:link w:val="Ttulo1"/>
    <w:uiPriority w:val="9"/>
    <w:rsid w:val="00414CDA"/>
    <w:rPr>
      <w:rFonts w:ascii="Times New Roman" w:eastAsiaTheme="majorEastAsia" w:hAnsi="Times New Roman" w:cstheme="majorBidi"/>
      <w:b/>
      <w:color w:val="000000" w:themeColor="text1"/>
      <w:sz w:val="24"/>
      <w:szCs w:val="32"/>
    </w:rPr>
  </w:style>
  <w:style w:type="character" w:customStyle="1" w:styleId="Ttulo2Char">
    <w:name w:val="Título 2 Char"/>
    <w:aliases w:val="Secundária Char"/>
    <w:basedOn w:val="Fontepargpadro"/>
    <w:link w:val="Ttulo2"/>
    <w:uiPriority w:val="9"/>
    <w:rsid w:val="00414CDA"/>
    <w:rPr>
      <w:rFonts w:ascii="Times New Roman" w:eastAsia="Times New Roman" w:hAnsi="Times New Roman" w:cs="Times New Roman"/>
      <w:b/>
      <w:bCs/>
      <w:sz w:val="24"/>
      <w:szCs w:val="36"/>
      <w:lang w:eastAsia="pt-BR"/>
    </w:rPr>
  </w:style>
  <w:style w:type="character" w:customStyle="1" w:styleId="Ttulo3Char">
    <w:name w:val="Título 3 Char"/>
    <w:aliases w:val="Terciária Char"/>
    <w:basedOn w:val="Fontepargpadro"/>
    <w:link w:val="Ttulo3"/>
    <w:uiPriority w:val="9"/>
    <w:rsid w:val="00FD1212"/>
    <w:rPr>
      <w:rFonts w:ascii="Times New Roman" w:eastAsiaTheme="majorEastAsia" w:hAnsi="Times New Roman" w:cstheme="majorBidi"/>
      <w:i/>
      <w:sz w:val="24"/>
      <w:szCs w:val="24"/>
    </w:rPr>
  </w:style>
  <w:style w:type="character" w:customStyle="1" w:styleId="Ttulo4Char">
    <w:name w:val="Título 4 Char"/>
    <w:basedOn w:val="Fontepargpadro"/>
    <w:link w:val="Ttulo4"/>
    <w:uiPriority w:val="9"/>
    <w:rsid w:val="00C52D7B"/>
    <w:rPr>
      <w:rFonts w:ascii="Times New Roman" w:eastAsiaTheme="majorEastAsia" w:hAnsi="Times New Roman" w:cstheme="majorBidi"/>
      <w:b/>
      <w:iCs/>
      <w:sz w:val="24"/>
    </w:rPr>
  </w:style>
  <w:style w:type="paragraph" w:styleId="Cabealho">
    <w:name w:val="header"/>
    <w:basedOn w:val="Normal"/>
    <w:link w:val="CabealhoChar"/>
    <w:uiPriority w:val="99"/>
    <w:unhideWhenUsed/>
    <w:rsid w:val="008B0978"/>
    <w:pPr>
      <w:tabs>
        <w:tab w:val="center" w:pos="4252"/>
        <w:tab w:val="right" w:pos="8504"/>
      </w:tabs>
      <w:spacing w:line="240" w:lineRule="auto"/>
    </w:pPr>
  </w:style>
  <w:style w:type="character" w:customStyle="1" w:styleId="CabealhoChar">
    <w:name w:val="Cabeçalho Char"/>
    <w:basedOn w:val="Fontepargpadro"/>
    <w:link w:val="Cabealho"/>
    <w:uiPriority w:val="99"/>
    <w:rsid w:val="008B0978"/>
  </w:style>
  <w:style w:type="paragraph" w:styleId="Rodap">
    <w:name w:val="footer"/>
    <w:basedOn w:val="Normal"/>
    <w:link w:val="RodapChar"/>
    <w:uiPriority w:val="99"/>
    <w:unhideWhenUsed/>
    <w:rsid w:val="008B0978"/>
    <w:pPr>
      <w:tabs>
        <w:tab w:val="center" w:pos="4252"/>
        <w:tab w:val="right" w:pos="8504"/>
      </w:tabs>
      <w:spacing w:line="240" w:lineRule="auto"/>
    </w:pPr>
  </w:style>
  <w:style w:type="character" w:customStyle="1" w:styleId="RodapChar">
    <w:name w:val="Rodapé Char"/>
    <w:basedOn w:val="Fontepargpadro"/>
    <w:link w:val="Rodap"/>
    <w:uiPriority w:val="99"/>
    <w:rsid w:val="008B0978"/>
  </w:style>
  <w:style w:type="character" w:styleId="Hyperlink">
    <w:name w:val="Hyperlink"/>
    <w:basedOn w:val="Fontepargpadro"/>
    <w:uiPriority w:val="99"/>
    <w:unhideWhenUsed/>
    <w:rsid w:val="008B0978"/>
    <w:rPr>
      <w:color w:val="0000FF"/>
      <w:u w:val="single"/>
    </w:rPr>
  </w:style>
  <w:style w:type="paragraph" w:styleId="Textodenotadefim">
    <w:name w:val="endnote text"/>
    <w:basedOn w:val="Normal"/>
    <w:link w:val="TextodenotadefimChar"/>
    <w:uiPriority w:val="99"/>
    <w:semiHidden/>
    <w:unhideWhenUsed/>
    <w:rsid w:val="00374360"/>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374360"/>
    <w:rPr>
      <w:sz w:val="20"/>
      <w:szCs w:val="20"/>
    </w:rPr>
  </w:style>
  <w:style w:type="character" w:styleId="Refdenotadefim">
    <w:name w:val="endnote reference"/>
    <w:basedOn w:val="Fontepargpadro"/>
    <w:uiPriority w:val="99"/>
    <w:semiHidden/>
    <w:unhideWhenUsed/>
    <w:rsid w:val="00374360"/>
    <w:rPr>
      <w:vertAlign w:val="superscript"/>
    </w:rPr>
  </w:style>
  <w:style w:type="paragraph" w:styleId="Textodenotaderodap">
    <w:name w:val="footnote text"/>
    <w:basedOn w:val="Normal"/>
    <w:link w:val="TextodenotaderodapChar"/>
    <w:semiHidden/>
    <w:unhideWhenUsed/>
    <w:rsid w:val="0037436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74360"/>
    <w:rPr>
      <w:sz w:val="20"/>
      <w:szCs w:val="20"/>
    </w:rPr>
  </w:style>
  <w:style w:type="character" w:styleId="Refdenotaderodap">
    <w:name w:val="footnote reference"/>
    <w:basedOn w:val="Fontepargpadro"/>
    <w:semiHidden/>
    <w:unhideWhenUsed/>
    <w:rsid w:val="00374360"/>
    <w:rPr>
      <w:vertAlign w:val="superscript"/>
    </w:rPr>
  </w:style>
  <w:style w:type="character" w:styleId="Forte">
    <w:name w:val="Strong"/>
    <w:basedOn w:val="Fontepargpadro"/>
    <w:uiPriority w:val="22"/>
    <w:qFormat/>
    <w:rsid w:val="000921D2"/>
    <w:rPr>
      <w:b/>
      <w:bCs/>
    </w:rPr>
  </w:style>
  <w:style w:type="character" w:styleId="Refdecomentrio">
    <w:name w:val="annotation reference"/>
    <w:basedOn w:val="Fontepargpadro"/>
    <w:uiPriority w:val="99"/>
    <w:semiHidden/>
    <w:unhideWhenUsed/>
    <w:rsid w:val="005E20EF"/>
    <w:rPr>
      <w:sz w:val="16"/>
      <w:szCs w:val="16"/>
    </w:rPr>
  </w:style>
  <w:style w:type="paragraph" w:styleId="Textodecomentrio">
    <w:name w:val="annotation text"/>
    <w:basedOn w:val="Normal"/>
    <w:link w:val="TextodecomentrioChar"/>
    <w:uiPriority w:val="99"/>
    <w:semiHidden/>
    <w:unhideWhenUsed/>
    <w:rsid w:val="005E20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E20EF"/>
    <w:rPr>
      <w:sz w:val="20"/>
      <w:szCs w:val="20"/>
    </w:rPr>
  </w:style>
  <w:style w:type="paragraph" w:styleId="Assuntodocomentrio">
    <w:name w:val="annotation subject"/>
    <w:basedOn w:val="Textodecomentrio"/>
    <w:next w:val="Textodecomentrio"/>
    <w:link w:val="AssuntodocomentrioChar"/>
    <w:uiPriority w:val="99"/>
    <w:semiHidden/>
    <w:unhideWhenUsed/>
    <w:rsid w:val="005E20EF"/>
    <w:rPr>
      <w:b/>
      <w:bCs/>
    </w:rPr>
  </w:style>
  <w:style w:type="character" w:customStyle="1" w:styleId="AssuntodocomentrioChar">
    <w:name w:val="Assunto do comentário Char"/>
    <w:basedOn w:val="TextodecomentrioChar"/>
    <w:link w:val="Assuntodocomentrio"/>
    <w:uiPriority w:val="99"/>
    <w:semiHidden/>
    <w:rsid w:val="005E20EF"/>
    <w:rPr>
      <w:b/>
      <w:bCs/>
      <w:sz w:val="20"/>
      <w:szCs w:val="20"/>
    </w:rPr>
  </w:style>
  <w:style w:type="paragraph" w:styleId="Textodebalo">
    <w:name w:val="Balloon Text"/>
    <w:basedOn w:val="Normal"/>
    <w:link w:val="TextodebaloChar"/>
    <w:uiPriority w:val="99"/>
    <w:semiHidden/>
    <w:unhideWhenUsed/>
    <w:rsid w:val="005E20E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20EF"/>
    <w:rPr>
      <w:rFonts w:ascii="Segoe UI" w:hAnsi="Segoe UI" w:cs="Segoe UI"/>
      <w:sz w:val="18"/>
      <w:szCs w:val="18"/>
    </w:rPr>
  </w:style>
  <w:style w:type="paragraph" w:styleId="PargrafodaLista">
    <w:name w:val="List Paragraph"/>
    <w:basedOn w:val="Normal"/>
    <w:uiPriority w:val="34"/>
    <w:qFormat/>
    <w:rsid w:val="009A149F"/>
    <w:pPr>
      <w:ind w:left="720"/>
      <w:contextualSpacing/>
    </w:pPr>
  </w:style>
  <w:style w:type="paragraph" w:styleId="Sumrio1">
    <w:name w:val="toc 1"/>
    <w:basedOn w:val="Normal"/>
    <w:next w:val="Normal"/>
    <w:autoRedefine/>
    <w:uiPriority w:val="39"/>
    <w:unhideWhenUsed/>
    <w:rsid w:val="0007392F"/>
    <w:pPr>
      <w:tabs>
        <w:tab w:val="right" w:leader="dot" w:pos="9062"/>
      </w:tabs>
      <w:spacing w:line="240" w:lineRule="auto"/>
    </w:pPr>
    <w:rPr>
      <w:rFonts w:cs="Times New Roman"/>
      <w:b/>
      <w:noProof/>
      <w:szCs w:val="24"/>
    </w:rPr>
  </w:style>
  <w:style w:type="paragraph" w:styleId="Sumrio2">
    <w:name w:val="toc 2"/>
    <w:basedOn w:val="Normal"/>
    <w:next w:val="Normal"/>
    <w:autoRedefine/>
    <w:uiPriority w:val="39"/>
    <w:unhideWhenUsed/>
    <w:rsid w:val="00D156DF"/>
    <w:pPr>
      <w:tabs>
        <w:tab w:val="right" w:leader="dot" w:pos="9062"/>
      </w:tabs>
      <w:spacing w:line="240" w:lineRule="auto"/>
      <w:ind w:left="220"/>
    </w:pPr>
    <w:rPr>
      <w:rFonts w:cs="Times New Roman"/>
      <w:b/>
      <w:noProof/>
      <w:szCs w:val="24"/>
    </w:rPr>
  </w:style>
  <w:style w:type="paragraph" w:styleId="Sumrio3">
    <w:name w:val="toc 3"/>
    <w:basedOn w:val="Normal"/>
    <w:next w:val="Normal"/>
    <w:autoRedefine/>
    <w:uiPriority w:val="39"/>
    <w:unhideWhenUsed/>
    <w:rsid w:val="00D156DF"/>
    <w:pPr>
      <w:tabs>
        <w:tab w:val="right" w:leader="dot" w:pos="9062"/>
      </w:tabs>
      <w:spacing w:line="240" w:lineRule="auto"/>
    </w:pPr>
    <w:rPr>
      <w:rFonts w:cs="Times New Roman"/>
      <w:b/>
      <w:noProof/>
      <w:szCs w:val="24"/>
    </w:rPr>
  </w:style>
  <w:style w:type="character" w:customStyle="1" w:styleId="apple-converted-space">
    <w:name w:val="apple-converted-space"/>
    <w:basedOn w:val="Fontepargpadro"/>
    <w:rsid w:val="00B67745"/>
  </w:style>
  <w:style w:type="character" w:customStyle="1" w:styleId="apple-style-span">
    <w:name w:val="apple-style-span"/>
    <w:basedOn w:val="Fontepargpadro"/>
    <w:rsid w:val="00197EF6"/>
  </w:style>
  <w:style w:type="character" w:customStyle="1" w:styleId="spelle">
    <w:name w:val="spelle"/>
    <w:basedOn w:val="Fontepargpadro"/>
    <w:rsid w:val="00197EF6"/>
  </w:style>
  <w:style w:type="character" w:styleId="TextodoEspaoReservado">
    <w:name w:val="Placeholder Text"/>
    <w:basedOn w:val="Fontepargpadro"/>
    <w:uiPriority w:val="99"/>
    <w:semiHidden/>
    <w:rsid w:val="00050CD5"/>
    <w:rPr>
      <w:color w:val="808080"/>
    </w:rPr>
  </w:style>
  <w:style w:type="table" w:styleId="Tabelacomgrade">
    <w:name w:val="Table Grid"/>
    <w:basedOn w:val="Tabelanormal"/>
    <w:uiPriority w:val="39"/>
    <w:rsid w:val="00331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EC30FC"/>
    <w:pPr>
      <w:numPr>
        <w:numId w:val="2"/>
      </w:numPr>
      <w:contextualSpacing/>
    </w:pPr>
  </w:style>
  <w:style w:type="paragraph" w:customStyle="1" w:styleId="autores">
    <w:name w:val="autores"/>
    <w:basedOn w:val="Normal"/>
    <w:rsid w:val="00F21D73"/>
    <w:pPr>
      <w:spacing w:before="100" w:beforeAutospacing="1" w:after="100" w:afterAutospacing="1" w:line="240" w:lineRule="auto"/>
    </w:pPr>
    <w:rPr>
      <w:rFonts w:eastAsia="Times New Roman" w:cs="Times New Roman"/>
      <w:szCs w:val="24"/>
      <w:lang w:eastAsia="pt-BR"/>
    </w:rPr>
  </w:style>
  <w:style w:type="paragraph" w:styleId="NormalWeb">
    <w:name w:val="Normal (Web)"/>
    <w:basedOn w:val="Normal"/>
    <w:uiPriority w:val="99"/>
    <w:semiHidden/>
    <w:unhideWhenUsed/>
    <w:rsid w:val="00315FD5"/>
    <w:pPr>
      <w:spacing w:before="100" w:beforeAutospacing="1" w:after="100" w:afterAutospacing="1" w:line="240" w:lineRule="auto"/>
    </w:pPr>
    <w:rPr>
      <w:rFonts w:eastAsia="Times New Roman" w:cs="Times New Roman"/>
      <w:szCs w:val="24"/>
      <w:lang w:eastAsia="pt-BR"/>
    </w:rPr>
  </w:style>
  <w:style w:type="character" w:styleId="nfase">
    <w:name w:val="Emphasis"/>
    <w:basedOn w:val="Fontepargpadro"/>
    <w:uiPriority w:val="20"/>
    <w:qFormat/>
    <w:rsid w:val="00DA5F16"/>
    <w:rPr>
      <w:i/>
      <w:iCs/>
    </w:rPr>
  </w:style>
  <w:style w:type="paragraph" w:styleId="CabealhodoSumrio">
    <w:name w:val="TOC Heading"/>
    <w:basedOn w:val="Ttulo1"/>
    <w:next w:val="Normal"/>
    <w:uiPriority w:val="39"/>
    <w:unhideWhenUsed/>
    <w:qFormat/>
    <w:rsid w:val="00467B16"/>
    <w:pPr>
      <w:keepNext/>
      <w:keepLines/>
      <w:widowControl/>
      <w:spacing w:before="240" w:line="259" w:lineRule="auto"/>
      <w:outlineLvl w:val="9"/>
    </w:pPr>
    <w:rPr>
      <w:rFonts w:asciiTheme="majorHAnsi" w:hAnsiTheme="majorHAnsi"/>
      <w:b w:val="0"/>
      <w:color w:val="2E74B5" w:themeColor="accent1" w:themeShade="BF"/>
      <w:sz w:val="32"/>
      <w:lang w:eastAsia="pt-BR"/>
    </w:rPr>
  </w:style>
  <w:style w:type="paragraph" w:styleId="Sumrio4">
    <w:name w:val="toc 4"/>
    <w:basedOn w:val="Normal"/>
    <w:next w:val="Normal"/>
    <w:autoRedefine/>
    <w:uiPriority w:val="39"/>
    <w:unhideWhenUsed/>
    <w:rsid w:val="0037041D"/>
    <w:pPr>
      <w:spacing w:after="100"/>
      <w:ind w:left="660"/>
    </w:pPr>
    <w:rPr>
      <w:rFonts w:eastAsiaTheme="minorEastAsia"/>
      <w:lang w:eastAsia="pt-BR"/>
    </w:rPr>
  </w:style>
  <w:style w:type="paragraph" w:styleId="Sumrio5">
    <w:name w:val="toc 5"/>
    <w:basedOn w:val="Normal"/>
    <w:next w:val="Normal"/>
    <w:autoRedefine/>
    <w:uiPriority w:val="39"/>
    <w:unhideWhenUsed/>
    <w:rsid w:val="0037041D"/>
    <w:pPr>
      <w:spacing w:after="100"/>
      <w:ind w:left="880"/>
    </w:pPr>
    <w:rPr>
      <w:rFonts w:eastAsiaTheme="minorEastAsia"/>
      <w:lang w:eastAsia="pt-BR"/>
    </w:rPr>
  </w:style>
  <w:style w:type="paragraph" w:styleId="Sumrio6">
    <w:name w:val="toc 6"/>
    <w:basedOn w:val="Normal"/>
    <w:next w:val="Normal"/>
    <w:autoRedefine/>
    <w:uiPriority w:val="39"/>
    <w:unhideWhenUsed/>
    <w:rsid w:val="0037041D"/>
    <w:pPr>
      <w:spacing w:after="100"/>
      <w:ind w:left="1100"/>
    </w:pPr>
    <w:rPr>
      <w:rFonts w:eastAsiaTheme="minorEastAsia"/>
      <w:lang w:eastAsia="pt-BR"/>
    </w:rPr>
  </w:style>
  <w:style w:type="paragraph" w:styleId="Sumrio7">
    <w:name w:val="toc 7"/>
    <w:basedOn w:val="Normal"/>
    <w:next w:val="Normal"/>
    <w:autoRedefine/>
    <w:uiPriority w:val="39"/>
    <w:unhideWhenUsed/>
    <w:rsid w:val="0037041D"/>
    <w:pPr>
      <w:spacing w:after="100"/>
      <w:ind w:left="1320"/>
    </w:pPr>
    <w:rPr>
      <w:rFonts w:eastAsiaTheme="minorEastAsia"/>
      <w:lang w:eastAsia="pt-BR"/>
    </w:rPr>
  </w:style>
  <w:style w:type="paragraph" w:styleId="Sumrio8">
    <w:name w:val="toc 8"/>
    <w:basedOn w:val="Normal"/>
    <w:next w:val="Normal"/>
    <w:autoRedefine/>
    <w:uiPriority w:val="39"/>
    <w:unhideWhenUsed/>
    <w:rsid w:val="0037041D"/>
    <w:pPr>
      <w:spacing w:after="100"/>
      <w:ind w:left="1540"/>
    </w:pPr>
    <w:rPr>
      <w:rFonts w:eastAsiaTheme="minorEastAsia"/>
      <w:lang w:eastAsia="pt-BR"/>
    </w:rPr>
  </w:style>
  <w:style w:type="paragraph" w:styleId="Sumrio9">
    <w:name w:val="toc 9"/>
    <w:basedOn w:val="Normal"/>
    <w:next w:val="Normal"/>
    <w:autoRedefine/>
    <w:uiPriority w:val="39"/>
    <w:unhideWhenUsed/>
    <w:rsid w:val="0037041D"/>
    <w:pPr>
      <w:spacing w:after="100"/>
      <w:ind w:left="1760"/>
    </w:pPr>
    <w:rPr>
      <w:rFonts w:eastAsiaTheme="minorEastAsia"/>
      <w:lang w:eastAsia="pt-BR"/>
    </w:rPr>
  </w:style>
  <w:style w:type="paragraph" w:styleId="Legenda">
    <w:name w:val="caption"/>
    <w:basedOn w:val="Normal"/>
    <w:next w:val="Normal"/>
    <w:uiPriority w:val="35"/>
    <w:unhideWhenUsed/>
    <w:qFormat/>
    <w:rsid w:val="00D8273F"/>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D8273F"/>
  </w:style>
</w:styles>
</file>

<file path=word/webSettings.xml><?xml version="1.0" encoding="utf-8"?>
<w:webSettings xmlns:r="http://schemas.openxmlformats.org/officeDocument/2006/relationships" xmlns:w="http://schemas.openxmlformats.org/wordprocessingml/2006/main">
  <w:divs>
    <w:div w:id="16196928">
      <w:bodyDiv w:val="1"/>
      <w:marLeft w:val="0"/>
      <w:marRight w:val="0"/>
      <w:marTop w:val="0"/>
      <w:marBottom w:val="0"/>
      <w:divBdr>
        <w:top w:val="none" w:sz="0" w:space="0" w:color="auto"/>
        <w:left w:val="none" w:sz="0" w:space="0" w:color="auto"/>
        <w:bottom w:val="none" w:sz="0" w:space="0" w:color="auto"/>
        <w:right w:val="none" w:sz="0" w:space="0" w:color="auto"/>
      </w:divBdr>
    </w:div>
    <w:div w:id="138423142">
      <w:bodyDiv w:val="1"/>
      <w:marLeft w:val="0"/>
      <w:marRight w:val="0"/>
      <w:marTop w:val="0"/>
      <w:marBottom w:val="0"/>
      <w:divBdr>
        <w:top w:val="none" w:sz="0" w:space="0" w:color="auto"/>
        <w:left w:val="none" w:sz="0" w:space="0" w:color="auto"/>
        <w:bottom w:val="none" w:sz="0" w:space="0" w:color="auto"/>
        <w:right w:val="none" w:sz="0" w:space="0" w:color="auto"/>
      </w:divBdr>
    </w:div>
    <w:div w:id="223375761">
      <w:bodyDiv w:val="1"/>
      <w:marLeft w:val="0"/>
      <w:marRight w:val="0"/>
      <w:marTop w:val="0"/>
      <w:marBottom w:val="0"/>
      <w:divBdr>
        <w:top w:val="none" w:sz="0" w:space="0" w:color="auto"/>
        <w:left w:val="none" w:sz="0" w:space="0" w:color="auto"/>
        <w:bottom w:val="none" w:sz="0" w:space="0" w:color="auto"/>
        <w:right w:val="none" w:sz="0" w:space="0" w:color="auto"/>
      </w:divBdr>
    </w:div>
    <w:div w:id="260649908">
      <w:bodyDiv w:val="1"/>
      <w:marLeft w:val="0"/>
      <w:marRight w:val="0"/>
      <w:marTop w:val="0"/>
      <w:marBottom w:val="0"/>
      <w:divBdr>
        <w:top w:val="none" w:sz="0" w:space="0" w:color="auto"/>
        <w:left w:val="none" w:sz="0" w:space="0" w:color="auto"/>
        <w:bottom w:val="none" w:sz="0" w:space="0" w:color="auto"/>
        <w:right w:val="none" w:sz="0" w:space="0" w:color="auto"/>
      </w:divBdr>
    </w:div>
    <w:div w:id="262078650">
      <w:bodyDiv w:val="1"/>
      <w:marLeft w:val="0"/>
      <w:marRight w:val="0"/>
      <w:marTop w:val="0"/>
      <w:marBottom w:val="0"/>
      <w:divBdr>
        <w:top w:val="none" w:sz="0" w:space="0" w:color="auto"/>
        <w:left w:val="none" w:sz="0" w:space="0" w:color="auto"/>
        <w:bottom w:val="none" w:sz="0" w:space="0" w:color="auto"/>
        <w:right w:val="none" w:sz="0" w:space="0" w:color="auto"/>
      </w:divBdr>
    </w:div>
    <w:div w:id="303124862">
      <w:bodyDiv w:val="1"/>
      <w:marLeft w:val="0"/>
      <w:marRight w:val="0"/>
      <w:marTop w:val="0"/>
      <w:marBottom w:val="0"/>
      <w:divBdr>
        <w:top w:val="none" w:sz="0" w:space="0" w:color="auto"/>
        <w:left w:val="none" w:sz="0" w:space="0" w:color="auto"/>
        <w:bottom w:val="none" w:sz="0" w:space="0" w:color="auto"/>
        <w:right w:val="none" w:sz="0" w:space="0" w:color="auto"/>
      </w:divBdr>
    </w:div>
    <w:div w:id="420637406">
      <w:bodyDiv w:val="1"/>
      <w:marLeft w:val="0"/>
      <w:marRight w:val="0"/>
      <w:marTop w:val="0"/>
      <w:marBottom w:val="0"/>
      <w:divBdr>
        <w:top w:val="none" w:sz="0" w:space="0" w:color="auto"/>
        <w:left w:val="none" w:sz="0" w:space="0" w:color="auto"/>
        <w:bottom w:val="none" w:sz="0" w:space="0" w:color="auto"/>
        <w:right w:val="none" w:sz="0" w:space="0" w:color="auto"/>
      </w:divBdr>
    </w:div>
    <w:div w:id="423381397">
      <w:bodyDiv w:val="1"/>
      <w:marLeft w:val="0"/>
      <w:marRight w:val="0"/>
      <w:marTop w:val="0"/>
      <w:marBottom w:val="0"/>
      <w:divBdr>
        <w:top w:val="none" w:sz="0" w:space="0" w:color="auto"/>
        <w:left w:val="none" w:sz="0" w:space="0" w:color="auto"/>
        <w:bottom w:val="none" w:sz="0" w:space="0" w:color="auto"/>
        <w:right w:val="none" w:sz="0" w:space="0" w:color="auto"/>
      </w:divBdr>
    </w:div>
    <w:div w:id="547885399">
      <w:bodyDiv w:val="1"/>
      <w:marLeft w:val="0"/>
      <w:marRight w:val="0"/>
      <w:marTop w:val="0"/>
      <w:marBottom w:val="0"/>
      <w:divBdr>
        <w:top w:val="none" w:sz="0" w:space="0" w:color="auto"/>
        <w:left w:val="none" w:sz="0" w:space="0" w:color="auto"/>
        <w:bottom w:val="none" w:sz="0" w:space="0" w:color="auto"/>
        <w:right w:val="none" w:sz="0" w:space="0" w:color="auto"/>
      </w:divBdr>
    </w:div>
    <w:div w:id="552011950">
      <w:bodyDiv w:val="1"/>
      <w:marLeft w:val="0"/>
      <w:marRight w:val="0"/>
      <w:marTop w:val="0"/>
      <w:marBottom w:val="0"/>
      <w:divBdr>
        <w:top w:val="none" w:sz="0" w:space="0" w:color="auto"/>
        <w:left w:val="none" w:sz="0" w:space="0" w:color="auto"/>
        <w:bottom w:val="none" w:sz="0" w:space="0" w:color="auto"/>
        <w:right w:val="none" w:sz="0" w:space="0" w:color="auto"/>
      </w:divBdr>
    </w:div>
    <w:div w:id="639500517">
      <w:bodyDiv w:val="1"/>
      <w:marLeft w:val="0"/>
      <w:marRight w:val="0"/>
      <w:marTop w:val="0"/>
      <w:marBottom w:val="0"/>
      <w:divBdr>
        <w:top w:val="none" w:sz="0" w:space="0" w:color="auto"/>
        <w:left w:val="none" w:sz="0" w:space="0" w:color="auto"/>
        <w:bottom w:val="none" w:sz="0" w:space="0" w:color="auto"/>
        <w:right w:val="none" w:sz="0" w:space="0" w:color="auto"/>
      </w:divBdr>
    </w:div>
    <w:div w:id="836194863">
      <w:bodyDiv w:val="1"/>
      <w:marLeft w:val="0"/>
      <w:marRight w:val="0"/>
      <w:marTop w:val="0"/>
      <w:marBottom w:val="0"/>
      <w:divBdr>
        <w:top w:val="none" w:sz="0" w:space="0" w:color="auto"/>
        <w:left w:val="none" w:sz="0" w:space="0" w:color="auto"/>
        <w:bottom w:val="none" w:sz="0" w:space="0" w:color="auto"/>
        <w:right w:val="none" w:sz="0" w:space="0" w:color="auto"/>
      </w:divBdr>
    </w:div>
    <w:div w:id="907422404">
      <w:bodyDiv w:val="1"/>
      <w:marLeft w:val="0"/>
      <w:marRight w:val="0"/>
      <w:marTop w:val="0"/>
      <w:marBottom w:val="0"/>
      <w:divBdr>
        <w:top w:val="none" w:sz="0" w:space="0" w:color="auto"/>
        <w:left w:val="none" w:sz="0" w:space="0" w:color="auto"/>
        <w:bottom w:val="none" w:sz="0" w:space="0" w:color="auto"/>
        <w:right w:val="none" w:sz="0" w:space="0" w:color="auto"/>
      </w:divBdr>
    </w:div>
    <w:div w:id="952790126">
      <w:bodyDiv w:val="1"/>
      <w:marLeft w:val="0"/>
      <w:marRight w:val="0"/>
      <w:marTop w:val="0"/>
      <w:marBottom w:val="0"/>
      <w:divBdr>
        <w:top w:val="none" w:sz="0" w:space="0" w:color="auto"/>
        <w:left w:val="none" w:sz="0" w:space="0" w:color="auto"/>
        <w:bottom w:val="none" w:sz="0" w:space="0" w:color="auto"/>
        <w:right w:val="none" w:sz="0" w:space="0" w:color="auto"/>
      </w:divBdr>
    </w:div>
    <w:div w:id="962075975">
      <w:bodyDiv w:val="1"/>
      <w:marLeft w:val="0"/>
      <w:marRight w:val="0"/>
      <w:marTop w:val="0"/>
      <w:marBottom w:val="0"/>
      <w:divBdr>
        <w:top w:val="none" w:sz="0" w:space="0" w:color="auto"/>
        <w:left w:val="none" w:sz="0" w:space="0" w:color="auto"/>
        <w:bottom w:val="none" w:sz="0" w:space="0" w:color="auto"/>
        <w:right w:val="none" w:sz="0" w:space="0" w:color="auto"/>
      </w:divBdr>
    </w:div>
    <w:div w:id="970788255">
      <w:bodyDiv w:val="1"/>
      <w:marLeft w:val="0"/>
      <w:marRight w:val="0"/>
      <w:marTop w:val="0"/>
      <w:marBottom w:val="0"/>
      <w:divBdr>
        <w:top w:val="none" w:sz="0" w:space="0" w:color="auto"/>
        <w:left w:val="none" w:sz="0" w:space="0" w:color="auto"/>
        <w:bottom w:val="none" w:sz="0" w:space="0" w:color="auto"/>
        <w:right w:val="none" w:sz="0" w:space="0" w:color="auto"/>
      </w:divBdr>
    </w:div>
    <w:div w:id="988292664">
      <w:bodyDiv w:val="1"/>
      <w:marLeft w:val="0"/>
      <w:marRight w:val="0"/>
      <w:marTop w:val="0"/>
      <w:marBottom w:val="0"/>
      <w:divBdr>
        <w:top w:val="none" w:sz="0" w:space="0" w:color="auto"/>
        <w:left w:val="none" w:sz="0" w:space="0" w:color="auto"/>
        <w:bottom w:val="none" w:sz="0" w:space="0" w:color="auto"/>
        <w:right w:val="none" w:sz="0" w:space="0" w:color="auto"/>
      </w:divBdr>
    </w:div>
    <w:div w:id="1040276298">
      <w:bodyDiv w:val="1"/>
      <w:marLeft w:val="0"/>
      <w:marRight w:val="0"/>
      <w:marTop w:val="0"/>
      <w:marBottom w:val="0"/>
      <w:divBdr>
        <w:top w:val="none" w:sz="0" w:space="0" w:color="auto"/>
        <w:left w:val="none" w:sz="0" w:space="0" w:color="auto"/>
        <w:bottom w:val="none" w:sz="0" w:space="0" w:color="auto"/>
        <w:right w:val="none" w:sz="0" w:space="0" w:color="auto"/>
      </w:divBdr>
    </w:div>
    <w:div w:id="1168136958">
      <w:bodyDiv w:val="1"/>
      <w:marLeft w:val="0"/>
      <w:marRight w:val="0"/>
      <w:marTop w:val="0"/>
      <w:marBottom w:val="0"/>
      <w:divBdr>
        <w:top w:val="none" w:sz="0" w:space="0" w:color="auto"/>
        <w:left w:val="none" w:sz="0" w:space="0" w:color="auto"/>
        <w:bottom w:val="none" w:sz="0" w:space="0" w:color="auto"/>
        <w:right w:val="none" w:sz="0" w:space="0" w:color="auto"/>
      </w:divBdr>
    </w:div>
    <w:div w:id="1195389811">
      <w:bodyDiv w:val="1"/>
      <w:marLeft w:val="0"/>
      <w:marRight w:val="0"/>
      <w:marTop w:val="0"/>
      <w:marBottom w:val="0"/>
      <w:divBdr>
        <w:top w:val="none" w:sz="0" w:space="0" w:color="auto"/>
        <w:left w:val="none" w:sz="0" w:space="0" w:color="auto"/>
        <w:bottom w:val="none" w:sz="0" w:space="0" w:color="auto"/>
        <w:right w:val="none" w:sz="0" w:space="0" w:color="auto"/>
      </w:divBdr>
    </w:div>
    <w:div w:id="1196384406">
      <w:bodyDiv w:val="1"/>
      <w:marLeft w:val="0"/>
      <w:marRight w:val="0"/>
      <w:marTop w:val="0"/>
      <w:marBottom w:val="0"/>
      <w:divBdr>
        <w:top w:val="none" w:sz="0" w:space="0" w:color="auto"/>
        <w:left w:val="none" w:sz="0" w:space="0" w:color="auto"/>
        <w:bottom w:val="none" w:sz="0" w:space="0" w:color="auto"/>
        <w:right w:val="none" w:sz="0" w:space="0" w:color="auto"/>
      </w:divBdr>
    </w:div>
    <w:div w:id="1318655593">
      <w:bodyDiv w:val="1"/>
      <w:marLeft w:val="0"/>
      <w:marRight w:val="0"/>
      <w:marTop w:val="0"/>
      <w:marBottom w:val="0"/>
      <w:divBdr>
        <w:top w:val="none" w:sz="0" w:space="0" w:color="auto"/>
        <w:left w:val="none" w:sz="0" w:space="0" w:color="auto"/>
        <w:bottom w:val="none" w:sz="0" w:space="0" w:color="auto"/>
        <w:right w:val="none" w:sz="0" w:space="0" w:color="auto"/>
      </w:divBdr>
    </w:div>
    <w:div w:id="1338533794">
      <w:bodyDiv w:val="1"/>
      <w:marLeft w:val="0"/>
      <w:marRight w:val="0"/>
      <w:marTop w:val="0"/>
      <w:marBottom w:val="0"/>
      <w:divBdr>
        <w:top w:val="none" w:sz="0" w:space="0" w:color="auto"/>
        <w:left w:val="none" w:sz="0" w:space="0" w:color="auto"/>
        <w:bottom w:val="none" w:sz="0" w:space="0" w:color="auto"/>
        <w:right w:val="none" w:sz="0" w:space="0" w:color="auto"/>
      </w:divBdr>
    </w:div>
    <w:div w:id="1355963820">
      <w:bodyDiv w:val="1"/>
      <w:marLeft w:val="0"/>
      <w:marRight w:val="0"/>
      <w:marTop w:val="0"/>
      <w:marBottom w:val="0"/>
      <w:divBdr>
        <w:top w:val="none" w:sz="0" w:space="0" w:color="auto"/>
        <w:left w:val="none" w:sz="0" w:space="0" w:color="auto"/>
        <w:bottom w:val="none" w:sz="0" w:space="0" w:color="auto"/>
        <w:right w:val="none" w:sz="0" w:space="0" w:color="auto"/>
      </w:divBdr>
    </w:div>
    <w:div w:id="1395664078">
      <w:bodyDiv w:val="1"/>
      <w:marLeft w:val="0"/>
      <w:marRight w:val="0"/>
      <w:marTop w:val="0"/>
      <w:marBottom w:val="0"/>
      <w:divBdr>
        <w:top w:val="none" w:sz="0" w:space="0" w:color="auto"/>
        <w:left w:val="none" w:sz="0" w:space="0" w:color="auto"/>
        <w:bottom w:val="none" w:sz="0" w:space="0" w:color="auto"/>
        <w:right w:val="none" w:sz="0" w:space="0" w:color="auto"/>
      </w:divBdr>
    </w:div>
    <w:div w:id="1605531312">
      <w:bodyDiv w:val="1"/>
      <w:marLeft w:val="0"/>
      <w:marRight w:val="0"/>
      <w:marTop w:val="0"/>
      <w:marBottom w:val="0"/>
      <w:divBdr>
        <w:top w:val="none" w:sz="0" w:space="0" w:color="auto"/>
        <w:left w:val="none" w:sz="0" w:space="0" w:color="auto"/>
        <w:bottom w:val="none" w:sz="0" w:space="0" w:color="auto"/>
        <w:right w:val="none" w:sz="0" w:space="0" w:color="auto"/>
      </w:divBdr>
    </w:div>
    <w:div w:id="1771781845">
      <w:bodyDiv w:val="1"/>
      <w:marLeft w:val="0"/>
      <w:marRight w:val="0"/>
      <w:marTop w:val="0"/>
      <w:marBottom w:val="0"/>
      <w:divBdr>
        <w:top w:val="none" w:sz="0" w:space="0" w:color="auto"/>
        <w:left w:val="none" w:sz="0" w:space="0" w:color="auto"/>
        <w:bottom w:val="none" w:sz="0" w:space="0" w:color="auto"/>
        <w:right w:val="none" w:sz="0" w:space="0" w:color="auto"/>
      </w:divBdr>
    </w:div>
    <w:div w:id="1916470890">
      <w:bodyDiv w:val="1"/>
      <w:marLeft w:val="0"/>
      <w:marRight w:val="0"/>
      <w:marTop w:val="0"/>
      <w:marBottom w:val="0"/>
      <w:divBdr>
        <w:top w:val="none" w:sz="0" w:space="0" w:color="auto"/>
        <w:left w:val="none" w:sz="0" w:space="0" w:color="auto"/>
        <w:bottom w:val="none" w:sz="0" w:space="0" w:color="auto"/>
        <w:right w:val="none" w:sz="0" w:space="0" w:color="auto"/>
      </w:divBdr>
    </w:div>
    <w:div w:id="1933314744">
      <w:bodyDiv w:val="1"/>
      <w:marLeft w:val="0"/>
      <w:marRight w:val="0"/>
      <w:marTop w:val="0"/>
      <w:marBottom w:val="0"/>
      <w:divBdr>
        <w:top w:val="none" w:sz="0" w:space="0" w:color="auto"/>
        <w:left w:val="none" w:sz="0" w:space="0" w:color="auto"/>
        <w:bottom w:val="none" w:sz="0" w:space="0" w:color="auto"/>
        <w:right w:val="none" w:sz="0" w:space="0" w:color="auto"/>
      </w:divBdr>
    </w:div>
    <w:div w:id="1993098813">
      <w:bodyDiv w:val="1"/>
      <w:marLeft w:val="0"/>
      <w:marRight w:val="0"/>
      <w:marTop w:val="0"/>
      <w:marBottom w:val="0"/>
      <w:divBdr>
        <w:top w:val="none" w:sz="0" w:space="0" w:color="auto"/>
        <w:left w:val="none" w:sz="0" w:space="0" w:color="auto"/>
        <w:bottom w:val="none" w:sz="0" w:space="0" w:color="auto"/>
        <w:right w:val="none" w:sz="0" w:space="0" w:color="auto"/>
      </w:divBdr>
    </w:div>
    <w:div w:id="2111733282">
      <w:bodyDiv w:val="1"/>
      <w:marLeft w:val="0"/>
      <w:marRight w:val="0"/>
      <w:marTop w:val="0"/>
      <w:marBottom w:val="0"/>
      <w:divBdr>
        <w:top w:val="none" w:sz="0" w:space="0" w:color="auto"/>
        <w:left w:val="none" w:sz="0" w:space="0" w:color="auto"/>
        <w:bottom w:val="none" w:sz="0" w:space="0" w:color="auto"/>
        <w:right w:val="none" w:sz="0" w:space="0" w:color="auto"/>
      </w:divBdr>
    </w:div>
    <w:div w:id="2146042256">
      <w:bodyDiv w:val="1"/>
      <w:marLeft w:val="0"/>
      <w:marRight w:val="0"/>
      <w:marTop w:val="0"/>
      <w:marBottom w:val="0"/>
      <w:divBdr>
        <w:top w:val="none" w:sz="0" w:space="0" w:color="auto"/>
        <w:left w:val="none" w:sz="0" w:space="0" w:color="auto"/>
        <w:bottom w:val="none" w:sz="0" w:space="0" w:color="auto"/>
        <w:right w:val="none" w:sz="0" w:space="0" w:color="auto"/>
      </w:divBdr>
      <w:divsChild>
        <w:div w:id="1348822989">
          <w:marLeft w:val="0"/>
          <w:marRight w:val="0"/>
          <w:marTop w:val="0"/>
          <w:marBottom w:val="0"/>
          <w:divBdr>
            <w:top w:val="none" w:sz="0" w:space="0" w:color="auto"/>
            <w:left w:val="none" w:sz="0" w:space="0" w:color="auto"/>
            <w:bottom w:val="none" w:sz="0" w:space="0" w:color="auto"/>
            <w:right w:val="none" w:sz="0" w:space="0" w:color="auto"/>
          </w:divBdr>
        </w:div>
        <w:div w:id="1249148741">
          <w:marLeft w:val="0"/>
          <w:marRight w:val="0"/>
          <w:marTop w:val="0"/>
          <w:marBottom w:val="0"/>
          <w:divBdr>
            <w:top w:val="none" w:sz="0" w:space="0" w:color="auto"/>
            <w:left w:val="none" w:sz="0" w:space="0" w:color="auto"/>
            <w:bottom w:val="none" w:sz="0" w:space="0" w:color="auto"/>
            <w:right w:val="none" w:sz="0" w:space="0" w:color="auto"/>
          </w:divBdr>
        </w:div>
        <w:div w:id="984891461">
          <w:marLeft w:val="0"/>
          <w:marRight w:val="0"/>
          <w:marTop w:val="0"/>
          <w:marBottom w:val="0"/>
          <w:divBdr>
            <w:top w:val="none" w:sz="0" w:space="0" w:color="auto"/>
            <w:left w:val="none" w:sz="0" w:space="0" w:color="auto"/>
            <w:bottom w:val="none" w:sz="0" w:space="0" w:color="auto"/>
            <w:right w:val="none" w:sz="0" w:space="0" w:color="auto"/>
          </w:divBdr>
        </w:div>
        <w:div w:id="631137622">
          <w:marLeft w:val="0"/>
          <w:marRight w:val="0"/>
          <w:marTop w:val="0"/>
          <w:marBottom w:val="0"/>
          <w:divBdr>
            <w:top w:val="none" w:sz="0" w:space="0" w:color="auto"/>
            <w:left w:val="none" w:sz="0" w:space="0" w:color="auto"/>
            <w:bottom w:val="none" w:sz="0" w:space="0" w:color="auto"/>
            <w:right w:val="none" w:sz="0" w:space="0" w:color="auto"/>
          </w:divBdr>
        </w:div>
        <w:div w:id="1242832112">
          <w:marLeft w:val="0"/>
          <w:marRight w:val="0"/>
          <w:marTop w:val="0"/>
          <w:marBottom w:val="0"/>
          <w:divBdr>
            <w:top w:val="none" w:sz="0" w:space="0" w:color="auto"/>
            <w:left w:val="none" w:sz="0" w:space="0" w:color="auto"/>
            <w:bottom w:val="none" w:sz="0" w:space="0" w:color="auto"/>
            <w:right w:val="none" w:sz="0" w:space="0" w:color="auto"/>
          </w:divBdr>
        </w:div>
        <w:div w:id="799810500">
          <w:marLeft w:val="0"/>
          <w:marRight w:val="0"/>
          <w:marTop w:val="0"/>
          <w:marBottom w:val="0"/>
          <w:divBdr>
            <w:top w:val="none" w:sz="0" w:space="0" w:color="auto"/>
            <w:left w:val="none" w:sz="0" w:space="0" w:color="auto"/>
            <w:bottom w:val="none" w:sz="0" w:space="0" w:color="auto"/>
            <w:right w:val="none" w:sz="0" w:space="0" w:color="auto"/>
          </w:divBdr>
        </w:div>
        <w:div w:id="8903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sidra.ibge.gov.br/home/pmc/brasil"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em.com.br/app/noticia/economia/2017/06/13/internas_economia,876186/anatel-setor-de-telecom-sofre-com-crise-economica-mas-esta-no-piloto.s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telebrasil.org.br/component/docman/doc_download/1862-05-2018-o-desempenho-do-setor-de-telecom-series-temporais-2017-pdf?Itemid"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pt.wikipedia.org/wiki/Vivo" TargetMode="External"/><Relationship Id="rId28" Type="http://schemas.openxmlformats.org/officeDocument/2006/relationships/hyperlink" Target="https://www.sunoresearch.com.br/artigos/faturamento-vivo/"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www.telefonica.com.br/" TargetMode="External"/><Relationship Id="rId27" Type="http://schemas.openxmlformats.org/officeDocument/2006/relationships/hyperlink" Target="https://g1.globo.com/economia/noticia/2018/08/24/telecomunicacoes-deixa-de-liderar-ranking-do-setor-de-servicos-no-brasil-aponta-ibge.ghtml"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4A63-00E5-4EBB-8DCF-652BB349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2701</Words>
  <Characters>14587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Sousa's</dc:creator>
  <cp:lastModifiedBy>PC</cp:lastModifiedBy>
  <cp:revision>13</cp:revision>
  <cp:lastPrinted>2017-12-06T23:03:00Z</cp:lastPrinted>
  <dcterms:created xsi:type="dcterms:W3CDTF">2018-10-14T18:10:00Z</dcterms:created>
  <dcterms:modified xsi:type="dcterms:W3CDTF">2018-10-14T21:19:00Z</dcterms:modified>
</cp:coreProperties>
</file>