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883" w:rsidRPr="00B67778" w:rsidRDefault="00B93883" w:rsidP="00B67778">
      <w:pPr>
        <w:spacing w:after="0" w:line="360" w:lineRule="auto"/>
        <w:jc w:val="both"/>
        <w:rPr>
          <w:rFonts w:ascii="Times New Roman" w:hAnsi="Times New Roman" w:cs="Times New Roman"/>
          <w:sz w:val="28"/>
          <w:szCs w:val="28"/>
        </w:rPr>
      </w:pPr>
      <w:r w:rsidRPr="00B93883">
        <w:rPr>
          <w:rFonts w:ascii="Times New Roman" w:hAnsi="Times New Roman" w:cs="Times New Roman"/>
          <w:b/>
          <w:sz w:val="28"/>
          <w:szCs w:val="28"/>
        </w:rPr>
        <w:t xml:space="preserve">SINOPSE DO </w:t>
      </w:r>
      <w:r w:rsidRPr="00B93883">
        <w:rPr>
          <w:rFonts w:ascii="Times New Roman" w:hAnsi="Times New Roman" w:cs="Times New Roman"/>
          <w:b/>
          <w:i/>
          <w:sz w:val="28"/>
          <w:szCs w:val="28"/>
        </w:rPr>
        <w:t>CASE</w:t>
      </w:r>
      <w:r w:rsidRPr="00B93883">
        <w:rPr>
          <w:rFonts w:ascii="Times New Roman" w:hAnsi="Times New Roman" w:cs="Times New Roman"/>
          <w:i/>
          <w:sz w:val="28"/>
          <w:szCs w:val="28"/>
        </w:rPr>
        <w:t>:</w:t>
      </w:r>
      <w:r w:rsidR="000157DD">
        <w:rPr>
          <w:rFonts w:ascii="Times New Roman" w:hAnsi="Times New Roman" w:cs="Times New Roman"/>
          <w:sz w:val="28"/>
          <w:szCs w:val="28"/>
        </w:rPr>
        <w:t xml:space="preserve"> </w:t>
      </w:r>
      <w:r w:rsidR="00BE12F7">
        <w:rPr>
          <w:rFonts w:ascii="Times New Roman" w:hAnsi="Times New Roman" w:cs="Times New Roman"/>
          <w:sz w:val="28"/>
          <w:szCs w:val="28"/>
        </w:rPr>
        <w:t>Execução por quantia certa fundada em título extrajudicial</w:t>
      </w:r>
      <w:r>
        <w:rPr>
          <w:rStyle w:val="Refdenotaderodap"/>
          <w:rFonts w:ascii="Times New Roman" w:hAnsi="Times New Roman" w:cs="Times New Roman"/>
          <w:sz w:val="28"/>
          <w:szCs w:val="28"/>
        </w:rPr>
        <w:footnoteReference w:id="1"/>
      </w:r>
    </w:p>
    <w:p w:rsidR="00B93883" w:rsidRPr="00B93883" w:rsidRDefault="00B93883" w:rsidP="00B93883">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t xml:space="preserve">                                  </w:t>
      </w:r>
      <w:r w:rsidR="0035110A">
        <w:rPr>
          <w:rFonts w:ascii="Times New Roman" w:hAnsi="Times New Roman" w:cs="Times New Roman"/>
          <w:i/>
          <w:sz w:val="24"/>
          <w:szCs w:val="24"/>
        </w:rPr>
        <w:t>Lavínia Feitosa Silva Assunção</w:t>
      </w:r>
      <w:r>
        <w:rPr>
          <w:rStyle w:val="Refdenotaderodap"/>
          <w:rFonts w:ascii="Times New Roman" w:hAnsi="Times New Roman" w:cs="Times New Roman"/>
          <w:i/>
          <w:sz w:val="24"/>
          <w:szCs w:val="24"/>
        </w:rPr>
        <w:footnoteReference w:id="2"/>
      </w:r>
    </w:p>
    <w:p w:rsidR="00B93883" w:rsidRPr="00B93883" w:rsidRDefault="00BE12F7" w:rsidP="00B93883">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t>Carlos Eduardo Cavalcanti</w:t>
      </w:r>
      <w:r w:rsidR="000157DD">
        <w:rPr>
          <w:rFonts w:ascii="Times New Roman" w:hAnsi="Times New Roman" w:cs="Times New Roman"/>
          <w:i/>
          <w:sz w:val="24"/>
          <w:szCs w:val="24"/>
        </w:rPr>
        <w:t xml:space="preserve"> </w:t>
      </w:r>
      <w:r w:rsidR="00B93883">
        <w:rPr>
          <w:rStyle w:val="Refdenotaderodap"/>
          <w:rFonts w:ascii="Times New Roman" w:hAnsi="Times New Roman" w:cs="Times New Roman"/>
          <w:i/>
          <w:sz w:val="24"/>
          <w:szCs w:val="24"/>
        </w:rPr>
        <w:footnoteReference w:id="3"/>
      </w:r>
    </w:p>
    <w:p w:rsidR="00B93883" w:rsidRPr="00B93883" w:rsidRDefault="00B93883" w:rsidP="00B93883">
      <w:pPr>
        <w:spacing w:after="0" w:line="360" w:lineRule="auto"/>
        <w:rPr>
          <w:rFonts w:ascii="Times New Roman" w:hAnsi="Times New Roman" w:cs="Times New Roman"/>
          <w:sz w:val="24"/>
          <w:szCs w:val="24"/>
        </w:rPr>
      </w:pPr>
    </w:p>
    <w:p w:rsidR="00350CD3" w:rsidRDefault="00B93883" w:rsidP="00B93883">
      <w:pPr>
        <w:spacing w:after="0" w:line="360" w:lineRule="auto"/>
        <w:rPr>
          <w:rFonts w:ascii="Times New Roman" w:hAnsi="Times New Roman" w:cs="Times New Roman"/>
          <w:b/>
          <w:sz w:val="24"/>
          <w:szCs w:val="24"/>
        </w:rPr>
      </w:pPr>
      <w:r w:rsidRPr="00B93883">
        <w:rPr>
          <w:rFonts w:ascii="Times New Roman" w:hAnsi="Times New Roman" w:cs="Times New Roman"/>
          <w:b/>
          <w:sz w:val="24"/>
          <w:szCs w:val="24"/>
        </w:rPr>
        <w:t>1 DESCRIÇÃO DO CASO</w:t>
      </w:r>
    </w:p>
    <w:p w:rsidR="002174E5" w:rsidRDefault="002C0DEB" w:rsidP="000F7F3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Calebe e Mo</w:t>
      </w:r>
      <w:r w:rsidR="00FB149A">
        <w:rPr>
          <w:rFonts w:ascii="Times New Roman" w:hAnsi="Times New Roman" w:cs="Times New Roman"/>
          <w:sz w:val="24"/>
          <w:szCs w:val="24"/>
        </w:rPr>
        <w:t xml:space="preserve">abe decidem comprar 50% das quotas da empresa </w:t>
      </w:r>
      <w:proofErr w:type="spellStart"/>
      <w:r w:rsidR="00FB149A">
        <w:rPr>
          <w:rFonts w:ascii="Times New Roman" w:hAnsi="Times New Roman" w:cs="Times New Roman"/>
          <w:sz w:val="24"/>
          <w:szCs w:val="24"/>
        </w:rPr>
        <w:t>Betsaida</w:t>
      </w:r>
      <w:proofErr w:type="spellEnd"/>
      <w:r w:rsidR="00FB149A">
        <w:rPr>
          <w:rFonts w:ascii="Times New Roman" w:hAnsi="Times New Roman" w:cs="Times New Roman"/>
          <w:sz w:val="24"/>
          <w:szCs w:val="24"/>
        </w:rPr>
        <w:t xml:space="preserve">. </w:t>
      </w:r>
      <w:r w:rsidR="00AC69E1">
        <w:rPr>
          <w:rFonts w:ascii="Times New Roman" w:hAnsi="Times New Roman" w:cs="Times New Roman"/>
          <w:sz w:val="24"/>
          <w:szCs w:val="24"/>
        </w:rPr>
        <w:t>Em fevereiro</w:t>
      </w:r>
      <w:r>
        <w:rPr>
          <w:rFonts w:ascii="Times New Roman" w:hAnsi="Times New Roman" w:cs="Times New Roman"/>
          <w:sz w:val="24"/>
          <w:szCs w:val="24"/>
        </w:rPr>
        <w:t>, assinam um Protocolo de I</w:t>
      </w:r>
      <w:r w:rsidR="00AC69E1">
        <w:rPr>
          <w:rFonts w:ascii="Times New Roman" w:hAnsi="Times New Roman" w:cs="Times New Roman"/>
          <w:sz w:val="24"/>
          <w:szCs w:val="24"/>
        </w:rPr>
        <w:t xml:space="preserve">ntenções juntamente com duas testemunhas. Durante o acordo, Calebe repassou 200 mil à concedente. Porém, ao examinar a situação contábil-financeira, percebeu que a empresa estava à beira da falência. Constatando que seria inviável seu ingresso na empresa, desiste do negócio. </w:t>
      </w:r>
      <w:proofErr w:type="spellStart"/>
      <w:r w:rsidR="00AC69E1">
        <w:rPr>
          <w:rFonts w:ascii="Times New Roman" w:hAnsi="Times New Roman" w:cs="Times New Roman"/>
          <w:sz w:val="24"/>
          <w:szCs w:val="24"/>
        </w:rPr>
        <w:t>Maabe</w:t>
      </w:r>
      <w:proofErr w:type="spellEnd"/>
      <w:r w:rsidR="00AC69E1">
        <w:rPr>
          <w:rFonts w:ascii="Times New Roman" w:hAnsi="Times New Roman" w:cs="Times New Roman"/>
          <w:sz w:val="24"/>
          <w:szCs w:val="24"/>
        </w:rPr>
        <w:t xml:space="preserve">, proprietário de 100% das quotas da empresa, entra com uma ação de execução fundada no Protocolo de Intenções. Depois de penhoras frustradas, e a entrada de um Embargo do Devedor por Calebe e </w:t>
      </w:r>
      <w:proofErr w:type="spellStart"/>
      <w:r w:rsidR="00AC69E1">
        <w:rPr>
          <w:rFonts w:ascii="Times New Roman" w:hAnsi="Times New Roman" w:cs="Times New Roman"/>
          <w:sz w:val="24"/>
          <w:szCs w:val="24"/>
        </w:rPr>
        <w:t>Raabe</w:t>
      </w:r>
      <w:proofErr w:type="spellEnd"/>
      <w:r w:rsidR="00AC69E1">
        <w:rPr>
          <w:rFonts w:ascii="Times New Roman" w:hAnsi="Times New Roman" w:cs="Times New Roman"/>
          <w:sz w:val="24"/>
          <w:szCs w:val="24"/>
        </w:rPr>
        <w:t xml:space="preserve">, o juiz decide pela suspensão da execução, alegando que o Protocolo não tem natureza executiva, e que, </w:t>
      </w:r>
      <w:proofErr w:type="spellStart"/>
      <w:r w:rsidR="00AC69E1">
        <w:rPr>
          <w:rFonts w:ascii="Times New Roman" w:hAnsi="Times New Roman" w:cs="Times New Roman"/>
          <w:sz w:val="24"/>
          <w:szCs w:val="24"/>
        </w:rPr>
        <w:t>Maabe</w:t>
      </w:r>
      <w:proofErr w:type="spellEnd"/>
      <w:r w:rsidR="00AC69E1">
        <w:rPr>
          <w:rFonts w:ascii="Times New Roman" w:hAnsi="Times New Roman" w:cs="Times New Roman"/>
          <w:sz w:val="24"/>
          <w:szCs w:val="24"/>
        </w:rPr>
        <w:t xml:space="preserve"> e </w:t>
      </w:r>
      <w:r w:rsidR="004321DB">
        <w:rPr>
          <w:rFonts w:ascii="Times New Roman" w:hAnsi="Times New Roman" w:cs="Times New Roman"/>
          <w:sz w:val="24"/>
          <w:szCs w:val="24"/>
        </w:rPr>
        <w:t>Calebe</w:t>
      </w:r>
      <w:r w:rsidR="00AC69E1">
        <w:rPr>
          <w:rFonts w:ascii="Times New Roman" w:hAnsi="Times New Roman" w:cs="Times New Roman"/>
          <w:sz w:val="24"/>
          <w:szCs w:val="24"/>
        </w:rPr>
        <w:t xml:space="preserve"> não tinham legitimidade para constarem no </w:t>
      </w:r>
      <w:r w:rsidR="00B5588D">
        <w:rPr>
          <w:rFonts w:ascii="Times New Roman" w:hAnsi="Times New Roman" w:cs="Times New Roman"/>
          <w:sz w:val="24"/>
          <w:szCs w:val="24"/>
        </w:rPr>
        <w:t>polo</w:t>
      </w:r>
      <w:r w:rsidR="00AC69E1">
        <w:rPr>
          <w:rFonts w:ascii="Times New Roman" w:hAnsi="Times New Roman" w:cs="Times New Roman"/>
          <w:sz w:val="24"/>
          <w:szCs w:val="24"/>
        </w:rPr>
        <w:t xml:space="preserve"> ativo e passivo da exe</w:t>
      </w:r>
      <w:r w:rsidR="004321DB">
        <w:rPr>
          <w:rFonts w:ascii="Times New Roman" w:hAnsi="Times New Roman" w:cs="Times New Roman"/>
          <w:sz w:val="24"/>
          <w:szCs w:val="24"/>
        </w:rPr>
        <w:t>c</w:t>
      </w:r>
      <w:r w:rsidR="00AC69E1">
        <w:rPr>
          <w:rFonts w:ascii="Times New Roman" w:hAnsi="Times New Roman" w:cs="Times New Roman"/>
          <w:sz w:val="24"/>
          <w:szCs w:val="24"/>
        </w:rPr>
        <w:t xml:space="preserve">ução. Diante disso, indaga-se e este título é </w:t>
      </w:r>
      <w:r w:rsidR="004321DB">
        <w:rPr>
          <w:rFonts w:ascii="Times New Roman" w:hAnsi="Times New Roman" w:cs="Times New Roman"/>
          <w:sz w:val="24"/>
          <w:szCs w:val="24"/>
        </w:rPr>
        <w:t>lí</w:t>
      </w:r>
      <w:r w:rsidR="00AC69E1">
        <w:rPr>
          <w:rFonts w:ascii="Times New Roman" w:hAnsi="Times New Roman" w:cs="Times New Roman"/>
          <w:sz w:val="24"/>
          <w:szCs w:val="24"/>
        </w:rPr>
        <w:t xml:space="preserve">quido, certo e exigível? </w:t>
      </w:r>
    </w:p>
    <w:p w:rsidR="004321DB" w:rsidRPr="00B67778" w:rsidRDefault="004321DB" w:rsidP="004321DB">
      <w:pPr>
        <w:spacing w:after="0" w:line="360" w:lineRule="auto"/>
        <w:jc w:val="both"/>
        <w:rPr>
          <w:rFonts w:ascii="Times New Roman" w:hAnsi="Times New Roman" w:cs="Times New Roman"/>
          <w:sz w:val="24"/>
          <w:szCs w:val="24"/>
        </w:rPr>
      </w:pPr>
    </w:p>
    <w:p w:rsidR="00C52F99" w:rsidRPr="00713B6A" w:rsidRDefault="00B93883" w:rsidP="00713B6A">
      <w:pPr>
        <w:spacing w:after="0" w:line="360" w:lineRule="auto"/>
        <w:jc w:val="both"/>
        <w:rPr>
          <w:rFonts w:ascii="Times New Roman" w:hAnsi="Times New Roman" w:cs="Times New Roman"/>
          <w:b/>
          <w:sz w:val="24"/>
          <w:szCs w:val="24"/>
        </w:rPr>
      </w:pPr>
      <w:r w:rsidRPr="00B93883">
        <w:rPr>
          <w:rFonts w:ascii="Times New Roman" w:hAnsi="Times New Roman" w:cs="Times New Roman"/>
          <w:b/>
          <w:sz w:val="24"/>
          <w:szCs w:val="24"/>
        </w:rPr>
        <w:t>2 IDENTIFICAÇÃO E ANÁLISE DO CASO</w:t>
      </w:r>
    </w:p>
    <w:p w:rsidR="000F4C80" w:rsidRDefault="00713B6A" w:rsidP="000F4C8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w:t>
      </w:r>
      <w:r w:rsidR="000F4C80">
        <w:rPr>
          <w:rFonts w:ascii="Times New Roman" w:hAnsi="Times New Roman" w:cs="Times New Roman"/>
          <w:b/>
          <w:sz w:val="24"/>
          <w:szCs w:val="24"/>
        </w:rPr>
        <w:t xml:space="preserve"> O título apontado n</w:t>
      </w:r>
      <w:r w:rsidR="00466478">
        <w:rPr>
          <w:rFonts w:ascii="Times New Roman" w:hAnsi="Times New Roman" w:cs="Times New Roman"/>
          <w:b/>
          <w:sz w:val="24"/>
          <w:szCs w:val="24"/>
        </w:rPr>
        <w:t>a inicial é líquido, certo e exi</w:t>
      </w:r>
      <w:r w:rsidR="000F4C80">
        <w:rPr>
          <w:rFonts w:ascii="Times New Roman" w:hAnsi="Times New Roman" w:cs="Times New Roman"/>
          <w:b/>
          <w:sz w:val="24"/>
          <w:szCs w:val="24"/>
        </w:rPr>
        <w:t>gível?</w:t>
      </w:r>
    </w:p>
    <w:p w:rsidR="00235F9C" w:rsidRDefault="000F4C80" w:rsidP="000F4C80">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De acordo com o novo Código de Processo Civil, em seu artigo 784, são títulos executivos extrajudiciais</w:t>
      </w:r>
      <w:r w:rsidR="00936970">
        <w:rPr>
          <w:color w:val="000000"/>
        </w:rPr>
        <w:t xml:space="preserve">: </w:t>
      </w:r>
      <w:r w:rsidR="00936970">
        <w:rPr>
          <w:rFonts w:ascii="Times New Roman" w:hAnsi="Times New Roman" w:cs="Times New Roman"/>
          <w:color w:val="000000"/>
          <w:sz w:val="24"/>
          <w:szCs w:val="24"/>
        </w:rPr>
        <w:t xml:space="preserve">“[...] II- a escritura pública ou outro documento público assinado pelo devedor; III- o documento particular assinado pelo devedor e por 2 (duas testemunhas); [...]”. </w:t>
      </w:r>
      <w:r w:rsidR="002C0DEB">
        <w:rPr>
          <w:rFonts w:ascii="Times New Roman" w:hAnsi="Times New Roman" w:cs="Times New Roman"/>
          <w:color w:val="000000"/>
          <w:sz w:val="24"/>
          <w:szCs w:val="24"/>
        </w:rPr>
        <w:t xml:space="preserve">Sendo assim, </w:t>
      </w:r>
      <w:r w:rsidR="00466478">
        <w:rPr>
          <w:rFonts w:ascii="Times New Roman" w:hAnsi="Times New Roman" w:cs="Times New Roman"/>
          <w:color w:val="000000"/>
          <w:sz w:val="24"/>
          <w:szCs w:val="24"/>
        </w:rPr>
        <w:t>identifica-se</w:t>
      </w:r>
      <w:r w:rsidR="002C0DEB">
        <w:rPr>
          <w:rFonts w:ascii="Times New Roman" w:hAnsi="Times New Roman" w:cs="Times New Roman"/>
          <w:color w:val="000000"/>
          <w:sz w:val="24"/>
          <w:szCs w:val="24"/>
        </w:rPr>
        <w:t xml:space="preserve"> que o instrumento utilizado para firmar o acordo entre Calebe e Moabe, o Protocolo de Intenções, mencionado na descrição do caso, é um título executivo extrajudicial. </w:t>
      </w:r>
    </w:p>
    <w:p w:rsidR="00466478" w:rsidRDefault="00466478" w:rsidP="000F4C80">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Entende-se que, no título executivo extrajudicial, assim como no judicial, a obrigação precisa ser líquida, certa e exigível. Quanto </w:t>
      </w:r>
      <w:r w:rsidR="0033472E">
        <w:rPr>
          <w:rFonts w:ascii="Times New Roman" w:hAnsi="Times New Roman" w:cs="Times New Roman"/>
          <w:color w:val="000000"/>
          <w:sz w:val="24"/>
          <w:szCs w:val="24"/>
        </w:rPr>
        <w:t>à certeza, é relacionada</w:t>
      </w:r>
      <w:r>
        <w:rPr>
          <w:rFonts w:ascii="Times New Roman" w:hAnsi="Times New Roman" w:cs="Times New Roman"/>
          <w:color w:val="000000"/>
          <w:sz w:val="24"/>
          <w:szCs w:val="24"/>
        </w:rPr>
        <w:t xml:space="preserve"> </w:t>
      </w:r>
      <w:r w:rsidR="0033472E">
        <w:rPr>
          <w:rFonts w:ascii="Times New Roman" w:hAnsi="Times New Roman" w:cs="Times New Roman"/>
          <w:color w:val="000000"/>
          <w:sz w:val="24"/>
          <w:szCs w:val="24"/>
        </w:rPr>
        <w:t>à</w:t>
      </w:r>
      <w:r>
        <w:rPr>
          <w:rFonts w:ascii="Times New Roman" w:hAnsi="Times New Roman" w:cs="Times New Roman"/>
          <w:color w:val="000000"/>
          <w:sz w:val="24"/>
          <w:szCs w:val="24"/>
        </w:rPr>
        <w:t xml:space="preserve"> formação da obrigação. Com a leitura do instrumento, </w:t>
      </w:r>
      <w:r w:rsidR="0033472E">
        <w:rPr>
          <w:rFonts w:ascii="Times New Roman" w:hAnsi="Times New Roman" w:cs="Times New Roman"/>
          <w:color w:val="000000"/>
          <w:sz w:val="24"/>
          <w:szCs w:val="24"/>
        </w:rPr>
        <w:t>identificam-se</w:t>
      </w:r>
      <w:r>
        <w:rPr>
          <w:rFonts w:ascii="Times New Roman" w:hAnsi="Times New Roman" w:cs="Times New Roman"/>
          <w:color w:val="000000"/>
          <w:sz w:val="24"/>
          <w:szCs w:val="24"/>
        </w:rPr>
        <w:t xml:space="preserve"> os sujeitos, sua forma e o objeto da </w:t>
      </w:r>
      <w:r w:rsidR="0033472E">
        <w:rPr>
          <w:rFonts w:ascii="Times New Roman" w:hAnsi="Times New Roman" w:cs="Times New Roman"/>
          <w:color w:val="000000"/>
          <w:sz w:val="24"/>
          <w:szCs w:val="24"/>
        </w:rPr>
        <w:t>prestação (MARINONI, p. 442). Sendo assim, constata-se a certeza do Protocolo de Intenção, pois nele estão contidos os contornos da obrigação assumida.</w:t>
      </w:r>
    </w:p>
    <w:p w:rsidR="0033472E" w:rsidRDefault="0033472E" w:rsidP="000F4C80">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Quanto à liquidez:</w:t>
      </w:r>
    </w:p>
    <w:p w:rsidR="008F26E5" w:rsidRDefault="00092433" w:rsidP="0033472E">
      <w:pPr>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Quanto</w:t>
      </w:r>
      <w:r w:rsidR="0033472E" w:rsidRPr="0033472E">
        <w:rPr>
          <w:rFonts w:ascii="Times New Roman" w:hAnsi="Times New Roman" w:cs="Times New Roman"/>
          <w:color w:val="000000"/>
          <w:sz w:val="20"/>
          <w:szCs w:val="20"/>
        </w:rPr>
        <w:t xml:space="preserve"> à liquidez do título extrajudicial</w:t>
      </w:r>
      <w:r>
        <w:rPr>
          <w:rFonts w:ascii="Times New Roman" w:hAnsi="Times New Roman" w:cs="Times New Roman"/>
          <w:color w:val="000000"/>
          <w:sz w:val="20"/>
          <w:szCs w:val="20"/>
        </w:rPr>
        <w:t xml:space="preserve">, é usual afirmar que estes títulos devem ser líquidos em sua origem, não admitindo procedimento ulterior de liquidação. Em rega, esses títulos devem expressar, imediata e diretamente, o valor da prestação devida ou ao menos indicar os critérios para a pronta definição desses elementos. Assim, em princípio, ou estes títulos apresentam de maneira clara a importância devida ou apontam instrumentos claros e objetivos para a obtenção </w:t>
      </w:r>
      <w:r w:rsidR="008F26E5">
        <w:rPr>
          <w:rFonts w:ascii="Times New Roman" w:hAnsi="Times New Roman" w:cs="Times New Roman"/>
          <w:color w:val="000000"/>
          <w:sz w:val="20"/>
          <w:szCs w:val="20"/>
        </w:rPr>
        <w:t xml:space="preserve">deste montante. A necessidade de submeter o título a este procedimento – desde que simples e direto- para a apuração do </w:t>
      </w:r>
      <w:r w:rsidR="008F26E5">
        <w:rPr>
          <w:rFonts w:ascii="Times New Roman" w:hAnsi="Times New Roman" w:cs="Times New Roman"/>
          <w:i/>
          <w:color w:val="000000"/>
          <w:sz w:val="20"/>
          <w:szCs w:val="20"/>
        </w:rPr>
        <w:t>quantum debeatur</w:t>
      </w:r>
      <w:r w:rsidR="008F26E5">
        <w:rPr>
          <w:rFonts w:ascii="Times New Roman" w:hAnsi="Times New Roman" w:cs="Times New Roman"/>
          <w:color w:val="000000"/>
          <w:sz w:val="20"/>
          <w:szCs w:val="20"/>
        </w:rPr>
        <w:t xml:space="preserve"> não lhe retira a liquidez ou, consequência, a sua exequibilidade. (MARINONI, p. 443)</w:t>
      </w:r>
    </w:p>
    <w:p w:rsidR="008F26E5" w:rsidRDefault="008F26E5" w:rsidP="008F26E5">
      <w:pPr>
        <w:spacing w:after="0" w:line="360" w:lineRule="auto"/>
        <w:ind w:firstLine="567"/>
        <w:jc w:val="both"/>
        <w:rPr>
          <w:rFonts w:ascii="Times New Roman" w:hAnsi="Times New Roman" w:cs="Times New Roman"/>
          <w:color w:val="000000"/>
          <w:sz w:val="24"/>
          <w:szCs w:val="24"/>
        </w:rPr>
      </w:pPr>
    </w:p>
    <w:p w:rsidR="0033472E" w:rsidRDefault="008F26E5" w:rsidP="008F26E5">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Como explicita</w:t>
      </w:r>
      <w:r w:rsidR="00051125">
        <w:rPr>
          <w:rFonts w:ascii="Times New Roman" w:hAnsi="Times New Roman" w:cs="Times New Roman"/>
          <w:color w:val="000000"/>
          <w:sz w:val="24"/>
          <w:szCs w:val="24"/>
        </w:rPr>
        <w:t xml:space="preserve"> o doutrinador</w:t>
      </w:r>
      <w:r>
        <w:rPr>
          <w:rFonts w:ascii="Times New Roman" w:hAnsi="Times New Roman" w:cs="Times New Roman"/>
          <w:color w:val="000000"/>
          <w:sz w:val="24"/>
          <w:szCs w:val="24"/>
        </w:rPr>
        <w:t xml:space="preserve"> Marinoni, a liquidez se refere ao valor, ou caso não mencionado, é necessária a apuração dessa quantia ilíquida, para que se torne líquida, e então preencha o requisito do título. De acordo com o caso descrito, identifica-se a quantia acordada entre Calebe e Moabe, que </w:t>
      </w:r>
      <w:r w:rsidR="00051125">
        <w:rPr>
          <w:rFonts w:ascii="Times New Roman" w:hAnsi="Times New Roman" w:cs="Times New Roman"/>
          <w:color w:val="000000"/>
          <w:sz w:val="24"/>
          <w:szCs w:val="24"/>
        </w:rPr>
        <w:t>se trata</w:t>
      </w:r>
      <w:r>
        <w:rPr>
          <w:rFonts w:ascii="Times New Roman" w:hAnsi="Times New Roman" w:cs="Times New Roman"/>
          <w:color w:val="000000"/>
          <w:sz w:val="24"/>
          <w:szCs w:val="24"/>
        </w:rPr>
        <w:t xml:space="preserve"> de R$ 1.000.000,00 (um milhão de reais), sendo que R$ 200.000,00 já </w:t>
      </w:r>
      <w:r w:rsidR="00051125">
        <w:rPr>
          <w:rFonts w:ascii="Times New Roman" w:hAnsi="Times New Roman" w:cs="Times New Roman"/>
          <w:color w:val="000000"/>
          <w:sz w:val="24"/>
          <w:szCs w:val="24"/>
        </w:rPr>
        <w:t>haviam sido</w:t>
      </w:r>
      <w:r>
        <w:rPr>
          <w:rFonts w:ascii="Times New Roman" w:hAnsi="Times New Roman" w:cs="Times New Roman"/>
          <w:color w:val="000000"/>
          <w:sz w:val="24"/>
          <w:szCs w:val="24"/>
        </w:rPr>
        <w:t xml:space="preserve"> pagos por Calebe, antes da desistência do acordo feito por eles. </w:t>
      </w:r>
    </w:p>
    <w:p w:rsidR="00051125" w:rsidRDefault="00D7512F" w:rsidP="008F26E5">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 por fim, quanto à exigibilidade, “ela estará presente no momento em que for possível impor ao executado a prestação constante do título” (MARINONI, p. 442). Ou seja, o devedor deixa de cumprir sua obrigação em tempo hábil, e torna-se inadimplente, permitindo que, o credor entre com ação de execução para o cumprimento da obrigação. </w:t>
      </w:r>
    </w:p>
    <w:p w:rsidR="00C4697B" w:rsidRDefault="00C4697B" w:rsidP="008F26E5">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 caso em questão, primordialmente, vale destacar o enunciado do artigo 206, do Código Civil: </w:t>
      </w:r>
    </w:p>
    <w:p w:rsidR="00C4697B" w:rsidRDefault="00C4697B" w:rsidP="00C4697B">
      <w:pPr>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Prescreve: </w:t>
      </w:r>
    </w:p>
    <w:p w:rsidR="00C4697B" w:rsidRDefault="00C4697B" w:rsidP="00C4697B">
      <w:pPr>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§5º- Em cinco anos: I- a pretensão de cobrança de dívidas líquidas constantes de instrumento público ou particular; II- a pretensão dos profissionais liberais em geral, procuradores judiciais, curadores e professores pelos seus honorários, contado o prazo da conclusão dos serviços, da cessação dos respectivos contratos ou mandato; III- a pretensão do vencedor para haver do vencido o que despendeu em juízo. </w:t>
      </w:r>
      <w:r w:rsidR="00C25FCF">
        <w:rPr>
          <w:rFonts w:ascii="Times New Roman" w:hAnsi="Times New Roman" w:cs="Times New Roman"/>
          <w:color w:val="000000"/>
          <w:sz w:val="20"/>
          <w:szCs w:val="20"/>
        </w:rPr>
        <w:t>(BRASIL, 2002)</w:t>
      </w:r>
    </w:p>
    <w:p w:rsidR="00C4697B" w:rsidRDefault="00C4697B" w:rsidP="00C4697B">
      <w:pPr>
        <w:spacing w:after="0" w:line="360" w:lineRule="auto"/>
        <w:ind w:firstLine="567"/>
        <w:jc w:val="both"/>
        <w:rPr>
          <w:rFonts w:ascii="Times New Roman" w:hAnsi="Times New Roman" w:cs="Times New Roman"/>
          <w:color w:val="000000"/>
          <w:sz w:val="24"/>
          <w:szCs w:val="24"/>
        </w:rPr>
      </w:pPr>
    </w:p>
    <w:p w:rsidR="00C4697B" w:rsidRPr="00C4697B" w:rsidRDefault="00C4697B" w:rsidP="00C4697B">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Sendo assim, constata-se que o prazo para a execução do título fundado no Protocolo de Intenções prescreveu. Pois a assinatura do instrumento ocorreu em Fevereiro de 2010, </w:t>
      </w:r>
      <w:r w:rsidR="00742B63">
        <w:rPr>
          <w:rFonts w:ascii="Times New Roman" w:hAnsi="Times New Roman" w:cs="Times New Roman"/>
          <w:color w:val="000000"/>
          <w:sz w:val="24"/>
          <w:szCs w:val="24"/>
        </w:rPr>
        <w:t xml:space="preserve">e a ação foi ajuizada em 18 de março de 2016. Passado 5 anos, o titulo prescreveu, de acordo com Código Civil. Sendo assim, o título extrajudicial não apresenta os requisitos necessários. </w:t>
      </w:r>
    </w:p>
    <w:p w:rsidR="00051125" w:rsidRDefault="00742B63" w:rsidP="00742B63">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 PERGUNTAS SECUNDÁRIAS</w:t>
      </w:r>
    </w:p>
    <w:p w:rsidR="00742B63" w:rsidRDefault="00742B63" w:rsidP="00742B63">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3.1 </w:t>
      </w:r>
      <w:r w:rsidRPr="00742B63">
        <w:rPr>
          <w:rFonts w:ascii="Times New Roman" w:hAnsi="Times New Roman" w:cs="Times New Roman"/>
          <w:b/>
          <w:color w:val="000000"/>
          <w:sz w:val="24"/>
          <w:szCs w:val="24"/>
        </w:rPr>
        <w:t>O princípio do devido processo legal foi observado no feito?</w:t>
      </w:r>
    </w:p>
    <w:p w:rsidR="003A4441" w:rsidRDefault="003A4441" w:rsidP="003A4441">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princípio do devido processo legal não foi obedecido no caso em questão. Primeiramente, expõe a Constituição Federal, em seu artigo 5, inciso LIV: “ninguém será privado de sua liberdade ou de seus bens sem o devido processo legal”. Em conformidade, ordena o Código de Processo </w:t>
      </w:r>
      <w:r w:rsidR="00B5588D">
        <w:rPr>
          <w:rFonts w:ascii="Times New Roman" w:hAnsi="Times New Roman" w:cs="Times New Roman"/>
          <w:color w:val="000000"/>
          <w:sz w:val="24"/>
          <w:szCs w:val="24"/>
        </w:rPr>
        <w:t>Civil</w:t>
      </w:r>
      <w:r>
        <w:rPr>
          <w:rFonts w:ascii="Times New Roman" w:hAnsi="Times New Roman" w:cs="Times New Roman"/>
          <w:color w:val="000000"/>
          <w:sz w:val="24"/>
          <w:szCs w:val="24"/>
        </w:rPr>
        <w:t xml:space="preserve">, em seu artigo 332, §1: “o juiz também poderá julgar </w:t>
      </w:r>
      <w:r>
        <w:rPr>
          <w:rFonts w:ascii="Times New Roman" w:hAnsi="Times New Roman" w:cs="Times New Roman"/>
          <w:color w:val="000000"/>
          <w:sz w:val="24"/>
          <w:szCs w:val="24"/>
        </w:rPr>
        <w:lastRenderedPageBreak/>
        <w:t xml:space="preserve">liminarmente improcedente o pedido se verificar, desde logo, a ocorrência de decadência ou de prescrição”. </w:t>
      </w:r>
    </w:p>
    <w:p w:rsidR="003A4441" w:rsidRPr="003A4441" w:rsidRDefault="003A4441" w:rsidP="003A4441">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Observado esses dois pontos, e contextualizando com o caso em questão, observa-se que foi ferido o princípio do devido processo legal, uma vez que o título já estava prescrito. Sendo assim, o juiz poderia ter indeferido o pedido liminarmente, porém, realizou tanto a penhora on-line, quanto a tentativa de penhora dos bens do devedor. </w:t>
      </w:r>
    </w:p>
    <w:p w:rsidR="00742B63" w:rsidRDefault="00742B63" w:rsidP="00742B63">
      <w:pPr>
        <w:spacing w:after="0" w:line="360" w:lineRule="auto"/>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 xml:space="preserve">3.2 </w:t>
      </w:r>
      <w:r w:rsidRPr="00742B63">
        <w:rPr>
          <w:rFonts w:ascii="Times New Roman" w:hAnsi="Times New Roman" w:cs="Times New Roman"/>
          <w:b/>
          <w:color w:val="000000"/>
          <w:sz w:val="24"/>
          <w:szCs w:val="24"/>
        </w:rPr>
        <w:t>Seria</w:t>
      </w:r>
      <w:proofErr w:type="gramEnd"/>
      <w:r w:rsidRPr="00742B63">
        <w:rPr>
          <w:rFonts w:ascii="Times New Roman" w:hAnsi="Times New Roman" w:cs="Times New Roman"/>
          <w:b/>
          <w:color w:val="000000"/>
          <w:sz w:val="24"/>
          <w:szCs w:val="24"/>
        </w:rPr>
        <w:t xml:space="preserve"> possível a penhora de direitos do devedor sobre bem financiado via contrat</w:t>
      </w:r>
      <w:r>
        <w:rPr>
          <w:rFonts w:ascii="Times New Roman" w:hAnsi="Times New Roman" w:cs="Times New Roman"/>
          <w:b/>
          <w:color w:val="000000"/>
          <w:sz w:val="24"/>
          <w:szCs w:val="24"/>
        </w:rPr>
        <w:t xml:space="preserve">o de alienação fiduciária? Caso </w:t>
      </w:r>
      <w:r w:rsidRPr="00742B63">
        <w:rPr>
          <w:rFonts w:ascii="Times New Roman" w:hAnsi="Times New Roman" w:cs="Times New Roman"/>
          <w:b/>
          <w:color w:val="000000"/>
          <w:sz w:val="24"/>
          <w:szCs w:val="24"/>
        </w:rPr>
        <w:t>positivo, qual a medida cabível em face da decisão de indeferimento da penhora?</w:t>
      </w:r>
    </w:p>
    <w:p w:rsidR="00C25FCF" w:rsidRDefault="00C25FCF" w:rsidP="00C25FCF">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De acordo com o artigo 835, do Código de Processo Civil, é possível a penhora de direitos do devedor sobre bem financiado via contrato de alienação fiduciária. Assim expõe:</w:t>
      </w:r>
    </w:p>
    <w:p w:rsidR="00FC579C" w:rsidRDefault="00C25FCF" w:rsidP="00ED3EF9">
      <w:pPr>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A penhora observará, preferencialmente, a seguinte ordem: I- dinheiro, em espécie ou em depósito ou aplicação em instituição financeira; [...] §2º Para fins de substituição da penhora, equiparam-se a dinheiro a fiança bancária e o seguro garantia judicial, desde que em valor não inferior ao do débito constante da inicial, acrescido de trinta por cento. (BRASIL, 2015)</w:t>
      </w:r>
    </w:p>
    <w:p w:rsidR="005A341C" w:rsidRDefault="005A341C" w:rsidP="005A341C">
      <w:pPr>
        <w:spacing w:after="0" w:line="240" w:lineRule="auto"/>
        <w:jc w:val="both"/>
        <w:rPr>
          <w:rFonts w:ascii="Times New Roman" w:hAnsi="Times New Roman" w:cs="Times New Roman"/>
          <w:color w:val="000000"/>
          <w:sz w:val="20"/>
          <w:szCs w:val="20"/>
        </w:rPr>
      </w:pPr>
    </w:p>
    <w:p w:rsidR="005A341C" w:rsidRPr="005A341C" w:rsidRDefault="005A341C" w:rsidP="005A341C">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Contra o indeferimento da penhora, cabe agravo de instrumento. Pois, conforme expressa o artigo 1015, do Código de Processo Civil, cabe agravo de instrumento em: </w:t>
      </w:r>
      <w:r w:rsidRPr="005A341C">
        <w:rPr>
          <w:rFonts w:ascii="Times New Roman" w:hAnsi="Times New Roman" w:cs="Times New Roman"/>
          <w:sz w:val="24"/>
          <w:szCs w:val="24"/>
        </w:rPr>
        <w:t>“</w:t>
      </w:r>
      <w:r w:rsidRPr="005A341C">
        <w:rPr>
          <w:rFonts w:ascii="Times New Roman" w:hAnsi="Times New Roman" w:cs="Times New Roman"/>
          <w:spacing w:val="3"/>
          <w:sz w:val="24"/>
          <w:szCs w:val="24"/>
          <w:shd w:val="clear" w:color="auto" w:fill="FFFFFF"/>
        </w:rPr>
        <w:t>decisões interlocutórias proferidas nas fases de liquidação e de cumprimento de sentença e no processo de execução”</w:t>
      </w:r>
      <w:r>
        <w:rPr>
          <w:rFonts w:ascii="Times New Roman" w:hAnsi="Times New Roman" w:cs="Times New Roman"/>
          <w:spacing w:val="3"/>
          <w:sz w:val="24"/>
          <w:szCs w:val="24"/>
          <w:shd w:val="clear" w:color="auto" w:fill="FFFFFF"/>
        </w:rPr>
        <w:t xml:space="preserve"> (BRASIL, 2015). </w:t>
      </w:r>
    </w:p>
    <w:p w:rsidR="00742B63" w:rsidRDefault="00742B63" w:rsidP="00742B63">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3.3</w:t>
      </w:r>
      <w:r w:rsidRPr="00742B63">
        <w:rPr>
          <w:rFonts w:ascii="Times New Roman" w:hAnsi="Times New Roman" w:cs="Times New Roman"/>
          <w:b/>
          <w:color w:val="000000"/>
          <w:sz w:val="24"/>
          <w:szCs w:val="24"/>
        </w:rPr>
        <w:t xml:space="preserve"> Qual </w:t>
      </w:r>
      <w:proofErr w:type="gramStart"/>
      <w:r w:rsidRPr="00742B63">
        <w:rPr>
          <w:rFonts w:ascii="Times New Roman" w:hAnsi="Times New Roman" w:cs="Times New Roman"/>
          <w:b/>
          <w:color w:val="000000"/>
          <w:sz w:val="24"/>
          <w:szCs w:val="24"/>
        </w:rPr>
        <w:t>o(</w:t>
      </w:r>
      <w:proofErr w:type="gramEnd"/>
      <w:r w:rsidRPr="00742B63">
        <w:rPr>
          <w:rFonts w:ascii="Times New Roman" w:hAnsi="Times New Roman" w:cs="Times New Roman"/>
          <w:b/>
          <w:color w:val="000000"/>
          <w:sz w:val="24"/>
          <w:szCs w:val="24"/>
        </w:rPr>
        <w:t xml:space="preserve">s) prazo(s) </w:t>
      </w:r>
      <w:r w:rsidR="00847B00" w:rsidRPr="00742B63">
        <w:rPr>
          <w:rFonts w:ascii="Times New Roman" w:hAnsi="Times New Roman" w:cs="Times New Roman"/>
          <w:b/>
          <w:color w:val="000000"/>
          <w:sz w:val="24"/>
          <w:szCs w:val="24"/>
        </w:rPr>
        <w:t>prescricional (</w:t>
      </w:r>
      <w:r w:rsidRPr="00742B63">
        <w:rPr>
          <w:rFonts w:ascii="Times New Roman" w:hAnsi="Times New Roman" w:cs="Times New Roman"/>
          <w:b/>
          <w:color w:val="000000"/>
          <w:sz w:val="24"/>
          <w:szCs w:val="24"/>
        </w:rPr>
        <w:t>ais) aplicáveis?</w:t>
      </w:r>
    </w:p>
    <w:p w:rsidR="003A4441" w:rsidRDefault="003A4441" w:rsidP="003A4441">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Quanto aos prazos, para a execução do título, aplica-se o artigo 204, do novo C</w:t>
      </w:r>
      <w:r w:rsidR="00847B00">
        <w:rPr>
          <w:rFonts w:ascii="Times New Roman" w:hAnsi="Times New Roman" w:cs="Times New Roman"/>
          <w:color w:val="000000"/>
          <w:sz w:val="24"/>
          <w:szCs w:val="24"/>
        </w:rPr>
        <w:t>ódigo</w:t>
      </w:r>
      <w:r>
        <w:rPr>
          <w:rFonts w:ascii="Times New Roman" w:hAnsi="Times New Roman" w:cs="Times New Roman"/>
          <w:color w:val="000000"/>
          <w:sz w:val="24"/>
          <w:szCs w:val="24"/>
        </w:rPr>
        <w:t xml:space="preserve"> Civil, que legisla que: </w:t>
      </w:r>
    </w:p>
    <w:p w:rsidR="003A4441" w:rsidRDefault="003A4441" w:rsidP="003A4441">
      <w:pPr>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Prescreve: </w:t>
      </w:r>
    </w:p>
    <w:p w:rsidR="00847B00" w:rsidRPr="00E80FAE" w:rsidRDefault="003A4441" w:rsidP="00E80FAE">
      <w:pPr>
        <w:spacing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§5º- Em cinco anos: I- a pretensão de cobrança de dívidas líquidas constantes de instrumento público ou particular; II- a pretensão dos profissionais liberais em geral, procuradores judiciais, curadores e professores pelos seus honorários, contado o prazo da conclusão dos serviços, da cessação dos respectivos contratos ou mandato; III- a pretensão do vencedor para haver do vencido o que despendeu em juízo. </w:t>
      </w:r>
      <w:r w:rsidR="00C25FCF">
        <w:rPr>
          <w:rFonts w:ascii="Times New Roman" w:hAnsi="Times New Roman" w:cs="Times New Roman"/>
          <w:color w:val="000000"/>
          <w:sz w:val="20"/>
          <w:szCs w:val="20"/>
        </w:rPr>
        <w:t>(BRASIL, 2002)</w:t>
      </w:r>
    </w:p>
    <w:p w:rsidR="003A4441" w:rsidRDefault="00847B00" w:rsidP="003A4441">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Por se tratar de um Protocolo de Intenções, que no caso, é um instrumento particular, o prazo para o credor ingressar em juízo, e exigir o cumprimento da obrigação, é de 5 (cinco) anos. </w:t>
      </w:r>
    </w:p>
    <w:p w:rsidR="00847B00" w:rsidRDefault="00847B00" w:rsidP="003A4441">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Quanto à realização da penhora, de acordo com o artigo 829, do Código de Processo Civil:</w:t>
      </w:r>
    </w:p>
    <w:p w:rsidR="00847B00" w:rsidRPr="00847B00" w:rsidRDefault="00847B00" w:rsidP="00E80FAE">
      <w:pPr>
        <w:pStyle w:val="paragraph"/>
        <w:spacing w:before="0" w:beforeAutospacing="0" w:after="0" w:afterAutospacing="0"/>
        <w:ind w:left="2268"/>
        <w:jc w:val="both"/>
        <w:rPr>
          <w:sz w:val="20"/>
          <w:szCs w:val="20"/>
        </w:rPr>
      </w:pPr>
      <w:r w:rsidRPr="00847B00">
        <w:rPr>
          <w:sz w:val="20"/>
          <w:szCs w:val="20"/>
        </w:rPr>
        <w:t>O executado será citado para pagar a dívida no prazo de 3 (três) dias, contado da citação.</w:t>
      </w:r>
      <w:r w:rsidR="00E80FAE">
        <w:rPr>
          <w:sz w:val="20"/>
          <w:szCs w:val="20"/>
        </w:rPr>
        <w:t xml:space="preserve"> </w:t>
      </w:r>
      <w:r w:rsidRPr="00847B00">
        <w:rPr>
          <w:sz w:val="20"/>
          <w:szCs w:val="20"/>
        </w:rPr>
        <w:t>§ 1º Do mandado de citação constarão, também, a ordem de penhora e a avaliação a serem cumpridas pelo oficial de justiça tão logo verificado o não pagamento no prazo assinalado, de tudo lavrando-se auto, com intimação do executado.</w:t>
      </w:r>
    </w:p>
    <w:p w:rsidR="00847B00" w:rsidRPr="00E80FAE" w:rsidRDefault="00847B00" w:rsidP="00E80FAE">
      <w:pPr>
        <w:pStyle w:val="paragraph"/>
        <w:spacing w:before="0" w:beforeAutospacing="0" w:after="0" w:afterAutospacing="0"/>
        <w:ind w:left="2268"/>
        <w:jc w:val="both"/>
        <w:rPr>
          <w:sz w:val="20"/>
          <w:szCs w:val="20"/>
        </w:rPr>
      </w:pPr>
      <w:r w:rsidRPr="00847B00">
        <w:rPr>
          <w:sz w:val="20"/>
          <w:szCs w:val="20"/>
        </w:rPr>
        <w:lastRenderedPageBreak/>
        <w:t>§ 2º A penhora recairá sobre os bens indicados pelo exequente, salvo se outros forem indicados pelo executado e aceitos pelo juiz, mediante demonstração de que a constrição proposta lhe será menos onerosa e não trará prejuízo ao exequente.</w:t>
      </w:r>
      <w:r w:rsidR="00C25FCF">
        <w:rPr>
          <w:sz w:val="20"/>
          <w:szCs w:val="20"/>
        </w:rPr>
        <w:t xml:space="preserve"> (BRASIL, 2015)</w:t>
      </w:r>
    </w:p>
    <w:p w:rsidR="003A4441" w:rsidRPr="00847B00" w:rsidRDefault="00847B00" w:rsidP="00847B00">
      <w:pPr>
        <w:pStyle w:val="paragraph"/>
        <w:spacing w:before="0" w:beforeAutospacing="0" w:after="0" w:afterAutospacing="0" w:line="360" w:lineRule="auto"/>
        <w:ind w:firstLine="567"/>
        <w:jc w:val="both"/>
      </w:pPr>
      <w:r w:rsidRPr="00847B00">
        <w:t xml:space="preserve">Ou seja, o executado será citado para o cumprimento da obrigação, caso descumpra, o prazo para a realização da penhora, é imediato. </w:t>
      </w:r>
    </w:p>
    <w:p w:rsidR="00742B63" w:rsidRDefault="00742B63" w:rsidP="00742B63">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3.4 </w:t>
      </w:r>
      <w:r w:rsidRPr="00742B63">
        <w:rPr>
          <w:rFonts w:ascii="Times New Roman" w:hAnsi="Times New Roman" w:cs="Times New Roman"/>
          <w:b/>
          <w:color w:val="000000"/>
          <w:sz w:val="24"/>
          <w:szCs w:val="24"/>
        </w:rPr>
        <w:t>Quais partes envolvidas possuem legitimidade ad causam para a execução e para os embargos?</w:t>
      </w:r>
    </w:p>
    <w:p w:rsidR="00ED3EF9" w:rsidRDefault="00ED3EF9" w:rsidP="00E80FAE">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Legitimidade ad causam</w:t>
      </w:r>
      <w:r w:rsidR="00A47C9A">
        <w:rPr>
          <w:rFonts w:ascii="Times New Roman" w:hAnsi="Times New Roman" w:cs="Times New Roman"/>
          <w:color w:val="000000"/>
          <w:sz w:val="24"/>
          <w:szCs w:val="24"/>
        </w:rPr>
        <w:t xml:space="preserve"> consiste na condição de ação, ou seja, legitimidade para propor ação. </w:t>
      </w:r>
      <w:r w:rsidR="00681E06">
        <w:rPr>
          <w:rFonts w:ascii="Times New Roman" w:hAnsi="Times New Roman" w:cs="Times New Roman"/>
          <w:color w:val="000000"/>
          <w:sz w:val="24"/>
          <w:szCs w:val="24"/>
        </w:rPr>
        <w:t xml:space="preserve">Segundo decisão do juiz, </w:t>
      </w:r>
      <w:proofErr w:type="spellStart"/>
      <w:r w:rsidR="00681E06">
        <w:rPr>
          <w:rFonts w:ascii="Times New Roman" w:hAnsi="Times New Roman" w:cs="Times New Roman"/>
          <w:color w:val="000000"/>
          <w:sz w:val="24"/>
          <w:szCs w:val="24"/>
        </w:rPr>
        <w:t>Betsaida</w:t>
      </w:r>
      <w:proofErr w:type="spellEnd"/>
      <w:r w:rsidR="00681E06">
        <w:rPr>
          <w:rFonts w:ascii="Times New Roman" w:hAnsi="Times New Roman" w:cs="Times New Roman"/>
          <w:color w:val="000000"/>
          <w:sz w:val="24"/>
          <w:szCs w:val="24"/>
        </w:rPr>
        <w:t xml:space="preserve"> e </w:t>
      </w:r>
      <w:proofErr w:type="spellStart"/>
      <w:r w:rsidR="00681E06">
        <w:rPr>
          <w:rFonts w:ascii="Times New Roman" w:hAnsi="Times New Roman" w:cs="Times New Roman"/>
          <w:color w:val="000000"/>
          <w:sz w:val="24"/>
          <w:szCs w:val="24"/>
        </w:rPr>
        <w:t>Raabe</w:t>
      </w:r>
      <w:proofErr w:type="spellEnd"/>
      <w:r w:rsidR="00681E06">
        <w:rPr>
          <w:rFonts w:ascii="Times New Roman" w:hAnsi="Times New Roman" w:cs="Times New Roman"/>
          <w:color w:val="000000"/>
          <w:sz w:val="24"/>
          <w:szCs w:val="24"/>
        </w:rPr>
        <w:t xml:space="preserve"> não tem legitimidade para figurarem no polo ativo e passivo, respectivamente. </w:t>
      </w:r>
      <w:r>
        <w:rPr>
          <w:rFonts w:ascii="Times New Roman" w:hAnsi="Times New Roman" w:cs="Times New Roman"/>
          <w:color w:val="000000"/>
          <w:sz w:val="24"/>
          <w:szCs w:val="24"/>
        </w:rPr>
        <w:t xml:space="preserve">De fato, </w:t>
      </w:r>
      <w:proofErr w:type="spellStart"/>
      <w:r>
        <w:rPr>
          <w:rFonts w:ascii="Times New Roman" w:hAnsi="Times New Roman" w:cs="Times New Roman"/>
          <w:color w:val="000000"/>
          <w:sz w:val="24"/>
          <w:szCs w:val="24"/>
        </w:rPr>
        <w:t>Betsaida</w:t>
      </w:r>
      <w:proofErr w:type="spellEnd"/>
      <w:r>
        <w:rPr>
          <w:rFonts w:ascii="Times New Roman" w:hAnsi="Times New Roman" w:cs="Times New Roman"/>
          <w:color w:val="000000"/>
          <w:sz w:val="24"/>
          <w:szCs w:val="24"/>
        </w:rPr>
        <w:t xml:space="preserve"> não possui legitimidade ad processum para figurar no polo ativo, porém possui legitimidade ad causam. Acerca disso, deverá ser representada, conforme expõe artigo 75, inciso VII do Código de Processo Civil: “Serão representados em juízo, ativa e passivamente: VIII- a pessoa jurídica, por quem os respectivos atos constitutivos designaram ou, não havendo essa designação, por seus diretores.” (BRASIL, 2015). Sendo assim, identifica-se que, </w:t>
      </w:r>
      <w:proofErr w:type="spellStart"/>
      <w:r>
        <w:rPr>
          <w:rFonts w:ascii="Times New Roman" w:hAnsi="Times New Roman" w:cs="Times New Roman"/>
          <w:color w:val="000000"/>
          <w:sz w:val="24"/>
          <w:szCs w:val="24"/>
        </w:rPr>
        <w:t>Moabe</w:t>
      </w:r>
      <w:proofErr w:type="spellEnd"/>
      <w:r>
        <w:rPr>
          <w:rFonts w:ascii="Times New Roman" w:hAnsi="Times New Roman" w:cs="Times New Roman"/>
          <w:color w:val="000000"/>
          <w:sz w:val="24"/>
          <w:szCs w:val="24"/>
        </w:rPr>
        <w:t xml:space="preserve">, representante de </w:t>
      </w:r>
      <w:proofErr w:type="spellStart"/>
      <w:r>
        <w:rPr>
          <w:rFonts w:ascii="Times New Roman" w:hAnsi="Times New Roman" w:cs="Times New Roman"/>
          <w:color w:val="000000"/>
          <w:sz w:val="24"/>
          <w:szCs w:val="24"/>
        </w:rPr>
        <w:t>Betsaida</w:t>
      </w:r>
      <w:proofErr w:type="spellEnd"/>
      <w:r>
        <w:rPr>
          <w:rFonts w:ascii="Times New Roman" w:hAnsi="Times New Roman" w:cs="Times New Roman"/>
          <w:color w:val="000000"/>
          <w:sz w:val="24"/>
          <w:szCs w:val="24"/>
        </w:rPr>
        <w:t xml:space="preserve">, possui legitimidade ad causam e ad processum para figurar no polo ativo da ação. </w:t>
      </w:r>
    </w:p>
    <w:p w:rsidR="00847B00" w:rsidRPr="00ED3EF9" w:rsidRDefault="00ED3EF9" w:rsidP="00904695">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00904695">
        <w:rPr>
          <w:rFonts w:ascii="Times New Roman" w:hAnsi="Times New Roman" w:cs="Times New Roman"/>
          <w:color w:val="000000"/>
          <w:sz w:val="24"/>
          <w:szCs w:val="24"/>
        </w:rPr>
        <w:t xml:space="preserve">m relação a </w:t>
      </w:r>
      <w:proofErr w:type="spellStart"/>
      <w:r w:rsidR="00904695">
        <w:rPr>
          <w:rFonts w:ascii="Times New Roman" w:hAnsi="Times New Roman" w:cs="Times New Roman"/>
          <w:color w:val="000000"/>
          <w:sz w:val="24"/>
          <w:szCs w:val="24"/>
        </w:rPr>
        <w:t>Raabe</w:t>
      </w:r>
      <w:proofErr w:type="spellEnd"/>
      <w:r w:rsidR="00904695">
        <w:rPr>
          <w:rFonts w:ascii="Times New Roman" w:hAnsi="Times New Roman" w:cs="Times New Roman"/>
          <w:color w:val="000000"/>
          <w:sz w:val="24"/>
          <w:szCs w:val="24"/>
        </w:rPr>
        <w:t xml:space="preserve">, por ser casada com o regime de comunhão de bens, mesmo sua assinatura tenha sido para mera outorga, </w:t>
      </w:r>
      <w:r>
        <w:rPr>
          <w:rFonts w:ascii="Times New Roman" w:hAnsi="Times New Roman" w:cs="Times New Roman"/>
          <w:color w:val="000000"/>
          <w:sz w:val="24"/>
          <w:szCs w:val="24"/>
        </w:rPr>
        <w:t>possui</w:t>
      </w:r>
      <w:r w:rsidR="00904695">
        <w:rPr>
          <w:rFonts w:ascii="Times New Roman" w:hAnsi="Times New Roman" w:cs="Times New Roman"/>
          <w:color w:val="000000"/>
          <w:sz w:val="24"/>
          <w:szCs w:val="24"/>
        </w:rPr>
        <w:t xml:space="preserve"> legitimidade ad causam e</w:t>
      </w:r>
      <w:r>
        <w:rPr>
          <w:rFonts w:ascii="Times New Roman" w:hAnsi="Times New Roman" w:cs="Times New Roman"/>
          <w:color w:val="000000"/>
          <w:sz w:val="24"/>
          <w:szCs w:val="24"/>
        </w:rPr>
        <w:t xml:space="preserve"> ad processum. Conforme dispõe artigo 73,</w:t>
      </w:r>
      <w:r w:rsidR="00904695">
        <w:rPr>
          <w:rFonts w:ascii="Times New Roman" w:hAnsi="Times New Roman" w:cs="Times New Roman"/>
          <w:color w:val="000000"/>
          <w:sz w:val="24"/>
          <w:szCs w:val="24"/>
        </w:rPr>
        <w:t xml:space="preserve"> do Código de Processo Civil: “</w:t>
      </w:r>
      <w:r>
        <w:rPr>
          <w:rFonts w:ascii="Times New Roman" w:hAnsi="Times New Roman" w:cs="Times New Roman"/>
          <w:color w:val="000000"/>
          <w:sz w:val="24"/>
          <w:szCs w:val="24"/>
        </w:rPr>
        <w:t>O cônjuge necessitará do consentimento do outro para propor ação que verse sobre direito imobiliário, salvo quando casados em regime de separação de bens”. Por fim, constata-se, em razão da descrição do caso, que Calebe</w:t>
      </w:r>
      <w:r w:rsidR="00904695">
        <w:rPr>
          <w:rFonts w:ascii="Times New Roman" w:hAnsi="Times New Roman" w:cs="Times New Roman"/>
          <w:color w:val="000000"/>
          <w:sz w:val="24"/>
          <w:szCs w:val="24"/>
        </w:rPr>
        <w:t xml:space="preserve"> também</w:t>
      </w:r>
      <w:r>
        <w:rPr>
          <w:rFonts w:ascii="Times New Roman" w:hAnsi="Times New Roman" w:cs="Times New Roman"/>
          <w:color w:val="000000"/>
          <w:sz w:val="24"/>
          <w:szCs w:val="24"/>
        </w:rPr>
        <w:t xml:space="preserve"> possui legitimidade ad causam para figurar no polo passivo da ação, além de possuir também, legitimidade ad processum. </w:t>
      </w:r>
    </w:p>
    <w:p w:rsidR="00316568" w:rsidRPr="00904695" w:rsidRDefault="00742B63" w:rsidP="00904695">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3.5 </w:t>
      </w:r>
      <w:r w:rsidRPr="00742B63">
        <w:rPr>
          <w:rFonts w:ascii="Times New Roman" w:hAnsi="Times New Roman" w:cs="Times New Roman"/>
          <w:b/>
          <w:color w:val="000000"/>
          <w:sz w:val="24"/>
          <w:szCs w:val="24"/>
        </w:rPr>
        <w:t xml:space="preserve">Quais medidas judiciais poderiam ser apresentadas na defesa dos interesses </w:t>
      </w:r>
      <w:proofErr w:type="gramStart"/>
      <w:r w:rsidRPr="00742B63">
        <w:rPr>
          <w:rFonts w:ascii="Times New Roman" w:hAnsi="Times New Roman" w:cs="Times New Roman"/>
          <w:b/>
          <w:color w:val="000000"/>
          <w:sz w:val="24"/>
          <w:szCs w:val="24"/>
        </w:rPr>
        <w:t>do(</w:t>
      </w:r>
      <w:proofErr w:type="gramEnd"/>
      <w:r w:rsidRPr="00742B63">
        <w:rPr>
          <w:rFonts w:ascii="Times New Roman" w:hAnsi="Times New Roman" w:cs="Times New Roman"/>
          <w:b/>
          <w:color w:val="000000"/>
          <w:sz w:val="24"/>
          <w:szCs w:val="24"/>
        </w:rPr>
        <w:t>s</w:t>
      </w:r>
      <w:r>
        <w:rPr>
          <w:rFonts w:ascii="Times New Roman" w:hAnsi="Times New Roman" w:cs="Times New Roman"/>
          <w:b/>
          <w:color w:val="000000"/>
          <w:sz w:val="24"/>
          <w:szCs w:val="24"/>
        </w:rPr>
        <w:t xml:space="preserve">) credor (es)? Com base em quais </w:t>
      </w:r>
      <w:r w:rsidRPr="00742B63">
        <w:rPr>
          <w:rFonts w:ascii="Times New Roman" w:hAnsi="Times New Roman" w:cs="Times New Roman"/>
          <w:b/>
          <w:color w:val="000000"/>
          <w:sz w:val="24"/>
          <w:szCs w:val="24"/>
        </w:rPr>
        <w:t>fundamentos de direito processual e material?</w:t>
      </w:r>
    </w:p>
    <w:p w:rsidR="00316568" w:rsidRDefault="00316568" w:rsidP="00086F00">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Diante do inadimplemento da obrigação de pagar, </w:t>
      </w:r>
      <w:r w:rsidR="00904695">
        <w:rPr>
          <w:rFonts w:ascii="Times New Roman" w:hAnsi="Times New Roman" w:cs="Times New Roman"/>
          <w:color w:val="000000"/>
          <w:sz w:val="24"/>
          <w:szCs w:val="24"/>
        </w:rPr>
        <w:t xml:space="preserve">preceitua o artigo 774, do Código de Processo Civil: “considera-se atentatória à dignidade da justiça a conduta comissiva ou omissiva do executado que: IV – resiste injustificadamente às ordens judiciais”. </w:t>
      </w:r>
      <w:r w:rsidR="00E80FAE">
        <w:rPr>
          <w:rFonts w:ascii="Times New Roman" w:hAnsi="Times New Roman" w:cs="Times New Roman"/>
          <w:color w:val="000000"/>
          <w:sz w:val="24"/>
          <w:szCs w:val="24"/>
        </w:rPr>
        <w:t xml:space="preserve">Como se sabe, o executado precisa indicar os seus bens, que venham a ser penhorados. </w:t>
      </w:r>
    </w:p>
    <w:p w:rsidR="00086F00" w:rsidRPr="00E80FAE" w:rsidRDefault="00E80FAE" w:rsidP="00E80FAE">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penhora poderá ser online, como informa o artigo 854 do Código de Processo Civil. E c</w:t>
      </w:r>
      <w:r w:rsidR="00086F00">
        <w:rPr>
          <w:rFonts w:ascii="Times New Roman" w:hAnsi="Times New Roman" w:cs="Times New Roman"/>
          <w:color w:val="000000"/>
          <w:sz w:val="24"/>
          <w:szCs w:val="24"/>
        </w:rPr>
        <w:t>ontra o indeferimento da penhora, cabe agravo de instrumento. Pois, conforme expressa o artigo 1015, do Códig</w:t>
      </w:r>
      <w:bookmarkStart w:id="0" w:name="_GoBack"/>
      <w:bookmarkEnd w:id="0"/>
      <w:r w:rsidR="00086F00">
        <w:rPr>
          <w:rFonts w:ascii="Times New Roman" w:hAnsi="Times New Roman" w:cs="Times New Roman"/>
          <w:color w:val="000000"/>
          <w:sz w:val="24"/>
          <w:szCs w:val="24"/>
        </w:rPr>
        <w:t xml:space="preserve">o de Processo Civil, cabe agravo de instrumento em: </w:t>
      </w:r>
      <w:r w:rsidR="00086F00" w:rsidRPr="005A341C">
        <w:rPr>
          <w:rFonts w:ascii="Times New Roman" w:hAnsi="Times New Roman" w:cs="Times New Roman"/>
          <w:sz w:val="24"/>
          <w:szCs w:val="24"/>
        </w:rPr>
        <w:t>“</w:t>
      </w:r>
      <w:r w:rsidR="00086F00" w:rsidRPr="005A341C">
        <w:rPr>
          <w:rFonts w:ascii="Times New Roman" w:hAnsi="Times New Roman" w:cs="Times New Roman"/>
          <w:spacing w:val="3"/>
          <w:sz w:val="24"/>
          <w:szCs w:val="24"/>
          <w:shd w:val="clear" w:color="auto" w:fill="FFFFFF"/>
        </w:rPr>
        <w:t>decisões interlocutórias proferidas nas fases de liquidação e de cumprimento de sentença e no processo de execução”</w:t>
      </w:r>
      <w:r w:rsidR="00086F00">
        <w:rPr>
          <w:rFonts w:ascii="Times New Roman" w:hAnsi="Times New Roman" w:cs="Times New Roman"/>
          <w:spacing w:val="3"/>
          <w:sz w:val="24"/>
          <w:szCs w:val="24"/>
          <w:shd w:val="clear" w:color="auto" w:fill="FFFFFF"/>
        </w:rPr>
        <w:t xml:space="preserve"> (BRASIL, 2015). </w:t>
      </w:r>
    </w:p>
    <w:p w:rsidR="007A7640" w:rsidRDefault="007A7640" w:rsidP="00722A48">
      <w:pPr>
        <w:spacing w:after="0" w:line="360" w:lineRule="auto"/>
        <w:jc w:val="center"/>
        <w:rPr>
          <w:rFonts w:ascii="Times New Roman" w:hAnsi="Times New Roman" w:cs="Times New Roman"/>
          <w:b/>
          <w:sz w:val="24"/>
          <w:szCs w:val="24"/>
        </w:rPr>
      </w:pPr>
    </w:p>
    <w:p w:rsidR="00B93883" w:rsidRDefault="00671872" w:rsidP="00722A4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REFERÊNCIAS</w:t>
      </w:r>
    </w:p>
    <w:p w:rsidR="007A7640" w:rsidRDefault="007A7640" w:rsidP="00316568">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BRASIL. Lei 13.105, de 16 de </w:t>
      </w:r>
      <w:r w:rsidR="005073D0">
        <w:rPr>
          <w:rFonts w:ascii="Times New Roman" w:hAnsi="Times New Roman" w:cs="Times New Roman"/>
          <w:color w:val="000000" w:themeColor="text1"/>
          <w:sz w:val="24"/>
          <w:szCs w:val="24"/>
          <w:shd w:val="clear" w:color="auto" w:fill="FFFFFF"/>
        </w:rPr>
        <w:t>março de 2015</w:t>
      </w:r>
      <w:r>
        <w:rPr>
          <w:rFonts w:ascii="Times New Roman" w:hAnsi="Times New Roman" w:cs="Times New Roman"/>
          <w:color w:val="000000" w:themeColor="text1"/>
          <w:sz w:val="24"/>
          <w:szCs w:val="24"/>
          <w:shd w:val="clear" w:color="auto" w:fill="FFFFFF"/>
        </w:rPr>
        <w:t>. Código Processo Civil. Disponível em: &lt;</w:t>
      </w:r>
      <w:r w:rsidR="005073D0" w:rsidRPr="005073D0">
        <w:rPr>
          <w:rFonts w:ascii="Times New Roman" w:hAnsi="Times New Roman" w:cs="Times New Roman"/>
          <w:color w:val="000000" w:themeColor="text1"/>
          <w:sz w:val="24"/>
          <w:szCs w:val="24"/>
          <w:shd w:val="clear" w:color="auto" w:fill="FFFFFF"/>
        </w:rPr>
        <w:t>http://www.planalto.gov.br/ccivil_03/_ato2015-2018/2015/lei/l13105.htm</w:t>
      </w:r>
      <w:r>
        <w:rPr>
          <w:rFonts w:ascii="Times New Roman" w:hAnsi="Times New Roman" w:cs="Times New Roman"/>
          <w:color w:val="000000" w:themeColor="text1"/>
          <w:sz w:val="24"/>
          <w:szCs w:val="24"/>
          <w:shd w:val="clear" w:color="auto" w:fill="FFFFFF"/>
        </w:rPr>
        <w:t>&gt; Acesso em: 10 de outubro de 2016.</w:t>
      </w:r>
    </w:p>
    <w:p w:rsidR="007A7640" w:rsidRDefault="007A7640" w:rsidP="00316568">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BRASIL. Lei 10.046, de 10 de janeiro de 2002. Código Civil. Disponível em: &lt;</w:t>
      </w:r>
      <w:r w:rsidR="005073D0" w:rsidRPr="005073D0">
        <w:rPr>
          <w:rFonts w:ascii="Times New Roman" w:hAnsi="Times New Roman" w:cs="Times New Roman"/>
          <w:color w:val="000000" w:themeColor="text1"/>
          <w:sz w:val="24"/>
          <w:szCs w:val="24"/>
          <w:shd w:val="clear" w:color="auto" w:fill="FFFFFF"/>
        </w:rPr>
        <w:t>http://www.planalto.gov.br/ccivil_03/leis/2002/L10406.htm</w:t>
      </w:r>
      <w:r>
        <w:rPr>
          <w:rFonts w:ascii="Times New Roman" w:hAnsi="Times New Roman" w:cs="Times New Roman"/>
          <w:color w:val="000000" w:themeColor="text1"/>
          <w:sz w:val="24"/>
          <w:szCs w:val="24"/>
          <w:shd w:val="clear" w:color="auto" w:fill="FFFFFF"/>
        </w:rPr>
        <w:t xml:space="preserve">&gt; Acesso em: 10 de outubro de 2016. </w:t>
      </w:r>
    </w:p>
    <w:p w:rsidR="007A7640" w:rsidRDefault="007A7640" w:rsidP="00316568">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MARINONI, </w:t>
      </w:r>
      <w:proofErr w:type="spellStart"/>
      <w:r>
        <w:rPr>
          <w:rFonts w:ascii="Times New Roman" w:hAnsi="Times New Roman" w:cs="Times New Roman"/>
          <w:color w:val="000000" w:themeColor="text1"/>
          <w:sz w:val="24"/>
          <w:szCs w:val="24"/>
          <w:shd w:val="clear" w:color="auto" w:fill="FFFFFF"/>
        </w:rPr>
        <w:t>Luis</w:t>
      </w:r>
      <w:proofErr w:type="spellEnd"/>
      <w:r>
        <w:rPr>
          <w:rFonts w:ascii="Times New Roman" w:hAnsi="Times New Roman" w:cs="Times New Roman"/>
          <w:color w:val="000000" w:themeColor="text1"/>
          <w:sz w:val="24"/>
          <w:szCs w:val="24"/>
          <w:shd w:val="clear" w:color="auto" w:fill="FFFFFF"/>
        </w:rPr>
        <w:t xml:space="preserve"> Guilherme; ARENHART, Sergio Cruz. </w:t>
      </w:r>
      <w:r>
        <w:rPr>
          <w:rFonts w:ascii="Times New Roman" w:hAnsi="Times New Roman" w:cs="Times New Roman"/>
          <w:b/>
          <w:color w:val="000000" w:themeColor="text1"/>
          <w:sz w:val="24"/>
          <w:szCs w:val="24"/>
          <w:shd w:val="clear" w:color="auto" w:fill="FFFFFF"/>
        </w:rPr>
        <w:t>Curso de Processo Civil:</w:t>
      </w:r>
      <w:r>
        <w:rPr>
          <w:rFonts w:ascii="Times New Roman" w:hAnsi="Times New Roman" w:cs="Times New Roman"/>
          <w:color w:val="000000" w:themeColor="text1"/>
          <w:sz w:val="24"/>
          <w:szCs w:val="24"/>
          <w:shd w:val="clear" w:color="auto" w:fill="FFFFFF"/>
        </w:rPr>
        <w:t xml:space="preserve"> Execução. 2. Ed. São Paulo: Revista dos Tribunais, 2008. </w:t>
      </w:r>
    </w:p>
    <w:p w:rsidR="007A7640" w:rsidRPr="007A7640" w:rsidRDefault="007A7640" w:rsidP="000F7F36">
      <w:pPr>
        <w:spacing w:after="0" w:line="360" w:lineRule="auto"/>
        <w:jc w:val="both"/>
        <w:rPr>
          <w:rFonts w:ascii="Times New Roman" w:hAnsi="Times New Roman" w:cs="Times New Roman"/>
          <w:color w:val="000000" w:themeColor="text1"/>
          <w:sz w:val="24"/>
          <w:szCs w:val="24"/>
          <w:shd w:val="clear" w:color="auto" w:fill="FFFFFF"/>
        </w:rPr>
      </w:pPr>
    </w:p>
    <w:p w:rsidR="005D19B9" w:rsidRPr="005D19B9" w:rsidRDefault="005D19B9" w:rsidP="000F7F36">
      <w:pPr>
        <w:spacing w:line="240" w:lineRule="auto"/>
        <w:jc w:val="both"/>
        <w:rPr>
          <w:rFonts w:ascii="Times New Roman" w:hAnsi="Times New Roman" w:cs="Times New Roman"/>
          <w:sz w:val="24"/>
          <w:szCs w:val="24"/>
        </w:rPr>
      </w:pPr>
    </w:p>
    <w:sectPr w:rsidR="005D19B9" w:rsidRPr="005D19B9" w:rsidSect="00766429">
      <w:headerReference w:type="default" r:id="rId8"/>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09E" w:rsidRDefault="00A9609E" w:rsidP="00B93883">
      <w:pPr>
        <w:spacing w:after="0" w:line="240" w:lineRule="auto"/>
      </w:pPr>
      <w:r>
        <w:separator/>
      </w:r>
    </w:p>
  </w:endnote>
  <w:endnote w:type="continuationSeparator" w:id="0">
    <w:p w:rsidR="00A9609E" w:rsidRDefault="00A9609E" w:rsidP="00B93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09E" w:rsidRDefault="00A9609E" w:rsidP="00B93883">
      <w:pPr>
        <w:spacing w:after="0" w:line="240" w:lineRule="auto"/>
      </w:pPr>
      <w:r>
        <w:separator/>
      </w:r>
    </w:p>
  </w:footnote>
  <w:footnote w:type="continuationSeparator" w:id="0">
    <w:p w:rsidR="00A9609E" w:rsidRDefault="00A9609E" w:rsidP="00B93883">
      <w:pPr>
        <w:spacing w:after="0" w:line="240" w:lineRule="auto"/>
      </w:pPr>
      <w:r>
        <w:continuationSeparator/>
      </w:r>
    </w:p>
  </w:footnote>
  <w:footnote w:id="1">
    <w:p w:rsidR="00BE12F7" w:rsidRPr="00B93883" w:rsidRDefault="00BE12F7" w:rsidP="00B93883">
      <w:pPr>
        <w:pStyle w:val="Textodenotaderodap"/>
        <w:rPr>
          <w:rFonts w:ascii="Times New Roman" w:hAnsi="Times New Roman" w:cs="Times New Roman"/>
        </w:rPr>
      </w:pPr>
      <w:r w:rsidRPr="00B93883">
        <w:rPr>
          <w:rStyle w:val="Refdenotaderodap"/>
          <w:rFonts w:ascii="Times New Roman" w:hAnsi="Times New Roman" w:cs="Times New Roman"/>
        </w:rPr>
        <w:footnoteRef/>
      </w:r>
      <w:r w:rsidRPr="00B93883">
        <w:rPr>
          <w:rFonts w:ascii="Times New Roman" w:hAnsi="Times New Roman" w:cs="Times New Roman"/>
        </w:rPr>
        <w:t xml:space="preserve"> Sinopse d</w:t>
      </w:r>
      <w:r>
        <w:rPr>
          <w:rFonts w:ascii="Times New Roman" w:hAnsi="Times New Roman" w:cs="Times New Roman"/>
        </w:rPr>
        <w:t xml:space="preserve">o Case apresentada à disciplina de Processo de Execução </w:t>
      </w:r>
      <w:r w:rsidRPr="00B93883">
        <w:rPr>
          <w:rFonts w:ascii="Times New Roman" w:hAnsi="Times New Roman" w:cs="Times New Roman"/>
        </w:rPr>
        <w:t>do curso de Direito da Unidade de Ensino Superior Dom Bosco – UNDB.</w:t>
      </w:r>
    </w:p>
  </w:footnote>
  <w:footnote w:id="2">
    <w:p w:rsidR="00BE12F7" w:rsidRPr="00B93883" w:rsidRDefault="00BE12F7" w:rsidP="00B93883">
      <w:pPr>
        <w:pStyle w:val="Textodenotaderodap"/>
        <w:rPr>
          <w:rFonts w:ascii="Times New Roman" w:hAnsi="Times New Roman" w:cs="Times New Roman"/>
        </w:rPr>
      </w:pPr>
      <w:r w:rsidRPr="00B93883">
        <w:rPr>
          <w:rStyle w:val="Refdenotaderodap"/>
          <w:rFonts w:ascii="Times New Roman" w:hAnsi="Times New Roman" w:cs="Times New Roman"/>
        </w:rPr>
        <w:footnoteRef/>
      </w:r>
      <w:r>
        <w:rPr>
          <w:rFonts w:ascii="Times New Roman" w:hAnsi="Times New Roman" w:cs="Times New Roman"/>
        </w:rPr>
        <w:t xml:space="preserve"> Aluna do 7</w:t>
      </w:r>
      <w:r w:rsidRPr="00B93883">
        <w:rPr>
          <w:rFonts w:ascii="Times New Roman" w:hAnsi="Times New Roman" w:cs="Times New Roman"/>
        </w:rPr>
        <w:t>º período de Direito da UNDB</w:t>
      </w:r>
    </w:p>
  </w:footnote>
  <w:footnote w:id="3">
    <w:p w:rsidR="00BE12F7" w:rsidRPr="00B93883" w:rsidRDefault="00BE12F7" w:rsidP="00B93883">
      <w:pPr>
        <w:pStyle w:val="Textodenotaderodap"/>
        <w:rPr>
          <w:rFonts w:ascii="Times New Roman" w:hAnsi="Times New Roman" w:cs="Times New Roman"/>
        </w:rPr>
      </w:pPr>
      <w:r w:rsidRPr="00B93883">
        <w:rPr>
          <w:rStyle w:val="Refdenotaderodap"/>
          <w:rFonts w:ascii="Times New Roman" w:hAnsi="Times New Roman" w:cs="Times New Roman"/>
        </w:rPr>
        <w:footnoteRef/>
      </w:r>
      <w:r>
        <w:rPr>
          <w:rFonts w:ascii="Times New Roman" w:hAnsi="Times New Roman" w:cs="Times New Roman"/>
        </w:rPr>
        <w:t xml:space="preserve"> Professor Esp.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6011309"/>
      <w:docPartObj>
        <w:docPartGallery w:val="Page Numbers (Top of Page)"/>
        <w:docPartUnique/>
      </w:docPartObj>
    </w:sdtPr>
    <w:sdtEndPr>
      <w:rPr>
        <w:rFonts w:ascii="Times New Roman" w:hAnsi="Times New Roman" w:cs="Times New Roman"/>
        <w:sz w:val="20"/>
        <w:szCs w:val="20"/>
      </w:rPr>
    </w:sdtEndPr>
    <w:sdtContent>
      <w:p w:rsidR="00BE12F7" w:rsidRPr="00766429" w:rsidRDefault="00BE12F7">
        <w:pPr>
          <w:pStyle w:val="Cabealho"/>
          <w:jc w:val="right"/>
          <w:rPr>
            <w:rFonts w:ascii="Times New Roman" w:hAnsi="Times New Roman" w:cs="Times New Roman"/>
            <w:sz w:val="20"/>
            <w:szCs w:val="20"/>
          </w:rPr>
        </w:pPr>
        <w:r w:rsidRPr="00766429">
          <w:rPr>
            <w:rFonts w:ascii="Times New Roman" w:hAnsi="Times New Roman" w:cs="Times New Roman"/>
            <w:sz w:val="20"/>
            <w:szCs w:val="20"/>
          </w:rPr>
          <w:fldChar w:fldCharType="begin"/>
        </w:r>
        <w:r w:rsidRPr="00766429">
          <w:rPr>
            <w:rFonts w:ascii="Times New Roman" w:hAnsi="Times New Roman" w:cs="Times New Roman"/>
            <w:sz w:val="20"/>
            <w:szCs w:val="20"/>
          </w:rPr>
          <w:instrText>PAGE   \* MERGEFORMAT</w:instrText>
        </w:r>
        <w:r w:rsidRPr="00766429">
          <w:rPr>
            <w:rFonts w:ascii="Times New Roman" w:hAnsi="Times New Roman" w:cs="Times New Roman"/>
            <w:sz w:val="20"/>
            <w:szCs w:val="20"/>
          </w:rPr>
          <w:fldChar w:fldCharType="separate"/>
        </w:r>
        <w:r w:rsidR="006D50E0">
          <w:rPr>
            <w:rFonts w:ascii="Times New Roman" w:hAnsi="Times New Roman" w:cs="Times New Roman"/>
            <w:noProof/>
            <w:sz w:val="20"/>
            <w:szCs w:val="20"/>
          </w:rPr>
          <w:t>5</w:t>
        </w:r>
        <w:r w:rsidRPr="00766429">
          <w:rPr>
            <w:rFonts w:ascii="Times New Roman" w:hAnsi="Times New Roman" w:cs="Times New Roman"/>
            <w:sz w:val="20"/>
            <w:szCs w:val="20"/>
          </w:rPr>
          <w:fldChar w:fldCharType="end"/>
        </w:r>
      </w:p>
    </w:sdtContent>
  </w:sdt>
  <w:p w:rsidR="00BE12F7" w:rsidRDefault="00BE12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75FC"/>
    <w:multiLevelType w:val="hybridMultilevel"/>
    <w:tmpl w:val="79D204E2"/>
    <w:lvl w:ilvl="0" w:tplc="9F38A4C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0C027E"/>
    <w:multiLevelType w:val="hybridMultilevel"/>
    <w:tmpl w:val="7BC83F48"/>
    <w:lvl w:ilvl="0" w:tplc="9F38A4C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014093"/>
    <w:multiLevelType w:val="multilevel"/>
    <w:tmpl w:val="0D9C5E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D1B11DC"/>
    <w:multiLevelType w:val="hybridMultilevel"/>
    <w:tmpl w:val="7F823930"/>
    <w:lvl w:ilvl="0" w:tplc="2B9EBD3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 w15:restartNumberingAfterBreak="0">
    <w:nsid w:val="69B22D58"/>
    <w:multiLevelType w:val="hybridMultilevel"/>
    <w:tmpl w:val="7BC83F48"/>
    <w:lvl w:ilvl="0" w:tplc="9F38A4C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6C70B80"/>
    <w:multiLevelType w:val="hybridMultilevel"/>
    <w:tmpl w:val="83002F30"/>
    <w:lvl w:ilvl="0" w:tplc="9C6C82D4">
      <w:start w:val="1"/>
      <w:numFmt w:val="upperLetter"/>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83"/>
    <w:rsid w:val="000157DD"/>
    <w:rsid w:val="0002067F"/>
    <w:rsid w:val="00021975"/>
    <w:rsid w:val="00033700"/>
    <w:rsid w:val="00042B27"/>
    <w:rsid w:val="00051125"/>
    <w:rsid w:val="0007184F"/>
    <w:rsid w:val="00086F00"/>
    <w:rsid w:val="00092433"/>
    <w:rsid w:val="00095064"/>
    <w:rsid w:val="00095AD4"/>
    <w:rsid w:val="000C0D7B"/>
    <w:rsid w:val="000D677B"/>
    <w:rsid w:val="000E3B1A"/>
    <w:rsid w:val="000F4C80"/>
    <w:rsid w:val="000F7F36"/>
    <w:rsid w:val="0010701C"/>
    <w:rsid w:val="001628E2"/>
    <w:rsid w:val="0017426B"/>
    <w:rsid w:val="00193962"/>
    <w:rsid w:val="001971DC"/>
    <w:rsid w:val="001A208D"/>
    <w:rsid w:val="001C401B"/>
    <w:rsid w:val="001D2126"/>
    <w:rsid w:val="001D35DE"/>
    <w:rsid w:val="001E66F6"/>
    <w:rsid w:val="001F2CEE"/>
    <w:rsid w:val="00201CF1"/>
    <w:rsid w:val="002174E5"/>
    <w:rsid w:val="00230891"/>
    <w:rsid w:val="0023553C"/>
    <w:rsid w:val="00235F9C"/>
    <w:rsid w:val="00296710"/>
    <w:rsid w:val="002B3BE1"/>
    <w:rsid w:val="002C0DEB"/>
    <w:rsid w:val="00316568"/>
    <w:rsid w:val="0032612A"/>
    <w:rsid w:val="0033472E"/>
    <w:rsid w:val="00350CD3"/>
    <w:rsid w:val="0035110A"/>
    <w:rsid w:val="00357A4C"/>
    <w:rsid w:val="003725C7"/>
    <w:rsid w:val="003A4441"/>
    <w:rsid w:val="003B4CD4"/>
    <w:rsid w:val="003B775D"/>
    <w:rsid w:val="003D24FD"/>
    <w:rsid w:val="003E2133"/>
    <w:rsid w:val="003F4746"/>
    <w:rsid w:val="003F7083"/>
    <w:rsid w:val="00405D8E"/>
    <w:rsid w:val="004321DB"/>
    <w:rsid w:val="00463CD6"/>
    <w:rsid w:val="00465968"/>
    <w:rsid w:val="00466478"/>
    <w:rsid w:val="004723D0"/>
    <w:rsid w:val="004A3D53"/>
    <w:rsid w:val="004D6AE9"/>
    <w:rsid w:val="004E4C7F"/>
    <w:rsid w:val="005073D0"/>
    <w:rsid w:val="0051764F"/>
    <w:rsid w:val="0055528A"/>
    <w:rsid w:val="00567D14"/>
    <w:rsid w:val="005A341C"/>
    <w:rsid w:val="005A7B6A"/>
    <w:rsid w:val="005B71A5"/>
    <w:rsid w:val="005C52D2"/>
    <w:rsid w:val="005D19B9"/>
    <w:rsid w:val="005F33BC"/>
    <w:rsid w:val="006252E8"/>
    <w:rsid w:val="006358E9"/>
    <w:rsid w:val="00655E4B"/>
    <w:rsid w:val="00661806"/>
    <w:rsid w:val="00663850"/>
    <w:rsid w:val="00670E79"/>
    <w:rsid w:val="00671872"/>
    <w:rsid w:val="00681E06"/>
    <w:rsid w:val="00687E43"/>
    <w:rsid w:val="006B1501"/>
    <w:rsid w:val="006D50E0"/>
    <w:rsid w:val="006F206E"/>
    <w:rsid w:val="00713B6A"/>
    <w:rsid w:val="00721A68"/>
    <w:rsid w:val="00722A48"/>
    <w:rsid w:val="00742B63"/>
    <w:rsid w:val="00766429"/>
    <w:rsid w:val="00772436"/>
    <w:rsid w:val="0079097C"/>
    <w:rsid w:val="00797301"/>
    <w:rsid w:val="007A7640"/>
    <w:rsid w:val="007E74A5"/>
    <w:rsid w:val="00827281"/>
    <w:rsid w:val="00835372"/>
    <w:rsid w:val="00840BCC"/>
    <w:rsid w:val="00847B00"/>
    <w:rsid w:val="0085445D"/>
    <w:rsid w:val="008D6752"/>
    <w:rsid w:val="008F26E5"/>
    <w:rsid w:val="00904695"/>
    <w:rsid w:val="0092231B"/>
    <w:rsid w:val="00936970"/>
    <w:rsid w:val="009650E9"/>
    <w:rsid w:val="0096716C"/>
    <w:rsid w:val="0097143B"/>
    <w:rsid w:val="00974F3B"/>
    <w:rsid w:val="009F4221"/>
    <w:rsid w:val="00A10392"/>
    <w:rsid w:val="00A23AE3"/>
    <w:rsid w:val="00A3068C"/>
    <w:rsid w:val="00A457D0"/>
    <w:rsid w:val="00A47C9A"/>
    <w:rsid w:val="00A51B8A"/>
    <w:rsid w:val="00A76934"/>
    <w:rsid w:val="00A9230A"/>
    <w:rsid w:val="00A9609E"/>
    <w:rsid w:val="00A96768"/>
    <w:rsid w:val="00AC69E1"/>
    <w:rsid w:val="00AD00CF"/>
    <w:rsid w:val="00AF6F16"/>
    <w:rsid w:val="00B04C7F"/>
    <w:rsid w:val="00B11B64"/>
    <w:rsid w:val="00B13BE3"/>
    <w:rsid w:val="00B30699"/>
    <w:rsid w:val="00B5588D"/>
    <w:rsid w:val="00B605F4"/>
    <w:rsid w:val="00B65CC2"/>
    <w:rsid w:val="00B67778"/>
    <w:rsid w:val="00B7174C"/>
    <w:rsid w:val="00B826B2"/>
    <w:rsid w:val="00B901D4"/>
    <w:rsid w:val="00B93883"/>
    <w:rsid w:val="00B9688E"/>
    <w:rsid w:val="00BD5AB0"/>
    <w:rsid w:val="00BE12F7"/>
    <w:rsid w:val="00C07A62"/>
    <w:rsid w:val="00C15B8F"/>
    <w:rsid w:val="00C25FCF"/>
    <w:rsid w:val="00C4697B"/>
    <w:rsid w:val="00C52F99"/>
    <w:rsid w:val="00C62B58"/>
    <w:rsid w:val="00CB6BBD"/>
    <w:rsid w:val="00CC0B22"/>
    <w:rsid w:val="00D4491F"/>
    <w:rsid w:val="00D52E49"/>
    <w:rsid w:val="00D54C1E"/>
    <w:rsid w:val="00D7047A"/>
    <w:rsid w:val="00D740B9"/>
    <w:rsid w:val="00D7512F"/>
    <w:rsid w:val="00D86919"/>
    <w:rsid w:val="00D92EAE"/>
    <w:rsid w:val="00DD19EF"/>
    <w:rsid w:val="00DD46CF"/>
    <w:rsid w:val="00DD5013"/>
    <w:rsid w:val="00E001D8"/>
    <w:rsid w:val="00E25003"/>
    <w:rsid w:val="00E30E74"/>
    <w:rsid w:val="00E33BEC"/>
    <w:rsid w:val="00E4525D"/>
    <w:rsid w:val="00E516E6"/>
    <w:rsid w:val="00E54E2E"/>
    <w:rsid w:val="00E62436"/>
    <w:rsid w:val="00E80FAE"/>
    <w:rsid w:val="00EA29CD"/>
    <w:rsid w:val="00EB1D1D"/>
    <w:rsid w:val="00ED3EF9"/>
    <w:rsid w:val="00EE0A48"/>
    <w:rsid w:val="00F00B09"/>
    <w:rsid w:val="00F31A32"/>
    <w:rsid w:val="00F8007D"/>
    <w:rsid w:val="00FB149A"/>
    <w:rsid w:val="00FB7125"/>
    <w:rsid w:val="00FC57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56F39-3ECA-4C86-9BEE-A7A6D48E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2B3BE1"/>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847B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9388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93883"/>
    <w:rPr>
      <w:sz w:val="20"/>
      <w:szCs w:val="20"/>
    </w:rPr>
  </w:style>
  <w:style w:type="character" w:styleId="Refdenotaderodap">
    <w:name w:val="footnote reference"/>
    <w:basedOn w:val="Fontepargpadro"/>
    <w:uiPriority w:val="99"/>
    <w:semiHidden/>
    <w:unhideWhenUsed/>
    <w:rsid w:val="00B93883"/>
    <w:rPr>
      <w:vertAlign w:val="superscript"/>
    </w:rPr>
  </w:style>
  <w:style w:type="paragraph" w:styleId="Cabealho">
    <w:name w:val="header"/>
    <w:basedOn w:val="Normal"/>
    <w:link w:val="CabealhoChar"/>
    <w:uiPriority w:val="99"/>
    <w:unhideWhenUsed/>
    <w:rsid w:val="0076642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6429"/>
  </w:style>
  <w:style w:type="paragraph" w:styleId="Rodap">
    <w:name w:val="footer"/>
    <w:basedOn w:val="Normal"/>
    <w:link w:val="RodapChar"/>
    <w:uiPriority w:val="99"/>
    <w:unhideWhenUsed/>
    <w:rsid w:val="00766429"/>
    <w:pPr>
      <w:tabs>
        <w:tab w:val="center" w:pos="4252"/>
        <w:tab w:val="right" w:pos="8504"/>
      </w:tabs>
      <w:spacing w:after="0" w:line="240" w:lineRule="auto"/>
    </w:pPr>
  </w:style>
  <w:style w:type="character" w:customStyle="1" w:styleId="RodapChar">
    <w:name w:val="Rodapé Char"/>
    <w:basedOn w:val="Fontepargpadro"/>
    <w:link w:val="Rodap"/>
    <w:uiPriority w:val="99"/>
    <w:rsid w:val="00766429"/>
  </w:style>
  <w:style w:type="paragraph" w:styleId="PargrafodaLista">
    <w:name w:val="List Paragraph"/>
    <w:basedOn w:val="Normal"/>
    <w:uiPriority w:val="34"/>
    <w:qFormat/>
    <w:rsid w:val="00687E43"/>
    <w:pPr>
      <w:ind w:left="720"/>
      <w:contextualSpacing/>
    </w:pPr>
  </w:style>
  <w:style w:type="character" w:styleId="Hyperlink">
    <w:name w:val="Hyperlink"/>
    <w:basedOn w:val="Fontepargpadro"/>
    <w:uiPriority w:val="99"/>
    <w:unhideWhenUsed/>
    <w:rsid w:val="00670E79"/>
    <w:rPr>
      <w:color w:val="0000FF" w:themeColor="hyperlink"/>
      <w:u w:val="single"/>
    </w:rPr>
  </w:style>
  <w:style w:type="paragraph" w:styleId="NormalWeb">
    <w:name w:val="Normal (Web)"/>
    <w:basedOn w:val="Normal"/>
    <w:uiPriority w:val="99"/>
    <w:unhideWhenUsed/>
    <w:rsid w:val="00F800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F8007D"/>
  </w:style>
  <w:style w:type="character" w:styleId="Forte">
    <w:name w:val="Strong"/>
    <w:basedOn w:val="Fontepargpadro"/>
    <w:uiPriority w:val="22"/>
    <w:qFormat/>
    <w:rsid w:val="00F8007D"/>
    <w:rPr>
      <w:b/>
      <w:bCs/>
    </w:rPr>
  </w:style>
  <w:style w:type="character" w:customStyle="1" w:styleId="Ttulo2Char">
    <w:name w:val="Título 2 Char"/>
    <w:basedOn w:val="Fontepargpadro"/>
    <w:link w:val="Ttulo2"/>
    <w:uiPriority w:val="9"/>
    <w:rsid w:val="002B3BE1"/>
    <w:rPr>
      <w:rFonts w:ascii="Times New Roman" w:eastAsia="Times New Roman" w:hAnsi="Times New Roman" w:cs="Times New Roman"/>
      <w:b/>
      <w:bCs/>
      <w:sz w:val="36"/>
      <w:szCs w:val="36"/>
      <w:lang w:eastAsia="pt-BR"/>
    </w:rPr>
  </w:style>
  <w:style w:type="character" w:styleId="nfase">
    <w:name w:val="Emphasis"/>
    <w:basedOn w:val="Fontepargpadro"/>
    <w:uiPriority w:val="20"/>
    <w:qFormat/>
    <w:rsid w:val="002B3BE1"/>
    <w:rPr>
      <w:i/>
      <w:iCs/>
    </w:rPr>
  </w:style>
  <w:style w:type="paragraph" w:customStyle="1" w:styleId="Corpo">
    <w:name w:val="Corpo"/>
    <w:rsid w:val="000F7F36"/>
    <w:pPr>
      <w:pBdr>
        <w:top w:val="nil"/>
        <w:left w:val="nil"/>
        <w:bottom w:val="nil"/>
        <w:right w:val="nil"/>
        <w:between w:val="nil"/>
        <w:bar w:val="nil"/>
      </w:pBdr>
      <w:spacing w:after="0" w:line="240" w:lineRule="auto"/>
      <w:ind w:firstLine="709"/>
      <w:jc w:val="both"/>
    </w:pPr>
    <w:rPr>
      <w:rFonts w:ascii="Helvetica" w:eastAsia="Arial Unicode MS" w:hAnsi="Arial Unicode MS" w:cs="Arial Unicode MS"/>
      <w:color w:val="000000"/>
      <w:bdr w:val="nil"/>
      <w:lang w:eastAsia="pt-BR"/>
    </w:rPr>
  </w:style>
  <w:style w:type="character" w:customStyle="1" w:styleId="Ttulo3Char">
    <w:name w:val="Título 3 Char"/>
    <w:basedOn w:val="Fontepargpadro"/>
    <w:link w:val="Ttulo3"/>
    <w:uiPriority w:val="9"/>
    <w:semiHidden/>
    <w:rsid w:val="00847B00"/>
    <w:rPr>
      <w:rFonts w:asciiTheme="majorHAnsi" w:eastAsiaTheme="majorEastAsia" w:hAnsiTheme="majorHAnsi" w:cstheme="majorBidi"/>
      <w:b/>
      <w:bCs/>
      <w:color w:val="4F81BD" w:themeColor="accent1"/>
    </w:rPr>
  </w:style>
  <w:style w:type="paragraph" w:customStyle="1" w:styleId="paragraph">
    <w:name w:val="paragraph"/>
    <w:basedOn w:val="Normal"/>
    <w:rsid w:val="00847B0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D50E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D50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41747">
      <w:bodyDiv w:val="1"/>
      <w:marLeft w:val="0"/>
      <w:marRight w:val="0"/>
      <w:marTop w:val="0"/>
      <w:marBottom w:val="0"/>
      <w:divBdr>
        <w:top w:val="none" w:sz="0" w:space="0" w:color="auto"/>
        <w:left w:val="none" w:sz="0" w:space="0" w:color="auto"/>
        <w:bottom w:val="none" w:sz="0" w:space="0" w:color="auto"/>
        <w:right w:val="none" w:sz="0" w:space="0" w:color="auto"/>
      </w:divBdr>
    </w:div>
    <w:div w:id="542402046">
      <w:bodyDiv w:val="1"/>
      <w:marLeft w:val="0"/>
      <w:marRight w:val="0"/>
      <w:marTop w:val="0"/>
      <w:marBottom w:val="0"/>
      <w:divBdr>
        <w:top w:val="none" w:sz="0" w:space="0" w:color="auto"/>
        <w:left w:val="none" w:sz="0" w:space="0" w:color="auto"/>
        <w:bottom w:val="none" w:sz="0" w:space="0" w:color="auto"/>
        <w:right w:val="none" w:sz="0" w:space="0" w:color="auto"/>
      </w:divBdr>
      <w:divsChild>
        <w:div w:id="1385174163">
          <w:marLeft w:val="0"/>
          <w:marRight w:val="0"/>
          <w:marTop w:val="450"/>
          <w:marBottom w:val="150"/>
          <w:divBdr>
            <w:top w:val="none" w:sz="0" w:space="0" w:color="auto"/>
            <w:left w:val="none" w:sz="0" w:space="0" w:color="auto"/>
            <w:bottom w:val="none" w:sz="0" w:space="0" w:color="auto"/>
            <w:right w:val="none" w:sz="0" w:space="0" w:color="auto"/>
          </w:divBdr>
        </w:div>
        <w:div w:id="1253276015">
          <w:marLeft w:val="0"/>
          <w:marRight w:val="0"/>
          <w:marTop w:val="0"/>
          <w:marBottom w:val="0"/>
          <w:divBdr>
            <w:top w:val="none" w:sz="0" w:space="0" w:color="auto"/>
            <w:left w:val="none" w:sz="0" w:space="0" w:color="auto"/>
            <w:bottom w:val="none" w:sz="0" w:space="0" w:color="auto"/>
            <w:right w:val="none" w:sz="0" w:space="0" w:color="auto"/>
          </w:divBdr>
        </w:div>
        <w:div w:id="892734352">
          <w:marLeft w:val="0"/>
          <w:marRight w:val="0"/>
          <w:marTop w:val="0"/>
          <w:marBottom w:val="0"/>
          <w:divBdr>
            <w:top w:val="none" w:sz="0" w:space="0" w:color="auto"/>
            <w:left w:val="none" w:sz="0" w:space="0" w:color="auto"/>
            <w:bottom w:val="none" w:sz="0" w:space="0" w:color="auto"/>
            <w:right w:val="none" w:sz="0" w:space="0" w:color="auto"/>
          </w:divBdr>
        </w:div>
        <w:div w:id="353269065">
          <w:marLeft w:val="0"/>
          <w:marRight w:val="0"/>
          <w:marTop w:val="0"/>
          <w:marBottom w:val="0"/>
          <w:divBdr>
            <w:top w:val="none" w:sz="0" w:space="0" w:color="auto"/>
            <w:left w:val="none" w:sz="0" w:space="0" w:color="auto"/>
            <w:bottom w:val="none" w:sz="0" w:space="0" w:color="auto"/>
            <w:right w:val="none" w:sz="0" w:space="0" w:color="auto"/>
          </w:divBdr>
        </w:div>
      </w:divsChild>
    </w:div>
    <w:div w:id="542909827">
      <w:bodyDiv w:val="1"/>
      <w:marLeft w:val="0"/>
      <w:marRight w:val="0"/>
      <w:marTop w:val="0"/>
      <w:marBottom w:val="0"/>
      <w:divBdr>
        <w:top w:val="none" w:sz="0" w:space="0" w:color="auto"/>
        <w:left w:val="none" w:sz="0" w:space="0" w:color="auto"/>
        <w:bottom w:val="none" w:sz="0" w:space="0" w:color="auto"/>
        <w:right w:val="none" w:sz="0" w:space="0" w:color="auto"/>
      </w:divBdr>
    </w:div>
    <w:div w:id="1375959778">
      <w:bodyDiv w:val="1"/>
      <w:marLeft w:val="0"/>
      <w:marRight w:val="0"/>
      <w:marTop w:val="0"/>
      <w:marBottom w:val="0"/>
      <w:divBdr>
        <w:top w:val="none" w:sz="0" w:space="0" w:color="auto"/>
        <w:left w:val="none" w:sz="0" w:space="0" w:color="auto"/>
        <w:bottom w:val="none" w:sz="0" w:space="0" w:color="auto"/>
        <w:right w:val="none" w:sz="0" w:space="0" w:color="auto"/>
      </w:divBdr>
    </w:div>
    <w:div w:id="1599946707">
      <w:bodyDiv w:val="1"/>
      <w:marLeft w:val="0"/>
      <w:marRight w:val="0"/>
      <w:marTop w:val="0"/>
      <w:marBottom w:val="0"/>
      <w:divBdr>
        <w:top w:val="none" w:sz="0" w:space="0" w:color="auto"/>
        <w:left w:val="none" w:sz="0" w:space="0" w:color="auto"/>
        <w:bottom w:val="none" w:sz="0" w:space="0" w:color="auto"/>
        <w:right w:val="none" w:sz="0" w:space="0" w:color="auto"/>
      </w:divBdr>
    </w:div>
    <w:div w:id="180619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F13E2-385B-4E72-90C8-89D540D4F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9446</TotalTime>
  <Pages>5</Pages>
  <Words>1681</Words>
  <Characters>9082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Henrique</dc:creator>
  <cp:lastModifiedBy>fernando guilherme</cp:lastModifiedBy>
  <cp:revision>12</cp:revision>
  <cp:lastPrinted>2016-10-11T14:15:00Z</cp:lastPrinted>
  <dcterms:created xsi:type="dcterms:W3CDTF">2016-09-29T00:36:00Z</dcterms:created>
  <dcterms:modified xsi:type="dcterms:W3CDTF">2016-10-11T14:17:00Z</dcterms:modified>
</cp:coreProperties>
</file>