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360" w:lineRule="auto"/>
        <w:jc w:val="center"/>
        <w:rPr>
          <w:rFonts w:ascii="Times New Roman" w:hAnsi="Times New Roman" w:cs="Times New Roman"/>
          <w:b/>
          <w:color w:val="000000" w:themeColor="text1"/>
          <w:sz w:val="24"/>
          <w:szCs w:val="24"/>
        </w:rPr>
      </w:pPr>
    </w:p>
    <w:p>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RELIGIÕES DE MATRIZ AFRICANA E LIBERDADE DE CULTO</w:t>
      </w:r>
    </w:p>
    <w:p>
      <w:pPr>
        <w:spacing w:after="0" w:line="360" w:lineRule="auto"/>
        <w:jc w:val="center"/>
        <w:rPr>
          <w:rFonts w:ascii="Times New Roman" w:hAnsi="Times New Roman" w:cs="Times New Roman"/>
          <w:b/>
          <w:color w:val="000000" w:themeColor="text1"/>
          <w:sz w:val="24"/>
          <w:szCs w:val="24"/>
        </w:rPr>
      </w:pPr>
      <w:bookmarkStart w:id="0" w:name="_GoBack"/>
      <w:bookmarkEnd w:id="0"/>
    </w:p>
    <w:p>
      <w:pPr>
        <w:spacing w:after="0" w:line="360" w:lineRule="auto"/>
        <w:jc w:val="center"/>
        <w:rPr>
          <w:rFonts w:ascii="Times New Roman" w:hAnsi="Times New Roman" w:cs="Times New Roman"/>
          <w:color w:val="000000" w:themeColor="text1"/>
          <w:sz w:val="24"/>
          <w:szCs w:val="24"/>
        </w:rPr>
      </w:pPr>
    </w:p>
    <w:p>
      <w:pPr>
        <w:spacing w:after="0"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Larissa de Jesus Lima Araújo²</w:t>
      </w:r>
    </w:p>
    <w:p>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pt-BR"/>
        </w:rPr>
        <w:t>A princípio, cumpre apontar que, na Constituição Federal de 1988, a liberdade religiosa, enquanto direito fundamental, encontra-se arrolada, abertamente, em dois preponderantes preceptivos. Determina o art. 5º, VI, CF: “VI – é inviolável a liberdade de consciência e de crença, sendo assegurado o livre exercício dos cultos religiosos e garantida, na forma da lei, a proteção aos locais de culto e a suas liturgias”. (BRASIL, 1988).</w:t>
      </w:r>
    </w:p>
    <w:p>
      <w:pPr>
        <w:spacing w:after="0" w:line="360" w:lineRule="auto"/>
        <w:ind w:firstLine="1134"/>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O outro dispositivo constitucional que se refere diretamente à liberdade religiosa encontra-se no art. 5º, VIII, CF que aduz o seguinte: “VIII – ninguém será privado de direitos por motivo de crença religiosa ou de convicção filosófica ou política, salvo se as invocar para eximir-se de obrigação legal a todos imposta e recusar-se a cumprir prestação alternativa, fixada em lei”. (BRASIL, 1988).</w:t>
      </w:r>
    </w:p>
    <w:p>
      <w:pPr>
        <w:pStyle w:val="Default"/>
        <w:spacing w:line="360" w:lineRule="auto"/>
        <w:ind w:firstLine="1134"/>
        <w:jc w:val="both"/>
        <w:rPr>
          <w:rFonts w:ascii="Times New Roman" w:hAnsi="Times New Roman" w:cs="Times New Roman"/>
          <w:color w:val="000000" w:themeColor="text1"/>
        </w:rPr>
      </w:pPr>
      <w:r>
        <w:rPr>
          <w:rFonts w:ascii="Times New Roman" w:hAnsi="Times New Roman" w:cs="Times New Roman"/>
          <w:color w:val="000000" w:themeColor="text1"/>
        </w:rPr>
        <w:t xml:space="preserve">Com o intuito de se conceituar a liberdade religiosa, Ferreira (1998, p. 102) traz que “a liberdade religiosa é o direito que tem o homem de adorar a seu Deus, de acordo com a sua crença e o seu culto”. Sob uma ótica mais aprofundada, Miranda (2000, p. 409) salienta que: </w:t>
      </w:r>
    </w:p>
    <w:p>
      <w:pPr>
        <w:pStyle w:val="Default"/>
        <w:spacing w:line="360" w:lineRule="auto"/>
        <w:ind w:firstLine="1134"/>
        <w:jc w:val="both"/>
        <w:rPr>
          <w:rFonts w:ascii="Times New Roman" w:hAnsi="Times New Roman" w:cs="Times New Roman"/>
          <w:color w:val="000000" w:themeColor="text1"/>
        </w:rPr>
      </w:pPr>
    </w:p>
    <w:p>
      <w:pPr>
        <w:spacing w:after="0" w:line="240" w:lineRule="auto"/>
        <w:ind w:left="226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 liberdade religiosa não consiste apenas em o Estado a ninguém impor qualquer religião ou a ninguém impedir de professar determinar crença. Consiste ainda, por um lado, em o Estado permitir ou propiciar a quem seguir determinada religião o cumprimento dos deveres que dela decorrem (em matéria de culto, de família ou de ensino, por exemplo) em termos razoáveis. E consiste, por outro lado (e sem que haja qualquer contradição), em o Estado não impor ou não garantir com as leis o cumprimento desses deveres.</w:t>
      </w:r>
    </w:p>
    <w:p>
      <w:pPr>
        <w:spacing w:after="0" w:line="240" w:lineRule="auto"/>
        <w:ind w:left="2268"/>
        <w:jc w:val="both"/>
        <w:rPr>
          <w:rFonts w:ascii="Times New Roman" w:hAnsi="Times New Roman" w:cs="Times New Roman"/>
          <w:color w:val="000000" w:themeColor="text1"/>
          <w:sz w:val="20"/>
          <w:szCs w:val="20"/>
        </w:rPr>
      </w:pPr>
    </w:p>
    <w:p>
      <w:pPr>
        <w:spacing w:after="0" w:line="360" w:lineRule="auto"/>
        <w:ind w:firstLine="1134"/>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Sobre esta incidência dos direitos fundamentais constitucionalmente positivados sobre a relação entre o homem e o Estado, lecionam </w:t>
      </w:r>
      <w:proofErr w:type="spellStart"/>
      <w:r>
        <w:rPr>
          <w:rFonts w:ascii="Times New Roman" w:eastAsia="Times New Roman" w:hAnsi="Times New Roman" w:cs="Times New Roman"/>
          <w:color w:val="000000" w:themeColor="text1"/>
          <w:sz w:val="24"/>
          <w:szCs w:val="24"/>
          <w:lang w:eastAsia="pt-BR"/>
        </w:rPr>
        <w:t>Dimoulis</w:t>
      </w:r>
      <w:proofErr w:type="spellEnd"/>
      <w:r>
        <w:rPr>
          <w:rFonts w:ascii="Times New Roman" w:eastAsia="Times New Roman" w:hAnsi="Times New Roman" w:cs="Times New Roman"/>
          <w:color w:val="000000" w:themeColor="text1"/>
          <w:sz w:val="24"/>
          <w:szCs w:val="24"/>
          <w:lang w:eastAsia="pt-BR"/>
        </w:rPr>
        <w:t xml:space="preserve"> e Martins (2006, p. 63): “A principal finalidade dos direitos fundamentais é conferir aos indivíduos uma posição jurídica de direito subjetivo, em sua maioria de natureza material, mas às vezes de natureza processual e, consequentemente, limitar a liberdade de atuação dos órgãos do Estado”.</w:t>
      </w:r>
    </w:p>
    <w:p>
      <w:pPr>
        <w:spacing w:after="0" w:line="360" w:lineRule="auto"/>
        <w:ind w:firstLine="1134"/>
        <w:jc w:val="both"/>
        <w:rPr>
          <w:rStyle w:val="Forte"/>
          <w:rFonts w:ascii="Times New Roman" w:hAnsi="Times New Roman" w:cs="Times New Roman"/>
          <w:b w:val="0"/>
          <w:bCs w:val="0"/>
          <w:color w:val="000000" w:themeColor="text1"/>
          <w:sz w:val="24"/>
          <w:szCs w:val="24"/>
        </w:rPr>
      </w:pPr>
      <w:r>
        <w:rPr>
          <w:rStyle w:val="Forte"/>
          <w:rFonts w:ascii="Times New Roman" w:hAnsi="Times New Roman" w:cs="Times New Roman"/>
          <w:b w:val="0"/>
          <w:bCs w:val="0"/>
          <w:color w:val="000000" w:themeColor="text1"/>
          <w:sz w:val="24"/>
          <w:szCs w:val="24"/>
        </w:rPr>
        <w:t>Nas precisas palavras de Tavares (2008, p. 586):</w:t>
      </w:r>
    </w:p>
    <w:p>
      <w:pPr>
        <w:spacing w:after="0" w:line="360" w:lineRule="auto"/>
        <w:ind w:firstLine="1134"/>
        <w:jc w:val="both"/>
        <w:rPr>
          <w:rStyle w:val="Forte"/>
          <w:rFonts w:ascii="Times New Roman" w:hAnsi="Times New Roman" w:cs="Times New Roman"/>
          <w:b w:val="0"/>
          <w:bCs w:val="0"/>
          <w:color w:val="000000" w:themeColor="text1"/>
          <w:sz w:val="24"/>
          <w:szCs w:val="24"/>
        </w:rPr>
      </w:pPr>
    </w:p>
    <w:p>
      <w:pPr>
        <w:spacing w:after="0" w:line="240" w:lineRule="auto"/>
        <w:ind w:left="2268"/>
        <w:jc w:val="both"/>
        <w:rPr>
          <w:rStyle w:val="Forte"/>
          <w:rFonts w:ascii="Times New Roman" w:hAnsi="Times New Roman" w:cs="Times New Roman"/>
          <w:b w:val="0"/>
          <w:bCs w:val="0"/>
          <w:color w:val="000000" w:themeColor="text1"/>
          <w:sz w:val="20"/>
          <w:szCs w:val="20"/>
        </w:rPr>
      </w:pPr>
      <w:r>
        <w:rPr>
          <w:rStyle w:val="Forte"/>
          <w:rFonts w:ascii="Times New Roman" w:hAnsi="Times New Roman" w:cs="Times New Roman"/>
          <w:b w:val="0"/>
          <w:bCs w:val="0"/>
          <w:color w:val="000000" w:themeColor="text1"/>
          <w:sz w:val="20"/>
          <w:szCs w:val="20"/>
        </w:rPr>
        <w:t xml:space="preserve">É dizer, o âmbito protetivo, o espaço de tutela derivado do direito à liberdade religiosa se erige, primeiramente, contra o Estado, o qual, por conseguinte, está impossibilitado </w:t>
      </w:r>
      <w:r>
        <w:rPr>
          <w:rStyle w:val="Forte"/>
          <w:rFonts w:ascii="Times New Roman" w:hAnsi="Times New Roman" w:cs="Times New Roman"/>
          <w:b w:val="0"/>
          <w:bCs w:val="0"/>
          <w:color w:val="000000" w:themeColor="text1"/>
          <w:sz w:val="20"/>
          <w:szCs w:val="20"/>
        </w:rPr>
        <w:lastRenderedPageBreak/>
        <w:t>de impor, v.g., uma religião oficial, relegando as demais à marginalidade e, tampouco, desrespeitar ou tolher o exercício de qualquer religião, da consciência e crença individual ou perseguir certas religiões ou praticantes. Significa [ainda] que a pessoa não pode ser forçada a abandonar sua opção religiosa, sua fé.</w:t>
      </w:r>
    </w:p>
    <w:p>
      <w:pPr>
        <w:spacing w:after="0" w:line="240" w:lineRule="auto"/>
        <w:ind w:left="2268"/>
        <w:jc w:val="both"/>
        <w:rPr>
          <w:rStyle w:val="Forte"/>
          <w:rFonts w:ascii="Times New Roman" w:hAnsi="Times New Roman" w:cs="Times New Roman"/>
          <w:b w:val="0"/>
          <w:bCs w:val="0"/>
          <w:color w:val="000000" w:themeColor="text1"/>
          <w:sz w:val="20"/>
          <w:szCs w:val="20"/>
        </w:rPr>
      </w:pPr>
    </w:p>
    <w:p>
      <w:pPr>
        <w:spacing w:after="0" w:line="360" w:lineRule="auto"/>
        <w:ind w:firstLine="1134"/>
        <w:jc w:val="both"/>
        <w:rPr>
          <w:rStyle w:val="Forte"/>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Nesse diapasão, a Constituição Federal garante a todos os brasileiros o direito de professar sua religião de acordo com suas convicções pessoais, sem que haja qualquer tipo de discriminação ou embaraço. Além disso, pela Constituição brasileira o Estado tem o dever de proteger o pluralismo religioso e respeitar a religião de todas as crenças e cultos e os que não professam nenhuma religião.</w:t>
      </w:r>
    </w:p>
    <w:p>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Ademais, no plano internacional, a Declaração Universal dos Direitos Humanos, adotada pela Organização das Nações Unidas (ONU) em 1948, constituiu-se em um grande marco na intervenção mundial proposta para conter os abusos e violências em nome da religião. Como ponto de partida no debate sobre intolerância religiosa, encontra-se em seu corpo o artigo que define o direito à liberdade de consciência e prática religiosa, a saber:</w:t>
      </w:r>
    </w:p>
    <w:p>
      <w:pPr>
        <w:spacing w:after="0" w:line="360" w:lineRule="auto"/>
        <w:ind w:firstLine="1134"/>
        <w:jc w:val="both"/>
        <w:rPr>
          <w:rFonts w:ascii="Times New Roman" w:hAnsi="Times New Roman" w:cs="Times New Roman"/>
          <w:color w:val="000000" w:themeColor="text1"/>
          <w:sz w:val="24"/>
          <w:szCs w:val="24"/>
        </w:rPr>
      </w:pPr>
    </w:p>
    <w:p>
      <w:pPr>
        <w:spacing w:after="0" w:line="240" w:lineRule="auto"/>
        <w:ind w:left="2268"/>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Artigo 18º</w:t>
      </w:r>
      <w:r>
        <w:rPr>
          <w:rFonts w:ascii="Times New Roman" w:hAnsi="Times New Roman" w:cs="Times New Roman"/>
          <w:color w:val="000000" w:themeColor="text1"/>
          <w:sz w:val="20"/>
          <w:szCs w:val="20"/>
        </w:rPr>
        <w:t xml:space="preserve"> - Toda a pessoa tem direito à liberdade de pensamento, de consciência e de religião; este direito implica a liberdade de mudar de religião ou de convicção, assim como a liberdade de manifestar a religião ou convicção, sozinho ou em comum, tanto em público como em privado, pelo ensino, pela prática, pelo culto e pelos ritos.</w:t>
      </w:r>
    </w:p>
    <w:p>
      <w:pPr>
        <w:spacing w:after="0" w:line="240" w:lineRule="auto"/>
        <w:ind w:left="2268"/>
        <w:jc w:val="both"/>
        <w:rPr>
          <w:rFonts w:ascii="Times New Roman" w:hAnsi="Times New Roman" w:cs="Times New Roman"/>
          <w:color w:val="000000" w:themeColor="text1"/>
          <w:sz w:val="20"/>
          <w:szCs w:val="20"/>
        </w:rPr>
      </w:pPr>
    </w:p>
    <w:p>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Portanto, diante dos argumentos expostos, é correto afirmar que houve a conduta tipificada no art. 208 do Código Penal, posto que a Lei Maior tutela o direito de culto e religião, colocando-os no patamar de direitos fundamentais. </w:t>
      </w:r>
    </w:p>
    <w:p>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Sendo assim, como todas as outras religiões, as religiões de matriz africana possuem direito à autodeterminação, auto-organização, ao livre funcionamento, bem como direito de celebrar reuniões, sem necessidade de autorização do Estado, a fundar e manter espaços de culto, não ter suas atividades suspensas ou interditadas pela Administração Pública ou por qualquer pessoa.</w:t>
      </w:r>
    </w:p>
    <w:p>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Tomamos como exemplo o culto de Mina não é considerado religião. A Justiça Federal/RJ emitiu uma sentença, cuja qual considera que os cultos de matriz africana, mais precisamente os afro-brasileiros, não constituem religião. (CHAGAS, 2014).</w:t>
      </w:r>
    </w:p>
    <w:p>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Ademais, o culto de Mina é considerado por muitos uma prática que perturba a ordem e paz social. Ainda que a liberdade de culto e crença seja no seu âmago um direito fundamental que tem expressa previsão na Constituição Federal de 1988, a mesma está sujeita a algumas limitações impostas pelas necessidades de ordem pública. Conforme dispõe o art. 42, III do Decreto-Lei nº 3.688/</w:t>
      </w:r>
      <w:bookmarkStart w:id="1" w:name="art42"/>
      <w:bookmarkEnd w:id="1"/>
      <w:r>
        <w:rPr>
          <w:rFonts w:ascii="Times New Roman" w:hAnsi="Times New Roman" w:cs="Times New Roman"/>
          <w:color w:val="000000" w:themeColor="text1"/>
          <w:sz w:val="24"/>
          <w:szCs w:val="24"/>
        </w:rPr>
        <w:t>41: “</w:t>
      </w:r>
      <w:r>
        <w:rPr>
          <w:rFonts w:ascii="Times New Roman" w:eastAsia="Times New Roman" w:hAnsi="Times New Roman" w:cs="Times New Roman"/>
          <w:color w:val="000000" w:themeColor="text1"/>
          <w:sz w:val="24"/>
          <w:szCs w:val="24"/>
          <w:lang w:eastAsia="pt-BR"/>
        </w:rPr>
        <w:t xml:space="preserve">Art. 42. Perturbar alguém o trabalho ou o </w:t>
      </w:r>
      <w:proofErr w:type="gramStart"/>
      <w:r>
        <w:rPr>
          <w:rFonts w:ascii="Times New Roman" w:eastAsia="Times New Roman" w:hAnsi="Times New Roman" w:cs="Times New Roman"/>
          <w:color w:val="000000" w:themeColor="text1"/>
          <w:sz w:val="24"/>
          <w:szCs w:val="24"/>
          <w:lang w:eastAsia="pt-BR"/>
        </w:rPr>
        <w:t>sossego alheios</w:t>
      </w:r>
      <w:bookmarkStart w:id="2" w:name="art42iii"/>
      <w:bookmarkEnd w:id="2"/>
      <w:proofErr w:type="gramEnd"/>
      <w:r>
        <w:rPr>
          <w:rFonts w:ascii="Times New Roman" w:eastAsia="Times New Roman" w:hAnsi="Times New Roman" w:cs="Times New Roman"/>
          <w:color w:val="000000" w:themeColor="text1"/>
          <w:sz w:val="24"/>
          <w:szCs w:val="24"/>
          <w:lang w:eastAsia="pt-BR"/>
        </w:rPr>
        <w:t xml:space="preserve">: III - abusando de instrumentos sonoros ou sinais acústicos”. (BRASIL, 1941). </w:t>
      </w:r>
    </w:p>
    <w:p>
      <w:pPr>
        <w:autoSpaceDE w:val="0"/>
        <w:autoSpaceDN w:val="0"/>
        <w:adjustRightInd w:val="0"/>
        <w:spacing w:after="0" w:line="360" w:lineRule="auto"/>
        <w:ind w:firstLine="1134"/>
        <w:jc w:val="both"/>
        <w:rPr>
          <w:rFonts w:ascii="Times New Roman" w:eastAsia="Times New Roman" w:hAnsi="Times New Roman" w:cs="Times New Roman"/>
          <w:color w:val="000000" w:themeColor="text1"/>
          <w:sz w:val="24"/>
          <w:szCs w:val="24"/>
          <w:lang w:eastAsia="pt-BR"/>
        </w:rPr>
      </w:pPr>
      <w:r>
        <w:rPr>
          <w:rFonts w:ascii="Times New Roman" w:hAnsi="Times New Roman" w:cs="Times New Roman"/>
          <w:bCs/>
          <w:iCs/>
          <w:color w:val="000000" w:themeColor="text1"/>
          <w:sz w:val="24"/>
          <w:szCs w:val="24"/>
        </w:rPr>
        <w:lastRenderedPageBreak/>
        <w:t>Segundo Verger (1987, p. 12):</w:t>
      </w:r>
    </w:p>
    <w:p>
      <w:pPr>
        <w:autoSpaceDE w:val="0"/>
        <w:autoSpaceDN w:val="0"/>
        <w:adjustRightInd w:val="0"/>
        <w:spacing w:after="0" w:line="240" w:lineRule="auto"/>
        <w:ind w:left="2268"/>
        <w:jc w:val="both"/>
        <w:rPr>
          <w:rFonts w:ascii="Times New Roman" w:eastAsia="Times New Roman" w:hAnsi="Times New Roman" w:cs="Times New Roman"/>
          <w:color w:val="000000" w:themeColor="text1"/>
          <w:sz w:val="20"/>
          <w:szCs w:val="20"/>
          <w:lang w:eastAsia="pt-BR"/>
        </w:rPr>
      </w:pPr>
      <w:r>
        <w:rPr>
          <w:rFonts w:ascii="Times New Roman" w:hAnsi="Times New Roman" w:cs="Times New Roman"/>
          <w:bCs/>
          <w:iCs/>
          <w:color w:val="000000" w:themeColor="text1"/>
          <w:sz w:val="20"/>
          <w:szCs w:val="20"/>
        </w:rPr>
        <w:t>Tambor de Mina é a denominação mais difundida das religiões Afro-brasileiras no Maranhão e na Amazônia. A palavra tambor deriva da importância do instrumento nos rituais de culto. Mina deriva de negro da Costa da Mina, denominação dada aos escravos procedentes da costa situada a leste do Castelo de São Jorge de Mina.</w:t>
      </w:r>
    </w:p>
    <w:p>
      <w:pPr>
        <w:autoSpaceDE w:val="0"/>
        <w:autoSpaceDN w:val="0"/>
        <w:adjustRightInd w:val="0"/>
        <w:spacing w:after="0" w:line="360" w:lineRule="auto"/>
        <w:ind w:firstLine="1134"/>
        <w:jc w:val="both"/>
        <w:rPr>
          <w:rFonts w:ascii="Times New Roman" w:eastAsia="Times New Roman" w:hAnsi="Times New Roman" w:cs="Times New Roman"/>
          <w:color w:val="000000" w:themeColor="text1"/>
          <w:sz w:val="24"/>
          <w:szCs w:val="24"/>
          <w:lang w:eastAsia="pt-BR"/>
        </w:rPr>
      </w:pPr>
    </w:p>
    <w:p>
      <w:pPr>
        <w:autoSpaceDE w:val="0"/>
        <w:autoSpaceDN w:val="0"/>
        <w:adjustRightInd w:val="0"/>
        <w:spacing w:after="0" w:line="360" w:lineRule="auto"/>
        <w:ind w:firstLine="1134"/>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Nesse sentido, de acordo com o Decreto n</w:t>
      </w:r>
      <w:r>
        <w:rPr>
          <w:rFonts w:ascii="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eastAsia="pt-BR"/>
        </w:rPr>
        <w:t xml:space="preserve"> 678/1992, em seu art. 1</w:t>
      </w:r>
      <w:r>
        <w:rPr>
          <w:rFonts w:ascii="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eastAsia="pt-BR"/>
        </w:rPr>
        <w:t>: “</w:t>
      </w:r>
      <w:r>
        <w:rPr>
          <w:rFonts w:ascii="Times New Roman" w:hAnsi="Times New Roman" w:cs="Times New Roman"/>
          <w:color w:val="000000" w:themeColor="text1"/>
          <w:sz w:val="24"/>
          <w:szCs w:val="24"/>
        </w:rPr>
        <w:t>A Convenção Americana sobre Direitos Humanos (Pacto de São José da Costa Rica), celebrada em São José da Costa Rica, em 22 de novembro de 1969, apensa por cópia ao presente decreto, deverá ser cumprida tão inteiramente como nela se contém”. (BRASIL, 1992).</w:t>
      </w:r>
    </w:p>
    <w:p>
      <w:pPr>
        <w:autoSpaceDE w:val="0"/>
        <w:autoSpaceDN w:val="0"/>
        <w:adjustRightInd w:val="0"/>
        <w:spacing w:after="0" w:line="360" w:lineRule="auto"/>
        <w:ind w:firstLine="1134"/>
        <w:jc w:val="both"/>
        <w:rPr>
          <w:rFonts w:ascii="Times New Roman" w:hAnsi="Times New Roman" w:cs="Times New Roman"/>
          <w:bCs/>
          <w:iCs/>
          <w:color w:val="000000" w:themeColor="text1"/>
          <w:sz w:val="24"/>
          <w:szCs w:val="24"/>
        </w:rPr>
      </w:pPr>
      <w:r>
        <w:rPr>
          <w:rFonts w:ascii="Times New Roman" w:eastAsia="Times New Roman" w:hAnsi="Times New Roman" w:cs="Times New Roman"/>
          <w:color w:val="000000" w:themeColor="text1"/>
          <w:sz w:val="24"/>
          <w:szCs w:val="24"/>
          <w:lang w:eastAsia="pt-BR"/>
        </w:rPr>
        <w:t>Logo, a Convenção Americana de Direitos Humanos (</w:t>
      </w:r>
      <w:r>
        <w:rPr>
          <w:rFonts w:ascii="Times New Roman" w:hAnsi="Times New Roman" w:cs="Times New Roman"/>
          <w:color w:val="000000" w:themeColor="text1"/>
          <w:sz w:val="24"/>
          <w:szCs w:val="24"/>
        </w:rPr>
        <w:t>Pacto de São José da Costa Rica) aduz o seguinte: “</w:t>
      </w:r>
      <w:r>
        <w:rPr>
          <w:rFonts w:ascii="Times New Roman" w:hAnsi="Times New Roman" w:cs="Times New Roman"/>
          <w:iCs/>
          <w:color w:val="000000" w:themeColor="text1"/>
          <w:sz w:val="24"/>
          <w:szCs w:val="24"/>
        </w:rPr>
        <w:t xml:space="preserve">Artigo 12. Liberdade de consciência e religião. 3. </w:t>
      </w:r>
      <w:r>
        <w:rPr>
          <w:rFonts w:ascii="Times New Roman" w:hAnsi="Times New Roman" w:cs="Times New Roman"/>
          <w:bCs/>
          <w:iCs/>
          <w:color w:val="000000" w:themeColor="text1"/>
          <w:sz w:val="24"/>
          <w:szCs w:val="24"/>
        </w:rPr>
        <w:t xml:space="preserve">A liberdade de manifestar a própria religião e as próprias crenças </w:t>
      </w:r>
      <w:r>
        <w:rPr>
          <w:rFonts w:ascii="Times New Roman" w:hAnsi="Times New Roman" w:cs="Times New Roman"/>
          <w:iCs/>
          <w:color w:val="000000" w:themeColor="text1"/>
          <w:sz w:val="24"/>
          <w:szCs w:val="24"/>
        </w:rPr>
        <w:t xml:space="preserve">está </w:t>
      </w:r>
      <w:r>
        <w:rPr>
          <w:rFonts w:ascii="Times New Roman" w:hAnsi="Times New Roman" w:cs="Times New Roman"/>
          <w:bCs/>
          <w:color w:val="000000" w:themeColor="text1"/>
          <w:sz w:val="24"/>
          <w:szCs w:val="24"/>
        </w:rPr>
        <w:t>sujeita apenas às limitações previstas em lei e que se façam necessárias</w:t>
      </w:r>
      <w:r>
        <w:rPr>
          <w:rFonts w:ascii="Times New Roman" w:hAnsi="Times New Roman" w:cs="Times New Roman"/>
          <w:iCs/>
          <w:color w:val="000000" w:themeColor="text1"/>
          <w:sz w:val="24"/>
          <w:szCs w:val="24"/>
        </w:rPr>
        <w:t xml:space="preserve"> </w:t>
      </w:r>
      <w:r>
        <w:rPr>
          <w:rFonts w:ascii="Times New Roman" w:hAnsi="Times New Roman" w:cs="Times New Roman"/>
          <w:bCs/>
          <w:color w:val="000000" w:themeColor="text1"/>
          <w:sz w:val="24"/>
          <w:szCs w:val="24"/>
        </w:rPr>
        <w:t xml:space="preserve">para proteger a segurança, a ordem, a saúde ou a </w:t>
      </w:r>
      <w:proofErr w:type="gramStart"/>
      <w:r>
        <w:rPr>
          <w:rFonts w:ascii="Times New Roman" w:hAnsi="Times New Roman" w:cs="Times New Roman"/>
          <w:bCs/>
          <w:color w:val="000000" w:themeColor="text1"/>
          <w:sz w:val="24"/>
          <w:szCs w:val="24"/>
        </w:rPr>
        <w:t>moral públicas</w:t>
      </w:r>
      <w:proofErr w:type="gramEnd"/>
      <w:r>
        <w:rPr>
          <w:rFonts w:ascii="Times New Roman" w:hAnsi="Times New Roman" w:cs="Times New Roman"/>
          <w:bCs/>
          <w:color w:val="000000" w:themeColor="text1"/>
          <w:sz w:val="24"/>
          <w:szCs w:val="24"/>
        </w:rPr>
        <w:t xml:space="preserve"> ou os</w:t>
      </w:r>
      <w:r>
        <w:rPr>
          <w:rFonts w:ascii="Times New Roman" w:hAnsi="Times New Roman" w:cs="Times New Roman"/>
          <w:iCs/>
          <w:color w:val="000000" w:themeColor="text1"/>
          <w:sz w:val="24"/>
          <w:szCs w:val="24"/>
        </w:rPr>
        <w:t xml:space="preserve"> </w:t>
      </w:r>
      <w:r>
        <w:rPr>
          <w:rFonts w:ascii="Times New Roman" w:hAnsi="Times New Roman" w:cs="Times New Roman"/>
          <w:bCs/>
          <w:color w:val="000000" w:themeColor="text1"/>
          <w:sz w:val="24"/>
          <w:szCs w:val="24"/>
        </w:rPr>
        <w:t>direitos e as liberdades das demais pessoas</w:t>
      </w:r>
      <w:r>
        <w:rPr>
          <w:rFonts w:ascii="Times New Roman" w:hAnsi="Times New Roman" w:cs="Times New Roman"/>
          <w:bCs/>
          <w:iCs/>
          <w:color w:val="000000" w:themeColor="text1"/>
          <w:sz w:val="24"/>
          <w:szCs w:val="24"/>
        </w:rPr>
        <w:t>”.</w:t>
      </w:r>
    </w:p>
    <w:p>
      <w:pPr>
        <w:autoSpaceDE w:val="0"/>
        <w:autoSpaceDN w:val="0"/>
        <w:adjustRightInd w:val="0"/>
        <w:spacing w:after="0" w:line="360" w:lineRule="auto"/>
        <w:ind w:firstLine="1134"/>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Portanto, é correto afirmar, perante os argumentos apresentados, que não houve a tipificação do art. 208 do Código, posto que o culto de Mina não é considerado religião, tendo em vista que o caput do mencionado artigo é bem claro ao dizer que se trata de “[...] impedir ou perturbar cerimônia ou prática de culto religioso”. Além disso, é notório que essa prática </w:t>
      </w:r>
      <w:r>
        <w:rPr>
          <w:rFonts w:ascii="Times New Roman" w:hAnsi="Times New Roman" w:cs="Times New Roman"/>
          <w:color w:val="000000" w:themeColor="text1"/>
          <w:sz w:val="24"/>
          <w:szCs w:val="24"/>
        </w:rPr>
        <w:t xml:space="preserve">extrapola as esferas do exercício regular do direito de propriedade, que encontra limitações nas normas concernentes ao direito de vizinhança. </w:t>
      </w:r>
    </w:p>
    <w:p>
      <w:pPr>
        <w:spacing w:after="0" w:line="36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        </w:t>
      </w:r>
    </w:p>
    <w:p>
      <w:pPr>
        <w:autoSpaceDE w:val="0"/>
        <w:autoSpaceDN w:val="0"/>
        <w:adjustRightInd w:val="0"/>
        <w:spacing w:after="0" w:line="360" w:lineRule="auto"/>
        <w:ind w:firstLine="1134"/>
        <w:jc w:val="both"/>
        <w:rPr>
          <w:rFonts w:ascii="Times New Roman" w:hAnsi="Times New Roman" w:cs="Times New Roman"/>
          <w:color w:val="000000" w:themeColor="text1"/>
          <w:sz w:val="24"/>
          <w:szCs w:val="24"/>
        </w:rPr>
      </w:pPr>
    </w:p>
    <w:p>
      <w:pPr>
        <w:autoSpaceDE w:val="0"/>
        <w:autoSpaceDN w:val="0"/>
        <w:adjustRightInd w:val="0"/>
        <w:spacing w:after="0" w:line="360" w:lineRule="auto"/>
        <w:jc w:val="both"/>
        <w:rPr>
          <w:rFonts w:ascii="Times New Roman" w:hAnsi="Times New Roman" w:cs="Times New Roman"/>
          <w:color w:val="000000" w:themeColor="text1"/>
          <w:sz w:val="24"/>
          <w:szCs w:val="24"/>
        </w:rPr>
      </w:pPr>
    </w:p>
    <w:p>
      <w:pPr>
        <w:autoSpaceDE w:val="0"/>
        <w:autoSpaceDN w:val="0"/>
        <w:adjustRightInd w:val="0"/>
        <w:spacing w:after="0" w:line="240" w:lineRule="auto"/>
        <w:rPr>
          <w:rFonts w:ascii="Times New Roman" w:hAnsi="Times New Roman" w:cs="Times New Roman"/>
          <w:color w:val="000000" w:themeColor="text1"/>
          <w:sz w:val="24"/>
          <w:szCs w:val="24"/>
        </w:rPr>
      </w:pPr>
    </w:p>
    <w:p>
      <w:pPr>
        <w:autoSpaceDE w:val="0"/>
        <w:autoSpaceDN w:val="0"/>
        <w:adjustRightInd w:val="0"/>
        <w:spacing w:after="0" w:line="240" w:lineRule="auto"/>
        <w:rPr>
          <w:rFonts w:ascii="Times New Roman" w:hAnsi="Times New Roman" w:cs="Times New Roman"/>
          <w:color w:val="000000" w:themeColor="text1"/>
          <w:sz w:val="24"/>
          <w:szCs w:val="24"/>
        </w:rPr>
      </w:pPr>
    </w:p>
    <w:p>
      <w:pPr>
        <w:autoSpaceDE w:val="0"/>
        <w:autoSpaceDN w:val="0"/>
        <w:adjustRightInd w:val="0"/>
        <w:spacing w:after="0" w:line="240" w:lineRule="auto"/>
        <w:rPr>
          <w:rFonts w:ascii="Times New Roman" w:hAnsi="Times New Roman" w:cs="Times New Roman"/>
          <w:color w:val="000000" w:themeColor="text1"/>
          <w:sz w:val="24"/>
          <w:szCs w:val="24"/>
        </w:rPr>
      </w:pPr>
    </w:p>
    <w:p>
      <w:pPr>
        <w:autoSpaceDE w:val="0"/>
        <w:autoSpaceDN w:val="0"/>
        <w:adjustRightInd w:val="0"/>
        <w:spacing w:after="0" w:line="240" w:lineRule="auto"/>
        <w:rPr>
          <w:rFonts w:ascii="Times New Roman" w:hAnsi="Times New Roman" w:cs="Times New Roman"/>
          <w:color w:val="000000" w:themeColor="text1"/>
          <w:sz w:val="24"/>
          <w:szCs w:val="24"/>
        </w:rPr>
      </w:pPr>
    </w:p>
    <w:p>
      <w:pPr>
        <w:autoSpaceDE w:val="0"/>
        <w:autoSpaceDN w:val="0"/>
        <w:adjustRightInd w:val="0"/>
        <w:spacing w:after="0" w:line="240" w:lineRule="auto"/>
        <w:jc w:val="center"/>
        <w:rPr>
          <w:rFonts w:ascii="Times New Roman" w:hAnsi="Times New Roman" w:cs="Times New Roman"/>
          <w:b/>
          <w:color w:val="000000" w:themeColor="text1"/>
          <w:sz w:val="24"/>
          <w:szCs w:val="24"/>
        </w:rPr>
      </w:pPr>
    </w:p>
    <w:p>
      <w:pPr>
        <w:autoSpaceDE w:val="0"/>
        <w:autoSpaceDN w:val="0"/>
        <w:adjustRightInd w:val="0"/>
        <w:spacing w:after="0" w:line="240" w:lineRule="auto"/>
        <w:jc w:val="center"/>
        <w:rPr>
          <w:rFonts w:ascii="Times New Roman" w:hAnsi="Times New Roman" w:cs="Times New Roman"/>
          <w:b/>
          <w:color w:val="000000" w:themeColor="text1"/>
          <w:sz w:val="24"/>
          <w:szCs w:val="24"/>
        </w:rPr>
      </w:pPr>
    </w:p>
    <w:p>
      <w:pPr>
        <w:autoSpaceDE w:val="0"/>
        <w:autoSpaceDN w:val="0"/>
        <w:adjustRightInd w:val="0"/>
        <w:spacing w:after="0" w:line="240" w:lineRule="auto"/>
        <w:jc w:val="center"/>
        <w:rPr>
          <w:rFonts w:ascii="Times New Roman" w:hAnsi="Times New Roman" w:cs="Times New Roman"/>
          <w:b/>
          <w:color w:val="000000" w:themeColor="text1"/>
          <w:sz w:val="24"/>
          <w:szCs w:val="24"/>
        </w:rPr>
      </w:pPr>
    </w:p>
    <w:p>
      <w:pPr>
        <w:autoSpaceDE w:val="0"/>
        <w:autoSpaceDN w:val="0"/>
        <w:adjustRightInd w:val="0"/>
        <w:spacing w:after="0" w:line="240" w:lineRule="auto"/>
        <w:jc w:val="center"/>
        <w:rPr>
          <w:rFonts w:ascii="Times New Roman" w:hAnsi="Times New Roman" w:cs="Times New Roman"/>
          <w:b/>
          <w:color w:val="000000" w:themeColor="text1"/>
          <w:sz w:val="24"/>
          <w:szCs w:val="24"/>
        </w:rPr>
      </w:pPr>
    </w:p>
    <w:p>
      <w:pPr>
        <w:autoSpaceDE w:val="0"/>
        <w:autoSpaceDN w:val="0"/>
        <w:adjustRightInd w:val="0"/>
        <w:spacing w:after="0" w:line="240" w:lineRule="auto"/>
        <w:jc w:val="center"/>
        <w:rPr>
          <w:rFonts w:ascii="Times New Roman" w:hAnsi="Times New Roman" w:cs="Times New Roman"/>
          <w:b/>
          <w:color w:val="000000" w:themeColor="text1"/>
          <w:sz w:val="24"/>
          <w:szCs w:val="24"/>
        </w:rPr>
      </w:pPr>
    </w:p>
    <w:p>
      <w:pPr>
        <w:autoSpaceDE w:val="0"/>
        <w:autoSpaceDN w:val="0"/>
        <w:adjustRightInd w:val="0"/>
        <w:spacing w:after="0" w:line="240" w:lineRule="auto"/>
        <w:jc w:val="center"/>
        <w:rPr>
          <w:rFonts w:ascii="Times New Roman" w:hAnsi="Times New Roman" w:cs="Times New Roman"/>
          <w:b/>
          <w:color w:val="000000" w:themeColor="text1"/>
          <w:sz w:val="24"/>
          <w:szCs w:val="24"/>
        </w:rPr>
      </w:pPr>
    </w:p>
    <w:p>
      <w:pPr>
        <w:autoSpaceDE w:val="0"/>
        <w:autoSpaceDN w:val="0"/>
        <w:adjustRightInd w:val="0"/>
        <w:spacing w:after="0" w:line="240" w:lineRule="auto"/>
        <w:jc w:val="center"/>
        <w:rPr>
          <w:rFonts w:ascii="Times New Roman" w:hAnsi="Times New Roman" w:cs="Times New Roman"/>
          <w:b/>
          <w:color w:val="000000" w:themeColor="text1"/>
          <w:sz w:val="24"/>
          <w:szCs w:val="24"/>
        </w:rPr>
      </w:pPr>
    </w:p>
    <w:p>
      <w:pPr>
        <w:autoSpaceDE w:val="0"/>
        <w:autoSpaceDN w:val="0"/>
        <w:adjustRightInd w:val="0"/>
        <w:spacing w:after="0" w:line="240" w:lineRule="auto"/>
        <w:jc w:val="center"/>
        <w:rPr>
          <w:rFonts w:ascii="Times New Roman" w:hAnsi="Times New Roman" w:cs="Times New Roman"/>
          <w:b/>
          <w:color w:val="000000" w:themeColor="text1"/>
          <w:sz w:val="24"/>
          <w:szCs w:val="24"/>
        </w:rPr>
      </w:pPr>
    </w:p>
    <w:p>
      <w:pPr>
        <w:autoSpaceDE w:val="0"/>
        <w:autoSpaceDN w:val="0"/>
        <w:adjustRightInd w:val="0"/>
        <w:spacing w:after="0" w:line="240" w:lineRule="auto"/>
        <w:jc w:val="center"/>
        <w:rPr>
          <w:rFonts w:ascii="Times New Roman" w:hAnsi="Times New Roman" w:cs="Times New Roman"/>
          <w:b/>
          <w:color w:val="000000" w:themeColor="text1"/>
          <w:sz w:val="24"/>
          <w:szCs w:val="24"/>
        </w:rPr>
      </w:pPr>
    </w:p>
    <w:p>
      <w:pPr>
        <w:autoSpaceDE w:val="0"/>
        <w:autoSpaceDN w:val="0"/>
        <w:adjustRightInd w:val="0"/>
        <w:spacing w:after="0" w:line="240" w:lineRule="auto"/>
        <w:jc w:val="center"/>
        <w:rPr>
          <w:rFonts w:ascii="Times New Roman" w:hAnsi="Times New Roman" w:cs="Times New Roman"/>
          <w:b/>
          <w:color w:val="000000" w:themeColor="text1"/>
          <w:sz w:val="24"/>
          <w:szCs w:val="24"/>
        </w:rPr>
      </w:pPr>
    </w:p>
    <w:p>
      <w:pPr>
        <w:autoSpaceDE w:val="0"/>
        <w:autoSpaceDN w:val="0"/>
        <w:adjustRightInd w:val="0"/>
        <w:spacing w:after="0" w:line="240" w:lineRule="auto"/>
        <w:jc w:val="center"/>
        <w:rPr>
          <w:rFonts w:ascii="Times New Roman" w:hAnsi="Times New Roman" w:cs="Times New Roman"/>
          <w:b/>
          <w:color w:val="000000" w:themeColor="text1"/>
          <w:sz w:val="24"/>
          <w:szCs w:val="24"/>
        </w:rPr>
      </w:pPr>
    </w:p>
    <w:p>
      <w:pPr>
        <w:autoSpaceDE w:val="0"/>
        <w:autoSpaceDN w:val="0"/>
        <w:adjustRightInd w:val="0"/>
        <w:spacing w:after="0" w:line="240" w:lineRule="auto"/>
        <w:jc w:val="center"/>
        <w:rPr>
          <w:rFonts w:ascii="Times New Roman" w:hAnsi="Times New Roman" w:cs="Times New Roman"/>
          <w:b/>
          <w:color w:val="000000" w:themeColor="text1"/>
          <w:sz w:val="24"/>
          <w:szCs w:val="24"/>
        </w:rPr>
      </w:pPr>
    </w:p>
    <w:p>
      <w:pPr>
        <w:autoSpaceDE w:val="0"/>
        <w:autoSpaceDN w:val="0"/>
        <w:adjustRightInd w:val="0"/>
        <w:spacing w:after="0" w:line="240" w:lineRule="auto"/>
        <w:rPr>
          <w:rFonts w:ascii="Times New Roman" w:hAnsi="Times New Roman" w:cs="Times New Roman"/>
          <w:b/>
          <w:color w:val="000000" w:themeColor="text1"/>
          <w:sz w:val="24"/>
          <w:szCs w:val="24"/>
        </w:rPr>
      </w:pPr>
    </w:p>
    <w:p>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REFERÊNCIAS</w:t>
      </w:r>
    </w:p>
    <w:p>
      <w:pPr>
        <w:autoSpaceDE w:val="0"/>
        <w:autoSpaceDN w:val="0"/>
        <w:adjustRightInd w:val="0"/>
        <w:spacing w:after="0" w:line="240" w:lineRule="auto"/>
        <w:rPr>
          <w:rFonts w:ascii="Times New Roman" w:hAnsi="Times New Roman" w:cs="Times New Roman"/>
          <w:b/>
          <w:color w:val="000000" w:themeColor="text1"/>
          <w:sz w:val="24"/>
          <w:szCs w:val="24"/>
        </w:rPr>
      </w:pPr>
    </w:p>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BRASIL. </w:t>
      </w:r>
      <w:r>
        <w:rPr>
          <w:rFonts w:ascii="Times New Roman" w:hAnsi="Times New Roman" w:cs="Times New Roman"/>
          <w:b/>
          <w:color w:val="000000" w:themeColor="text1"/>
          <w:sz w:val="24"/>
          <w:szCs w:val="24"/>
        </w:rPr>
        <w:t>Constituição da República Federativa do Brasil de 1988</w:t>
      </w:r>
      <w:r>
        <w:rPr>
          <w:rFonts w:ascii="Times New Roman" w:hAnsi="Times New Roman" w:cs="Times New Roman"/>
          <w:color w:val="000000" w:themeColor="text1"/>
          <w:sz w:val="24"/>
          <w:szCs w:val="24"/>
        </w:rPr>
        <w:t>. Disponível em: &lt;http://www.planalto.gov.br/ccivil_03/constituicao/ConstituicaoCompilado.htm.&gt;. Acesso em: 08 out. 2015.</w:t>
      </w:r>
    </w:p>
    <w:p>
      <w:pPr>
        <w:spacing w:after="0" w:line="240" w:lineRule="auto"/>
        <w:rPr>
          <w:rFonts w:ascii="Times New Roman" w:hAnsi="Times New Roman" w:cs="Times New Roman"/>
          <w:color w:val="000000" w:themeColor="text1"/>
          <w:sz w:val="24"/>
          <w:szCs w:val="24"/>
        </w:rPr>
      </w:pPr>
    </w:p>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BRASIL. Decreto-Lei nº 3.688, de 3 de outubro de 1941. </w:t>
      </w:r>
      <w:r>
        <w:rPr>
          <w:rFonts w:ascii="Times New Roman" w:hAnsi="Times New Roman" w:cs="Times New Roman"/>
          <w:b/>
          <w:color w:val="000000" w:themeColor="text1"/>
          <w:sz w:val="24"/>
          <w:szCs w:val="24"/>
        </w:rPr>
        <w:t>Lei das Contravenções Penais</w:t>
      </w:r>
      <w:r>
        <w:rPr>
          <w:rFonts w:ascii="Times New Roman" w:hAnsi="Times New Roman" w:cs="Times New Roman"/>
          <w:color w:val="000000" w:themeColor="text1"/>
          <w:sz w:val="24"/>
          <w:szCs w:val="24"/>
        </w:rPr>
        <w:t>. Disponível em: &lt;</w:t>
      </w:r>
      <w:r>
        <w:rPr>
          <w:rFonts w:ascii="Times New Roman" w:hAnsi="Times New Roman" w:cs="Times New Roman"/>
          <w:color w:val="000000" w:themeColor="text1"/>
        </w:rPr>
        <w:t xml:space="preserve"> </w:t>
      </w:r>
      <w:r>
        <w:rPr>
          <w:rFonts w:ascii="Times New Roman" w:hAnsi="Times New Roman" w:cs="Times New Roman"/>
          <w:color w:val="000000" w:themeColor="text1"/>
          <w:sz w:val="24"/>
          <w:szCs w:val="24"/>
        </w:rPr>
        <w:t>http://www.planalto.gov.br/ccivil_03/decreto-lei/Del3688.htm&gt;. Acesso em: 08 out. 2015.</w:t>
      </w:r>
    </w:p>
    <w:p>
      <w:pPr>
        <w:spacing w:after="0" w:line="240" w:lineRule="auto"/>
        <w:rPr>
          <w:rFonts w:ascii="Times New Roman" w:hAnsi="Times New Roman" w:cs="Times New Roman"/>
          <w:color w:val="000000" w:themeColor="text1"/>
          <w:sz w:val="24"/>
          <w:szCs w:val="24"/>
        </w:rPr>
      </w:pPr>
    </w:p>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BRASIL. Decreto </w:t>
      </w:r>
      <w:r>
        <w:rPr>
          <w:rFonts w:ascii="Times New Roman" w:eastAsia="Times New Roman" w:hAnsi="Times New Roman" w:cs="Times New Roman"/>
          <w:color w:val="000000" w:themeColor="text1"/>
          <w:sz w:val="24"/>
          <w:szCs w:val="24"/>
          <w:lang w:eastAsia="pt-BR"/>
        </w:rPr>
        <w:t>n</w:t>
      </w:r>
      <w:r>
        <w:rPr>
          <w:rFonts w:ascii="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eastAsia="pt-BR"/>
        </w:rPr>
        <w:t xml:space="preserve"> 678, de 6 de novembro de 1992. </w:t>
      </w:r>
      <w:r>
        <w:rPr>
          <w:rFonts w:ascii="Times New Roman" w:hAnsi="Times New Roman" w:cs="Times New Roman"/>
          <w:b/>
          <w:color w:val="000000" w:themeColor="text1"/>
          <w:sz w:val="24"/>
          <w:szCs w:val="24"/>
        </w:rPr>
        <w:t>Promulga a Convenção Americana sobre Direitos Humanos (Pacto de São José da Costa Rica), de 22 de novembro de 1969</w:t>
      </w:r>
      <w:r>
        <w:rPr>
          <w:rFonts w:ascii="Times New Roman" w:hAnsi="Times New Roman" w:cs="Times New Roman"/>
          <w:color w:val="000000" w:themeColor="text1"/>
          <w:sz w:val="24"/>
          <w:szCs w:val="24"/>
        </w:rPr>
        <w:t>.</w:t>
      </w:r>
    </w:p>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Disponível em: &lt;</w:t>
      </w:r>
      <w:r>
        <w:rPr>
          <w:rFonts w:ascii="Times New Roman" w:hAnsi="Times New Roman" w:cs="Times New Roman"/>
          <w:color w:val="000000" w:themeColor="text1"/>
        </w:rPr>
        <w:t xml:space="preserve"> </w:t>
      </w:r>
      <w:hyperlink r:id="rId8" w:history="1">
        <w:r>
          <w:rPr>
            <w:rStyle w:val="Hyperlink"/>
            <w:rFonts w:ascii="Times New Roman" w:hAnsi="Times New Roman" w:cs="Times New Roman"/>
            <w:color w:val="000000" w:themeColor="text1"/>
            <w:sz w:val="24"/>
            <w:szCs w:val="24"/>
          </w:rPr>
          <w:t>http://www.planalto.gov.br/ccivil_03/decreto/D0678.htm</w:t>
        </w:r>
      </w:hyperlink>
      <w:r>
        <w:rPr>
          <w:rFonts w:ascii="Times New Roman" w:hAnsi="Times New Roman" w:cs="Times New Roman"/>
          <w:color w:val="000000" w:themeColor="text1"/>
          <w:sz w:val="24"/>
          <w:szCs w:val="24"/>
        </w:rPr>
        <w:t>&gt;. Acesso em: 08 out. 2015.</w:t>
      </w:r>
    </w:p>
    <w:p>
      <w:pPr>
        <w:spacing w:after="0" w:line="240" w:lineRule="auto"/>
        <w:rPr>
          <w:rFonts w:ascii="Times New Roman" w:hAnsi="Times New Roman" w:cs="Times New Roman"/>
          <w:color w:val="000000" w:themeColor="text1"/>
          <w:sz w:val="24"/>
          <w:szCs w:val="24"/>
        </w:rPr>
      </w:pPr>
    </w:p>
    <w:p>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CHAGAS, Thiago. Justiça Federal define que cultos afro-brasileiros, como a umbanda e candomblé, não são religiões. Publicado em 15 de maio de 2014. Disponível em: &lt;</w:t>
      </w:r>
      <w:hyperlink r:id="rId9" w:history="1">
        <w:r>
          <w:rPr>
            <w:rStyle w:val="Hyperlink"/>
            <w:rFonts w:ascii="Times New Roman" w:hAnsi="Times New Roman" w:cs="Times New Roman"/>
            <w:color w:val="000000" w:themeColor="text1"/>
            <w:sz w:val="24"/>
            <w:szCs w:val="24"/>
          </w:rPr>
          <w:t>http://noticias.gospelmais.com.br/justica-federal-define-umbanda-candomble-religiao-67705.html</w:t>
        </w:r>
      </w:hyperlink>
      <w:r>
        <w:rPr>
          <w:rFonts w:ascii="Times New Roman" w:hAnsi="Times New Roman" w:cs="Times New Roman"/>
          <w:color w:val="000000" w:themeColor="text1"/>
          <w:sz w:val="24"/>
          <w:szCs w:val="24"/>
        </w:rPr>
        <w:t>&gt;. Acesso em: 08 out. 2015.</w:t>
      </w:r>
    </w:p>
    <w:p>
      <w:pPr>
        <w:autoSpaceDE w:val="0"/>
        <w:autoSpaceDN w:val="0"/>
        <w:adjustRightInd w:val="0"/>
        <w:spacing w:after="0" w:line="240" w:lineRule="auto"/>
        <w:rPr>
          <w:rFonts w:ascii="Times New Roman" w:hAnsi="Times New Roman" w:cs="Times New Roman"/>
          <w:b/>
          <w:color w:val="000000" w:themeColor="text1"/>
          <w:sz w:val="24"/>
          <w:szCs w:val="24"/>
        </w:rPr>
      </w:pPr>
    </w:p>
    <w:p>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DIMOULIS, </w:t>
      </w:r>
      <w:proofErr w:type="spellStart"/>
      <w:r>
        <w:rPr>
          <w:rFonts w:ascii="Times New Roman" w:hAnsi="Times New Roman" w:cs="Times New Roman"/>
          <w:color w:val="000000" w:themeColor="text1"/>
          <w:sz w:val="24"/>
          <w:szCs w:val="24"/>
        </w:rPr>
        <w:t>Dimitri</w:t>
      </w:r>
      <w:proofErr w:type="spellEnd"/>
      <w:r>
        <w:rPr>
          <w:rFonts w:ascii="Times New Roman" w:hAnsi="Times New Roman" w:cs="Times New Roman"/>
          <w:color w:val="000000" w:themeColor="text1"/>
          <w:sz w:val="24"/>
          <w:szCs w:val="24"/>
        </w:rPr>
        <w:t xml:space="preserve">; MARTINS, Leonardo. </w:t>
      </w:r>
      <w:r>
        <w:rPr>
          <w:rFonts w:ascii="Times New Roman" w:hAnsi="Times New Roman" w:cs="Times New Roman"/>
          <w:b/>
          <w:iCs/>
          <w:color w:val="000000" w:themeColor="text1"/>
          <w:sz w:val="24"/>
          <w:szCs w:val="24"/>
        </w:rPr>
        <w:t>Teoria Geral dos Direitos Fundamentais</w:t>
      </w:r>
      <w:r>
        <w:rPr>
          <w:rFonts w:ascii="Times New Roman" w:hAnsi="Times New Roman" w:cs="Times New Roman"/>
          <w:color w:val="000000" w:themeColor="text1"/>
          <w:sz w:val="24"/>
          <w:szCs w:val="24"/>
        </w:rPr>
        <w:t>. São Paulo: RT, 2006.</w:t>
      </w:r>
    </w:p>
    <w:p>
      <w:pPr>
        <w:autoSpaceDE w:val="0"/>
        <w:autoSpaceDN w:val="0"/>
        <w:adjustRightInd w:val="0"/>
        <w:spacing w:after="0" w:line="240" w:lineRule="auto"/>
        <w:rPr>
          <w:rFonts w:ascii="Times New Roman" w:hAnsi="Times New Roman" w:cs="Times New Roman"/>
          <w:color w:val="000000" w:themeColor="text1"/>
          <w:sz w:val="24"/>
          <w:szCs w:val="24"/>
        </w:rPr>
      </w:pPr>
    </w:p>
    <w:p>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FERREIRA, Pinto. </w:t>
      </w:r>
      <w:r>
        <w:rPr>
          <w:rFonts w:ascii="Times New Roman" w:hAnsi="Times New Roman" w:cs="Times New Roman"/>
          <w:b/>
          <w:iCs/>
          <w:color w:val="000000" w:themeColor="text1"/>
          <w:sz w:val="24"/>
          <w:szCs w:val="24"/>
        </w:rPr>
        <w:t>Comentários à constituição brasileira</w:t>
      </w:r>
      <w:r>
        <w:rPr>
          <w:rFonts w:ascii="Times New Roman" w:hAnsi="Times New Roman" w:cs="Times New Roman"/>
          <w:color w:val="000000" w:themeColor="text1"/>
          <w:sz w:val="24"/>
          <w:szCs w:val="24"/>
        </w:rPr>
        <w:t>. São Paulo: Saraiva, 1998.</w:t>
      </w:r>
    </w:p>
    <w:p>
      <w:pPr>
        <w:autoSpaceDE w:val="0"/>
        <w:autoSpaceDN w:val="0"/>
        <w:adjustRightInd w:val="0"/>
        <w:spacing w:after="0" w:line="240" w:lineRule="auto"/>
        <w:rPr>
          <w:rFonts w:ascii="Times New Roman" w:hAnsi="Times New Roman" w:cs="Times New Roman"/>
          <w:color w:val="000000" w:themeColor="text1"/>
          <w:sz w:val="24"/>
          <w:szCs w:val="24"/>
        </w:rPr>
      </w:pPr>
    </w:p>
    <w:p>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MIRANDA, Jorge. </w:t>
      </w:r>
      <w:r>
        <w:rPr>
          <w:rFonts w:ascii="Times New Roman" w:hAnsi="Times New Roman" w:cs="Times New Roman"/>
          <w:b/>
          <w:iCs/>
          <w:color w:val="000000" w:themeColor="text1"/>
          <w:sz w:val="24"/>
          <w:szCs w:val="24"/>
        </w:rPr>
        <w:t>Manual de direito constitucional</w:t>
      </w:r>
      <w:r>
        <w:rPr>
          <w:rFonts w:ascii="Times New Roman" w:hAnsi="Times New Roman" w:cs="Times New Roman"/>
          <w:iCs/>
          <w:color w:val="000000" w:themeColor="text1"/>
          <w:sz w:val="24"/>
          <w:szCs w:val="24"/>
        </w:rPr>
        <w:t xml:space="preserve">. </w:t>
      </w:r>
      <w:r>
        <w:rPr>
          <w:rFonts w:ascii="Times New Roman" w:hAnsi="Times New Roman" w:cs="Times New Roman"/>
          <w:color w:val="000000" w:themeColor="text1"/>
          <w:sz w:val="24"/>
          <w:szCs w:val="24"/>
        </w:rPr>
        <w:t>Tomo IV, direitos fundamentais. 3 ed. Coimbra: Coimbra, 2000.</w:t>
      </w:r>
    </w:p>
    <w:p>
      <w:pPr>
        <w:autoSpaceDE w:val="0"/>
        <w:autoSpaceDN w:val="0"/>
        <w:adjustRightInd w:val="0"/>
        <w:spacing w:after="0" w:line="240" w:lineRule="auto"/>
        <w:rPr>
          <w:rFonts w:ascii="Times New Roman" w:hAnsi="Times New Roman" w:cs="Times New Roman"/>
          <w:color w:val="000000" w:themeColor="text1"/>
          <w:sz w:val="24"/>
          <w:szCs w:val="24"/>
        </w:rPr>
      </w:pPr>
    </w:p>
    <w:p>
      <w:pPr>
        <w:autoSpaceDE w:val="0"/>
        <w:autoSpaceDN w:val="0"/>
        <w:adjustRightInd w:val="0"/>
        <w:spacing w:after="0"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ONU – Organização das Nações Unidas. </w:t>
      </w:r>
      <w:r>
        <w:rPr>
          <w:rFonts w:ascii="Times New Roman" w:hAnsi="Times New Roman" w:cs="Times New Roman"/>
          <w:b/>
          <w:bCs/>
          <w:color w:val="000000" w:themeColor="text1"/>
          <w:sz w:val="24"/>
          <w:szCs w:val="24"/>
        </w:rPr>
        <w:t>Protocolo de Direitos Humanos</w:t>
      </w:r>
      <w:r>
        <w:rPr>
          <w:rFonts w:ascii="Times New Roman" w:hAnsi="Times New Roman" w:cs="Times New Roman"/>
          <w:color w:val="000000" w:themeColor="text1"/>
          <w:sz w:val="24"/>
          <w:szCs w:val="24"/>
        </w:rPr>
        <w:t>. Nova York, 1948. Declaração Universal dos Direitos Humanos.</w:t>
      </w:r>
    </w:p>
    <w:p>
      <w:pPr>
        <w:autoSpaceDE w:val="0"/>
        <w:autoSpaceDN w:val="0"/>
        <w:adjustRightInd w:val="0"/>
        <w:spacing w:after="0" w:line="240" w:lineRule="auto"/>
        <w:rPr>
          <w:rFonts w:ascii="Times New Roman" w:hAnsi="Times New Roman" w:cs="Times New Roman"/>
          <w:b/>
          <w:color w:val="000000" w:themeColor="text1"/>
          <w:sz w:val="24"/>
          <w:szCs w:val="24"/>
        </w:rPr>
      </w:pPr>
    </w:p>
    <w:p>
      <w:pPr>
        <w:autoSpaceDE w:val="0"/>
        <w:autoSpaceDN w:val="0"/>
        <w:adjustRightInd w:val="0"/>
        <w:spacing w:after="0" w:line="240" w:lineRule="auto"/>
        <w:rPr>
          <w:rStyle w:val="Forte"/>
          <w:rFonts w:ascii="Times New Roman" w:hAnsi="Times New Roman" w:cs="Times New Roman"/>
          <w:b w:val="0"/>
          <w:bCs w:val="0"/>
          <w:color w:val="000000" w:themeColor="text1"/>
          <w:sz w:val="24"/>
          <w:szCs w:val="24"/>
        </w:rPr>
      </w:pPr>
      <w:r>
        <w:rPr>
          <w:rStyle w:val="Forte"/>
          <w:rFonts w:ascii="Times New Roman" w:hAnsi="Times New Roman" w:cs="Times New Roman"/>
          <w:b w:val="0"/>
          <w:bCs w:val="0"/>
          <w:color w:val="000000" w:themeColor="text1"/>
          <w:sz w:val="24"/>
          <w:szCs w:val="24"/>
        </w:rPr>
        <w:t xml:space="preserve">TAVARES, André Ramos. </w:t>
      </w:r>
      <w:r>
        <w:rPr>
          <w:rStyle w:val="Forte"/>
          <w:rFonts w:ascii="Times New Roman" w:hAnsi="Times New Roman" w:cs="Times New Roman"/>
          <w:bCs w:val="0"/>
          <w:color w:val="000000" w:themeColor="text1"/>
          <w:sz w:val="24"/>
          <w:szCs w:val="24"/>
        </w:rPr>
        <w:t>Curso de Direito Constitucional</w:t>
      </w:r>
      <w:r>
        <w:rPr>
          <w:rStyle w:val="Forte"/>
          <w:rFonts w:ascii="Times New Roman" w:hAnsi="Times New Roman" w:cs="Times New Roman"/>
          <w:b w:val="0"/>
          <w:bCs w:val="0"/>
          <w:color w:val="000000" w:themeColor="text1"/>
          <w:sz w:val="24"/>
          <w:szCs w:val="24"/>
        </w:rPr>
        <w:t>. 6. ed. São Paulo: Saraiva, 2008.</w:t>
      </w:r>
    </w:p>
    <w:p>
      <w:pPr>
        <w:autoSpaceDE w:val="0"/>
        <w:autoSpaceDN w:val="0"/>
        <w:adjustRightInd w:val="0"/>
        <w:spacing w:after="0" w:line="240" w:lineRule="auto"/>
        <w:rPr>
          <w:rStyle w:val="Forte"/>
          <w:rFonts w:ascii="Times New Roman" w:hAnsi="Times New Roman" w:cs="Times New Roman"/>
          <w:b w:val="0"/>
          <w:bCs w:val="0"/>
          <w:color w:val="000000" w:themeColor="text1"/>
          <w:sz w:val="24"/>
          <w:szCs w:val="24"/>
        </w:rPr>
      </w:pPr>
    </w:p>
    <w:p>
      <w:pPr>
        <w:autoSpaceDE w:val="0"/>
        <w:autoSpaceDN w:val="0"/>
        <w:adjustRightInd w:val="0"/>
        <w:spacing w:after="0" w:line="240" w:lineRule="auto"/>
        <w:rPr>
          <w:rFonts w:ascii="Times New Roman" w:hAnsi="Times New Roman" w:cs="Times New Roman"/>
          <w:b/>
          <w:color w:val="000000" w:themeColor="text1"/>
          <w:sz w:val="24"/>
          <w:szCs w:val="24"/>
        </w:rPr>
      </w:pPr>
      <w:hyperlink r:id="rId10" w:tooltip="Pierre Verger" w:history="1">
        <w:r>
          <w:rPr>
            <w:rStyle w:val="Hyperlink"/>
            <w:rFonts w:ascii="Times New Roman" w:hAnsi="Times New Roman" w:cs="Times New Roman"/>
            <w:color w:val="000000" w:themeColor="text1"/>
            <w:sz w:val="24"/>
            <w:szCs w:val="24"/>
            <w:lang w:val="pt-PT"/>
          </w:rPr>
          <w:t>VERGER, Pierre</w:t>
        </w:r>
      </w:hyperlink>
      <w:r>
        <w:rPr>
          <w:rFonts w:ascii="Times New Roman" w:hAnsi="Times New Roman" w:cs="Times New Roman"/>
          <w:color w:val="000000" w:themeColor="text1"/>
          <w:sz w:val="24"/>
          <w:szCs w:val="24"/>
          <w:lang w:val="pt-PT"/>
        </w:rPr>
        <w:t xml:space="preserve">. </w:t>
      </w:r>
      <w:r>
        <w:rPr>
          <w:rFonts w:ascii="Times New Roman" w:hAnsi="Times New Roman" w:cs="Times New Roman"/>
          <w:b/>
          <w:iCs/>
          <w:color w:val="000000" w:themeColor="text1"/>
          <w:sz w:val="24"/>
          <w:szCs w:val="24"/>
          <w:lang w:val="pt-PT"/>
        </w:rPr>
        <w:t>Fluxo e Refluxo do tráfico de escravos entre o Golfo do Benin e a Bahia de Todos os Santos</w:t>
      </w:r>
      <w:r>
        <w:rPr>
          <w:rFonts w:ascii="Times New Roman" w:hAnsi="Times New Roman" w:cs="Times New Roman"/>
          <w:color w:val="000000" w:themeColor="text1"/>
          <w:sz w:val="24"/>
          <w:szCs w:val="24"/>
          <w:lang w:val="pt-PT"/>
        </w:rPr>
        <w:t>. Salvador: Currupio, 1987.</w:t>
      </w:r>
    </w:p>
    <w:sectPr>
      <w:headerReference w:type="default" r:id="rId11"/>
      <w:headerReference w:type="first" r:id="rId12"/>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651240"/>
      <w:docPartObj>
        <w:docPartGallery w:val="Page Numbers (Top of Page)"/>
        <w:docPartUnique/>
      </w:docPartObj>
    </w:sdtPr>
    <w:sdtEndPr>
      <w:rPr>
        <w:rFonts w:ascii="Times New Roman" w:hAnsi="Times New Roman" w:cs="Times New Roman"/>
        <w:sz w:val="20"/>
        <w:szCs w:val="20"/>
      </w:rPr>
    </w:sdtEndPr>
    <w:sdtContent>
      <w:p>
        <w:pPr>
          <w:pStyle w:val="Cabealho"/>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Pr>
            <w:rFonts w:ascii="Times New Roman" w:hAnsi="Times New Roman" w:cs="Times New Roman"/>
            <w:noProof/>
            <w:sz w:val="20"/>
            <w:szCs w:val="20"/>
          </w:rPr>
          <w:t>4</w:t>
        </w:r>
        <w:r>
          <w:rPr>
            <w:rFonts w:ascii="Times New Roman" w:hAnsi="Times New Roman" w:cs="Times New Roman"/>
            <w:sz w:val="20"/>
            <w:szCs w:val="20"/>
          </w:rPr>
          <w:fldChar w:fldCharType="end"/>
        </w:r>
      </w:p>
    </w:sdtContent>
  </w:sdt>
  <w:p>
    <w:pPr>
      <w:pStyle w:val="Cabealh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A4F2B"/>
    <w:multiLevelType w:val="hybridMultilevel"/>
    <w:tmpl w:val="E828D0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E51AF0-9D41-48EB-830D-DF9D45C5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pPr>
      <w:ind w:left="720"/>
      <w:contextualSpacing/>
    </w:pPr>
  </w:style>
  <w:style w:type="paragraph" w:styleId="Textodenotaderodap">
    <w:name w:val="footnote text"/>
    <w:basedOn w:val="Normal"/>
    <w:link w:val="TextodenotaderodapChar"/>
    <w:uiPriority w:val="99"/>
    <w:semiHidden/>
    <w:unhideWhenUse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character" w:styleId="Refdenotaderodap">
    <w:name w:val="footnote reference"/>
    <w:basedOn w:val="Fontepargpadro"/>
    <w:uiPriority w:val="99"/>
    <w:semiHidden/>
    <w:unhideWhenUsed/>
    <w:rPr>
      <w:vertAlign w:val="superscript"/>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character" w:styleId="Hyperlink">
    <w:name w:val="Hyperlink"/>
    <w:basedOn w:val="Fontepargpadro"/>
    <w:uiPriority w:val="99"/>
    <w:unhideWhenUsed/>
    <w:rPr>
      <w:strike w:val="0"/>
      <w:dstrike w:val="0"/>
      <w:color w:val="8A0000"/>
      <w:sz w:val="18"/>
      <w:szCs w:val="18"/>
      <w:u w:val="none"/>
      <w:effect w:val="none"/>
    </w:rPr>
  </w:style>
  <w:style w:type="character" w:styleId="Forte">
    <w:name w:val="Strong"/>
    <w:basedOn w:val="Fontepargpadro"/>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Pr>
      <w:i/>
      <w:iCs/>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676">
      <w:bodyDiv w:val="1"/>
      <w:marLeft w:val="0"/>
      <w:marRight w:val="0"/>
      <w:marTop w:val="0"/>
      <w:marBottom w:val="0"/>
      <w:divBdr>
        <w:top w:val="none" w:sz="0" w:space="0" w:color="auto"/>
        <w:left w:val="none" w:sz="0" w:space="0" w:color="auto"/>
        <w:bottom w:val="none" w:sz="0" w:space="0" w:color="auto"/>
        <w:right w:val="none" w:sz="0" w:space="0" w:color="auto"/>
      </w:divBdr>
      <w:divsChild>
        <w:div w:id="716856383">
          <w:marLeft w:val="0"/>
          <w:marRight w:val="0"/>
          <w:marTop w:val="0"/>
          <w:marBottom w:val="0"/>
          <w:divBdr>
            <w:top w:val="none" w:sz="0" w:space="0" w:color="auto"/>
            <w:left w:val="none" w:sz="0" w:space="0" w:color="auto"/>
            <w:bottom w:val="none" w:sz="0" w:space="0" w:color="auto"/>
            <w:right w:val="none" w:sz="0" w:space="0" w:color="auto"/>
          </w:divBdr>
          <w:divsChild>
            <w:div w:id="2114812861">
              <w:marLeft w:val="150"/>
              <w:marRight w:val="150"/>
              <w:marTop w:val="0"/>
              <w:marBottom w:val="0"/>
              <w:divBdr>
                <w:top w:val="none" w:sz="0" w:space="0" w:color="auto"/>
                <w:left w:val="none" w:sz="0" w:space="0" w:color="auto"/>
                <w:bottom w:val="none" w:sz="0" w:space="0" w:color="auto"/>
                <w:right w:val="none" w:sz="0" w:space="0" w:color="auto"/>
              </w:divBdr>
              <w:divsChild>
                <w:div w:id="1075278245">
                  <w:marLeft w:val="0"/>
                  <w:marRight w:val="0"/>
                  <w:marTop w:val="0"/>
                  <w:marBottom w:val="0"/>
                  <w:divBdr>
                    <w:top w:val="none" w:sz="0" w:space="0" w:color="auto"/>
                    <w:left w:val="none" w:sz="0" w:space="0" w:color="auto"/>
                    <w:bottom w:val="none" w:sz="0" w:space="0" w:color="auto"/>
                    <w:right w:val="none" w:sz="0" w:space="0" w:color="auto"/>
                  </w:divBdr>
                  <w:divsChild>
                    <w:div w:id="1682506784">
                      <w:marLeft w:val="0"/>
                      <w:marRight w:val="0"/>
                      <w:marTop w:val="0"/>
                      <w:marBottom w:val="0"/>
                      <w:divBdr>
                        <w:top w:val="none" w:sz="0" w:space="0" w:color="auto"/>
                        <w:left w:val="none" w:sz="0" w:space="0" w:color="auto"/>
                        <w:bottom w:val="none" w:sz="0" w:space="0" w:color="auto"/>
                        <w:right w:val="none" w:sz="0" w:space="0" w:color="auto"/>
                      </w:divBdr>
                      <w:divsChild>
                        <w:div w:id="246841162">
                          <w:marLeft w:val="0"/>
                          <w:marRight w:val="0"/>
                          <w:marTop w:val="0"/>
                          <w:marBottom w:val="0"/>
                          <w:divBdr>
                            <w:top w:val="none" w:sz="0" w:space="0" w:color="auto"/>
                            <w:left w:val="none" w:sz="0" w:space="0" w:color="auto"/>
                            <w:bottom w:val="none" w:sz="0" w:space="0" w:color="auto"/>
                            <w:right w:val="none" w:sz="0" w:space="0" w:color="auto"/>
                          </w:divBdr>
                          <w:divsChild>
                            <w:div w:id="2078554256">
                              <w:marLeft w:val="0"/>
                              <w:marRight w:val="0"/>
                              <w:marTop w:val="0"/>
                              <w:marBottom w:val="0"/>
                              <w:divBdr>
                                <w:top w:val="none" w:sz="0" w:space="0" w:color="auto"/>
                                <w:left w:val="none" w:sz="0" w:space="0" w:color="auto"/>
                                <w:bottom w:val="none" w:sz="0" w:space="0" w:color="auto"/>
                                <w:right w:val="none" w:sz="0" w:space="0" w:color="auto"/>
                              </w:divBdr>
                              <w:divsChild>
                                <w:div w:id="1759520217">
                                  <w:marLeft w:val="0"/>
                                  <w:marRight w:val="0"/>
                                  <w:marTop w:val="0"/>
                                  <w:marBottom w:val="0"/>
                                  <w:divBdr>
                                    <w:top w:val="none" w:sz="0" w:space="0" w:color="auto"/>
                                    <w:left w:val="none" w:sz="0" w:space="0" w:color="auto"/>
                                    <w:bottom w:val="none" w:sz="0" w:space="0" w:color="auto"/>
                                    <w:right w:val="none" w:sz="0" w:space="0" w:color="auto"/>
                                  </w:divBdr>
                                  <w:divsChild>
                                    <w:div w:id="64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343228">
      <w:bodyDiv w:val="1"/>
      <w:marLeft w:val="0"/>
      <w:marRight w:val="0"/>
      <w:marTop w:val="0"/>
      <w:marBottom w:val="0"/>
      <w:divBdr>
        <w:top w:val="none" w:sz="0" w:space="0" w:color="auto"/>
        <w:left w:val="none" w:sz="0" w:space="0" w:color="auto"/>
        <w:bottom w:val="none" w:sz="0" w:space="0" w:color="auto"/>
        <w:right w:val="none" w:sz="0" w:space="0" w:color="auto"/>
      </w:divBdr>
      <w:divsChild>
        <w:div w:id="406878079">
          <w:marLeft w:val="0"/>
          <w:marRight w:val="0"/>
          <w:marTop w:val="0"/>
          <w:marBottom w:val="0"/>
          <w:divBdr>
            <w:top w:val="none" w:sz="0" w:space="0" w:color="auto"/>
            <w:left w:val="none" w:sz="0" w:space="0" w:color="auto"/>
            <w:bottom w:val="none" w:sz="0" w:space="0" w:color="auto"/>
            <w:right w:val="none" w:sz="0" w:space="0" w:color="auto"/>
          </w:divBdr>
          <w:divsChild>
            <w:div w:id="1400128824">
              <w:marLeft w:val="0"/>
              <w:marRight w:val="0"/>
              <w:marTop w:val="0"/>
              <w:marBottom w:val="0"/>
              <w:divBdr>
                <w:top w:val="none" w:sz="0" w:space="0" w:color="auto"/>
                <w:left w:val="none" w:sz="0" w:space="0" w:color="auto"/>
                <w:bottom w:val="none" w:sz="0" w:space="0" w:color="auto"/>
                <w:right w:val="none" w:sz="0" w:space="0" w:color="auto"/>
              </w:divBdr>
              <w:divsChild>
                <w:div w:id="1724525663">
                  <w:marLeft w:val="0"/>
                  <w:marRight w:val="0"/>
                  <w:marTop w:val="0"/>
                  <w:marBottom w:val="0"/>
                  <w:divBdr>
                    <w:top w:val="none" w:sz="0" w:space="0" w:color="auto"/>
                    <w:left w:val="none" w:sz="0" w:space="0" w:color="auto"/>
                    <w:bottom w:val="none" w:sz="0" w:space="0" w:color="auto"/>
                    <w:right w:val="none" w:sz="0" w:space="0" w:color="auto"/>
                  </w:divBdr>
                  <w:divsChild>
                    <w:div w:id="847526698">
                      <w:marLeft w:val="0"/>
                      <w:marRight w:val="0"/>
                      <w:marTop w:val="0"/>
                      <w:marBottom w:val="0"/>
                      <w:divBdr>
                        <w:top w:val="none" w:sz="0" w:space="0" w:color="auto"/>
                        <w:left w:val="none" w:sz="0" w:space="0" w:color="auto"/>
                        <w:bottom w:val="none" w:sz="0" w:space="0" w:color="auto"/>
                        <w:right w:val="none" w:sz="0" w:space="0" w:color="auto"/>
                      </w:divBdr>
                      <w:divsChild>
                        <w:div w:id="1153327225">
                          <w:marLeft w:val="0"/>
                          <w:marRight w:val="0"/>
                          <w:marTop w:val="0"/>
                          <w:marBottom w:val="0"/>
                          <w:divBdr>
                            <w:top w:val="none" w:sz="0" w:space="0" w:color="auto"/>
                            <w:left w:val="none" w:sz="0" w:space="0" w:color="auto"/>
                            <w:bottom w:val="none" w:sz="0" w:space="0" w:color="auto"/>
                            <w:right w:val="none" w:sz="0" w:space="0" w:color="auto"/>
                          </w:divBdr>
                          <w:divsChild>
                            <w:div w:id="2070881925">
                              <w:marLeft w:val="0"/>
                              <w:marRight w:val="0"/>
                              <w:marTop w:val="0"/>
                              <w:marBottom w:val="0"/>
                              <w:divBdr>
                                <w:top w:val="none" w:sz="0" w:space="0" w:color="auto"/>
                                <w:left w:val="none" w:sz="0" w:space="0" w:color="auto"/>
                                <w:bottom w:val="none" w:sz="0" w:space="0" w:color="auto"/>
                                <w:right w:val="none" w:sz="0" w:space="0" w:color="auto"/>
                              </w:divBdr>
                              <w:divsChild>
                                <w:div w:id="1883980324">
                                  <w:marLeft w:val="0"/>
                                  <w:marRight w:val="0"/>
                                  <w:marTop w:val="0"/>
                                  <w:marBottom w:val="0"/>
                                  <w:divBdr>
                                    <w:top w:val="none" w:sz="0" w:space="0" w:color="auto"/>
                                    <w:left w:val="none" w:sz="0" w:space="0" w:color="auto"/>
                                    <w:bottom w:val="none" w:sz="0" w:space="0" w:color="auto"/>
                                    <w:right w:val="none" w:sz="0" w:space="0" w:color="auto"/>
                                  </w:divBdr>
                                  <w:divsChild>
                                    <w:div w:id="1474133864">
                                      <w:marLeft w:val="0"/>
                                      <w:marRight w:val="0"/>
                                      <w:marTop w:val="0"/>
                                      <w:marBottom w:val="0"/>
                                      <w:divBdr>
                                        <w:top w:val="none" w:sz="0" w:space="0" w:color="auto"/>
                                        <w:left w:val="none" w:sz="0" w:space="0" w:color="auto"/>
                                        <w:bottom w:val="none" w:sz="0" w:space="0" w:color="auto"/>
                                        <w:right w:val="none" w:sz="0" w:space="0" w:color="auto"/>
                                      </w:divBdr>
                                      <w:divsChild>
                                        <w:div w:id="20605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26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D0678.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t.wikipedia.org/wiki/Pierre_Verger" TargetMode="External"/><Relationship Id="rId4" Type="http://schemas.openxmlformats.org/officeDocument/2006/relationships/settings" Target="settings.xml"/><Relationship Id="rId9" Type="http://schemas.openxmlformats.org/officeDocument/2006/relationships/hyperlink" Target="http://noticias.gospelmais.com.br/justica-federal-define-umbanda-candomble-religiao-67705.html"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B8C19-6473-4CB4-855F-6A78F4BE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7328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LARISSA DE JESUS LIMA</cp:lastModifiedBy>
  <cp:revision>3</cp:revision>
  <dcterms:created xsi:type="dcterms:W3CDTF">2018-06-20T19:24:00Z</dcterms:created>
  <dcterms:modified xsi:type="dcterms:W3CDTF">2018-06-20T19:53:00Z</dcterms:modified>
</cp:coreProperties>
</file>