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 COM JUSTA CAUSA DECORRENTE DE DESCUMPRIMENTO DE REGRA CONTRATUAL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Larissa de Jesus Lima Araújo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>
      <w:pPr>
        <w:pStyle w:val="PargrafodaLista"/>
        <w:ind w:left="0" w:firstLine="0"/>
        <w:jc w:val="both"/>
        <w:rPr>
          <w:b/>
        </w:rPr>
      </w:pPr>
    </w:p>
    <w:p>
      <w:pPr>
        <w:pStyle w:val="PargrafodaLista"/>
        <w:ind w:left="0"/>
        <w:jc w:val="both"/>
      </w:pPr>
      <w:r>
        <w:t xml:space="preserve">A justa causa consiste em um motivo de relevância, sendo previsto legalmente, o qual autoriza a resolução do contrato de trabalho por culpa do indivíduo que cometeu a infração, ou seja, o empregado. A CLT menciona a expressão “falta grave”, estabelecendo que esta constitui-se pela ‘prática de qualquer dos fatos a que se refere o art. 482, quando por sua repetição ou natureza apresentem séria violação dos deveres e obrigações do empregado’ (art.493, </w:t>
      </w:r>
      <w:proofErr w:type="gramStart"/>
      <w:r>
        <w:t>CLT)  (</w:t>
      </w:r>
      <w:proofErr w:type="gramEnd"/>
      <w:r>
        <w:t>DELGADO, 2013, p. 1223).</w:t>
      </w:r>
    </w:p>
    <w:p>
      <w:pPr>
        <w:pStyle w:val="PargrafodaLista"/>
        <w:ind w:left="0"/>
        <w:jc w:val="both"/>
      </w:pPr>
      <w:r>
        <w:t xml:space="preserve">Segundo Maurício Godinho Delgado (2013, p. 1237) a insubordinação caracteriza-se pelo “descumprimento de ordens específicas recebidas pelo empregado ou grupo delimitado de empregados. É o desatendimento pelo obreiro a ordem direta por ele recebida do empregador ou dos prepostos e chefias deste”. Ou seja, são utilizadas medidas disciplinares pedagógicas para evitar que o empregado continuasse a praticar tais condutas as quais estavam expressamente proibidas no contrato de trabalho, destacando o uso da internet somente para fins profissionais, com direito ao monitoramento por parte do empregador, visto que </w:t>
      </w:r>
      <w:proofErr w:type="gramStart"/>
      <w:r>
        <w:t>constitui-se</w:t>
      </w:r>
      <w:proofErr w:type="gramEnd"/>
      <w:r>
        <w:t xml:space="preserve"> como terceiro interessado.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disso, cabe-se mencionar que o uso da internet resulta em gastos para determinada empresa, não utilizado para tratar de assuntos relacionados a citada empresa, além de até mesmo deixar transparecer certa desídia, uma vez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pode-se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entender como demonstração de desinteresse pelo que lhe é dever cumprir, seu trabalho.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 infrações iniciais expostas colaboraram e culminaram com a dispensa por justa causa de Raul Pereira, após o mesmo continuar descumprindo cláusulas contratuais no início do ano de 2016, ao consultar diversos “sites”, ainda que no seu intervalo, visto que utilizava correio eletrônico da empresa, e não particular.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Possuindo o empregador, conforme o art. 2° da CLT, poder diretivo, o qual se manifesta também por meio “do controle, da vigilância e da fiscalização como forma de avaliar o cumprimento da obrigação do empregado, para, eventualmente, adotar medidas disciplinares” (STUDART, 2013, p.1).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Ademais, é também de extrema importância destacar, que a utilização do e-mail profissional vincula a empresa. Acerca disso, Ana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(2013, p. 2) discorre:</w:t>
      </w:r>
    </w:p>
    <w:p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monitoramento e fiscalização dos e-mails corporativos baseiam-se no direito de propriedade do empregador, uma vez que a ele pertencem os meios de produção, no poder patronal, que permite o controle da atividade laboral, no fato de que o correio eletrônico não goza de privacidade no ambiente do trabalho, na responsabilidade civil do empregador pelo eventual uso inadequado do e-mail.</w:t>
      </w:r>
    </w:p>
    <w:p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spacing w:before="150" w:after="150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Acórdão nº 20150183156, TRT 2ª Região, de São Paulo:</w:t>
      </w:r>
    </w:p>
    <w:p>
      <w:pPr>
        <w:shd w:val="clear" w:color="auto" w:fill="FFFFFF"/>
        <w:spacing w:before="150" w:after="150" w:line="240" w:lineRule="auto"/>
        <w:ind w:left="2268"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o</w:t>
      </w:r>
      <w:proofErr w:type="gramEnd"/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e-mail corporativo é (...) uma ferramenta de trabalho, destinado essencialmente à troca de mensagens de caráter profissional. Ainda, a associação da má utilização ao bom nome e reputação da ré (...) poderá, em tese, acarretar a responsabilização da ré perante terceiros pelos danos praticados pelo empregado (art.</w:t>
      </w:r>
      <w:r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932</w:t>
        </w:r>
      </w:hyperlink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III</w:t>
        </w:r>
      </w:hyperlink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, do </w:t>
      </w:r>
      <w:hyperlink r:id="rId10" w:tgtFrame="_blank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CC</w:t>
        </w:r>
      </w:hyperlink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) ou ainda prejuízo moral, já que lesivo à imagem da empresa.</w:t>
      </w:r>
    </w:p>
    <w:p>
      <w:pPr>
        <w:pStyle w:val="PargrafodaLista"/>
        <w:ind w:left="0"/>
        <w:jc w:val="both"/>
      </w:pPr>
    </w:p>
    <w:p>
      <w:pPr>
        <w:pStyle w:val="PargrafodaLista"/>
        <w:ind w:left="0"/>
        <w:jc w:val="both"/>
      </w:pPr>
      <w:r>
        <w:t>Assim a dispensa por justa causa, não perde seu direito de aviso prévio, consequentemente, autorizando “o descumprimento do princípio trabalhista geral da continuidade da relação de emprego, como extingue o pacto, negando ao trabalhador quaisquer das verbas rescisórias previstas em outras modalidades de rompimento do contrato” (DELGADO, 2013, p. 1249).</w:t>
      </w:r>
    </w:p>
    <w:p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Conforme o art. 477, CLT, “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É assegurado a todo empregado, não existindo prazo estipulado para a terminação do respectivo contrato, e quando não haja ele dado motivo para cessação das relações de trabalho, o direto de haver do empregador uma indenização, paga na base da maior remuneração que tenha percebido na mesma empresa”.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Seguindo este entendimento da incidência do artigo 477, considera-se então, aplicável ao caso o princípio da aplicação da norma mais favorável, o qual expõe que havendo duas ou mais normas as quais inclinam-se sobre o mesmo direito, deve-se optar pela mais favorável, independente de hierarquia (DELGADO, 2013).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para um excelente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profisisonal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atuação primorosa em sua área, tendo recebido diversos prêmios com destaque na imprensa, inclusive como funcionário do ano de tal empresa, rendendo-lhe um aumento salarial de quase 100%.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tais contribuições e benefícios decorrentes da atuação profissional devem ser levados em consideração, frente à insignificante em utilizar a internet da empresa para fins particulares, sendo fora do seu horário de trabalho, não prejudicando em absolutamente nada sua produção na empresa.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no art. 5°, CF, expondo o empregado a situação constrangedora. Também, conforme o artigo 483, alínea e, CLT, dispõe que “o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empregado poderá considerar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rescindido o contrato e pleitear a devida indenização quando: e) praticar o empregador ou seus prepostos, contra ele ou pessoas de sua família, ato lesivo da honra e boa fama”.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caso em questão, caberia também a aplicação do princípio protetor, o qual confere ao trabalhador, ou seja, a parte hipossuficiente da relação de trabalho, proteção jurídica em decorrência de sua posição econômica inferior. Tendo como objetivo equilibrar as duas partes do contrato de trabalho, frente à explícita desigualdade (DELGADO, 2013).</w:t>
      </w:r>
    </w:p>
    <w:p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  <w:bookmarkStart w:id="0" w:name="_GoBack"/>
      <w:bookmarkEnd w:id="0"/>
    </w:p>
    <w:p>
      <w:pPr>
        <w:pStyle w:val="PargrafodaLista"/>
        <w:tabs>
          <w:tab w:val="left" w:pos="426"/>
        </w:tabs>
        <w:ind w:left="0" w:firstLine="0"/>
        <w:jc w:val="both"/>
        <w:rPr>
          <w:b/>
        </w:rPr>
      </w:pPr>
    </w:p>
    <w:p>
      <w:pPr>
        <w:pStyle w:val="PargrafodaLista"/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lastRenderedPageBreak/>
        <w:t>REFERÊNCIAS BIBLIOGRÁFICAS</w:t>
      </w: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BRASIL, Consolidação das Leis do Trabalho. Saraiva, 2014.</w:t>
      </w: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Tribunal Regional do Trabalho. Acórdão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 20150183156, 2ª região, 17ª Turma. Desembargador Sérgio José Bueno Junqueira Machado.</w:t>
      </w: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DELGADO, Maurício Godinho. </w:t>
      </w:r>
      <w:r>
        <w:rPr>
          <w:rFonts w:ascii="Times New Roman" w:hAnsi="Times New Roman" w:cs="Times New Roman"/>
          <w:b/>
          <w:sz w:val="24"/>
          <w:szCs w:val="24"/>
        </w:rPr>
        <w:t>Curso do direito do trabalho</w:t>
      </w:r>
      <w:r>
        <w:rPr>
          <w:rFonts w:ascii="Times New Roman" w:hAnsi="Times New Roman" w:cs="Times New Roman"/>
          <w:sz w:val="24"/>
          <w:szCs w:val="24"/>
        </w:rPr>
        <w:t xml:space="preserve">. 12 ed.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LTr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STUDART, Ana Paula. O controle dos e-mails corporativos pelo empregador. </w:t>
      </w:r>
      <w:r>
        <w:rPr>
          <w:rFonts w:ascii="Times New Roman" w:hAnsi="Times New Roman" w:cs="Times New Roman"/>
          <w:b/>
          <w:sz w:val="24"/>
          <w:szCs w:val="24"/>
        </w:rPr>
        <w:t>Revistas UNIFACS</w:t>
      </w:r>
      <w:r>
        <w:rPr>
          <w:rFonts w:ascii="Times New Roman" w:hAnsi="Times New Roman" w:cs="Times New Roman"/>
          <w:sz w:val="24"/>
          <w:szCs w:val="24"/>
        </w:rPr>
        <w:t>. vol.2, 2013. Disponível em: 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www.revistas.unifacs.br/index.php/redu/article/download/2796/2036&gt;. Acesso em: 22 abr 2016.</w:t>
      </w:r>
    </w:p>
    <w:sectPr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Aluna do 7° período noturno do curso de Direito, da UNDB.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1FF"/>
    <w:multiLevelType w:val="multilevel"/>
    <w:tmpl w:val="8E6AEF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E3E4490"/>
    <w:multiLevelType w:val="hybridMultilevel"/>
    <w:tmpl w:val="1200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6110"/>
    <w:multiLevelType w:val="hybridMultilevel"/>
    <w:tmpl w:val="C7442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B343F"/>
    <w:multiLevelType w:val="multilevel"/>
    <w:tmpl w:val="1B74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80909-5112-4E84-9B9E-ED026C1E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77562/artigo-932-da-lei-n-10406-de-10-de-janeiro-de-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111983995/c%C3%B3digo-civil-lei-10406-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topicos/10677442/inciso-iii-do-artigo-932-da-lei-n-10406-de-10-de-janeiro-de-200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5F7F7-1D08-406B-91AC-AF06E062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Lyana Falção Léda Falcão Léda</dc:creator>
  <cp:lastModifiedBy>LARISSA DE JESUS LIMA</cp:lastModifiedBy>
  <cp:revision>2</cp:revision>
  <dcterms:created xsi:type="dcterms:W3CDTF">2018-06-20T19:20:00Z</dcterms:created>
  <dcterms:modified xsi:type="dcterms:W3CDTF">2018-06-20T19:20:00Z</dcterms:modified>
</cp:coreProperties>
</file>