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3A" w:rsidRDefault="0070393A" w:rsidP="007039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3A" w:rsidRDefault="004D0C44" w:rsidP="00703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</w:t>
      </w:r>
      <w:r w:rsidR="0070393A" w:rsidRPr="00BF46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5D">
        <w:rPr>
          <w:rFonts w:ascii="Times New Roman" w:hAnsi="Times New Roman" w:cs="Times New Roman"/>
          <w:sz w:val="24"/>
          <w:szCs w:val="24"/>
        </w:rPr>
        <w:t>A majoração do IOF pelo Decreto Presidencial nº 8.731/2016</w:t>
      </w:r>
    </w:p>
    <w:p w:rsidR="0070393A" w:rsidRDefault="0070393A" w:rsidP="00703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93A" w:rsidRDefault="004D0C44" w:rsidP="007039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Brito Ferreira Sousa</w:t>
      </w:r>
    </w:p>
    <w:p w:rsidR="004D0C44" w:rsidRDefault="004D0C44" w:rsidP="007039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55D" w:rsidRDefault="0044055D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F94">
        <w:rPr>
          <w:rFonts w:ascii="Times New Roman" w:hAnsi="Times New Roman" w:cs="Times New Roman"/>
          <w:b/>
          <w:sz w:val="24"/>
          <w:szCs w:val="24"/>
        </w:rPr>
        <w:t xml:space="preserve">1 DESCRIÇÃO DO CASO </w:t>
      </w:r>
    </w:p>
    <w:p w:rsidR="00992550" w:rsidRDefault="00992550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550" w:rsidRDefault="00992550" w:rsidP="00BD3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 Crise política e economia instaurada no Brasil, </w:t>
      </w:r>
      <w:r w:rsidR="00BD36F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Governo Federal tem buscado estratégias para fomentar o mercado interno de capital, bem como trazer boas expectativas aos brasileiros para o ano seguinte. Neste ínterim, no início do ano de 2016, ainda sob a presidência de Dilma Rousseff, o Governo Federal</w:t>
      </w:r>
      <w:r w:rsidR="00BD36F5">
        <w:rPr>
          <w:rFonts w:ascii="Times New Roman" w:hAnsi="Times New Roman" w:cs="Times New Roman"/>
          <w:sz w:val="24"/>
          <w:szCs w:val="24"/>
        </w:rPr>
        <w:t>, através do Decreto Presidencial nº 8731/2016,</w:t>
      </w:r>
      <w:r>
        <w:rPr>
          <w:rFonts w:ascii="Times New Roman" w:hAnsi="Times New Roman" w:cs="Times New Roman"/>
          <w:sz w:val="24"/>
          <w:szCs w:val="24"/>
        </w:rPr>
        <w:t xml:space="preserve"> elevou a taxa do Imposto Sobre Operações de Crédito, Câmbio e Seguro, ou Relativas a Título ou Valores Mobiliários (IOF), conhecido popularmente como Imposto sobre Operações Financeiras. </w:t>
      </w:r>
    </w:p>
    <w:p w:rsidR="00BD36F5" w:rsidRDefault="00992550" w:rsidP="00BD3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 destacar que a majoração da alíquota do IOF nas operações de compra de moeda estrangeira</w:t>
      </w:r>
      <w:r w:rsidR="00BD36F5">
        <w:rPr>
          <w:rFonts w:ascii="Times New Roman" w:hAnsi="Times New Roman" w:cs="Times New Roman"/>
          <w:sz w:val="24"/>
          <w:szCs w:val="24"/>
        </w:rPr>
        <w:t xml:space="preserve"> evoluiu de 0,38% para 1,1%</w:t>
      </w:r>
      <w:r>
        <w:rPr>
          <w:rFonts w:ascii="Times New Roman" w:hAnsi="Times New Roman" w:cs="Times New Roman"/>
          <w:sz w:val="24"/>
          <w:szCs w:val="24"/>
        </w:rPr>
        <w:t xml:space="preserve">, sob o fundamento de que </w:t>
      </w:r>
      <w:r w:rsidR="00BD36F5">
        <w:rPr>
          <w:rFonts w:ascii="Times New Roman" w:hAnsi="Times New Roman" w:cs="Times New Roman"/>
          <w:sz w:val="24"/>
          <w:szCs w:val="24"/>
        </w:rPr>
        <w:t>a medida não servirá para “tapar buracos”, mas, sim, para estimular o mercado interno de capital.</w:t>
      </w:r>
    </w:p>
    <w:p w:rsidR="00BD36F5" w:rsidRDefault="00BD36F5" w:rsidP="00BD3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breve exposto, surge uma verdadeira dicotomia acerca da legalidade ou não da majoração, posto que o Ministério da Fazenda divulgou a esperança de arrecadação de 2,377 bilhões de reais, ainda no ano de 2016. Porém, o IOF não se destina a simplesmente arrecadar um tributo para o aumento da Receita Pública.</w:t>
      </w:r>
    </w:p>
    <w:p w:rsidR="00992550" w:rsidRDefault="00BD36F5" w:rsidP="00BD36F5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fator estimulou uma grande crítica acerca da medida. </w:t>
      </w:r>
    </w:p>
    <w:p w:rsidR="0044055D" w:rsidRDefault="0044055D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B3" w:rsidRDefault="007E22B3" w:rsidP="007E2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E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QUESTÃO PRINCIPAL</w:t>
      </w:r>
    </w:p>
    <w:p w:rsidR="00FB60EE" w:rsidRDefault="007E22B3" w:rsidP="007E2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Dentre as funções dos tributos, em qual delas se encaixa o IOF?</w:t>
      </w:r>
    </w:p>
    <w:p w:rsidR="00E327C2" w:rsidRPr="00FB60EE" w:rsidRDefault="00E327C2" w:rsidP="007E2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2B3" w:rsidRDefault="008F02B3" w:rsidP="008F0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0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primordial função dos Tributos é a de angariar recursos financeiros para que o Estado movimente as atividades essenciais para atender os interesses sociais primários (HARADA, 2016). Contudo, além disso, os tributos são utilizados para interferir na economia privada</w:t>
      </w:r>
      <w:r w:rsidR="00B02447">
        <w:rPr>
          <w:rFonts w:ascii="Times New Roman" w:hAnsi="Times New Roman" w:cs="Times New Roman"/>
          <w:sz w:val="24"/>
          <w:szCs w:val="24"/>
        </w:rPr>
        <w:t xml:space="preserve"> “estimulando atividades, setores econômicos ou regiões, desestimulando o consumo de certos bens e produzindo, finalmente, os efeitos mais dive</w:t>
      </w:r>
      <w:r w:rsidR="0027759D">
        <w:rPr>
          <w:rFonts w:ascii="Times New Roman" w:hAnsi="Times New Roman" w:cs="Times New Roman"/>
          <w:sz w:val="24"/>
          <w:szCs w:val="24"/>
        </w:rPr>
        <w:t>rsos na economia” (MACHADO, 2010</w:t>
      </w:r>
      <w:r w:rsidR="00B02447">
        <w:rPr>
          <w:rFonts w:ascii="Times New Roman" w:hAnsi="Times New Roman" w:cs="Times New Roman"/>
          <w:sz w:val="24"/>
          <w:szCs w:val="24"/>
        </w:rPr>
        <w:t xml:space="preserve">, p. 73). </w:t>
      </w:r>
    </w:p>
    <w:p w:rsidR="00B02447" w:rsidRDefault="00B02447" w:rsidP="008F0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Deste modo, a partir da classificação doutrinária é possível identificar três diversas funções aos tributos, cada um com o seu peculiar objetivo. São eles: o </w:t>
      </w:r>
      <w:r w:rsidRPr="00B02447">
        <w:rPr>
          <w:rFonts w:ascii="Times New Roman" w:hAnsi="Times New Roman" w:cs="Times New Roman"/>
          <w:b/>
          <w:sz w:val="24"/>
          <w:szCs w:val="24"/>
        </w:rPr>
        <w:t>Fiscal</w:t>
      </w:r>
      <w:r>
        <w:rPr>
          <w:rFonts w:ascii="Times New Roman" w:hAnsi="Times New Roman" w:cs="Times New Roman"/>
          <w:sz w:val="24"/>
          <w:szCs w:val="24"/>
        </w:rPr>
        <w:t xml:space="preserve">, quando o foco do tributo for a mera arrecadação de recursos financeiros para o Estado; o </w:t>
      </w:r>
      <w:r w:rsidRPr="00B02447">
        <w:rPr>
          <w:rFonts w:ascii="Times New Roman" w:hAnsi="Times New Roman" w:cs="Times New Roman"/>
          <w:b/>
          <w:sz w:val="24"/>
          <w:szCs w:val="24"/>
        </w:rPr>
        <w:t>Extrafiscal</w:t>
      </w:r>
      <w:r>
        <w:rPr>
          <w:rFonts w:ascii="Times New Roman" w:hAnsi="Times New Roman" w:cs="Times New Roman"/>
          <w:sz w:val="24"/>
          <w:szCs w:val="24"/>
        </w:rPr>
        <w:t xml:space="preserve">, quando a sua incidência encontra motivo de ser na interferência no domínio econômico; e, alguns doutrinadores reconhecem, o </w:t>
      </w:r>
      <w:r w:rsidRPr="00013F1E">
        <w:rPr>
          <w:rFonts w:ascii="Times New Roman" w:hAnsi="Times New Roman" w:cs="Times New Roman"/>
          <w:b/>
          <w:sz w:val="24"/>
          <w:szCs w:val="24"/>
        </w:rPr>
        <w:t>Parafiscal</w:t>
      </w:r>
      <w:r>
        <w:rPr>
          <w:rFonts w:ascii="Times New Roman" w:hAnsi="Times New Roman" w:cs="Times New Roman"/>
          <w:sz w:val="24"/>
          <w:szCs w:val="24"/>
        </w:rPr>
        <w:t xml:space="preserve">, que possui o escopo de fazer valer “atividades que não integram funções próprias do Estado, mas este as desenvolve através de entidades específicas”. </w:t>
      </w:r>
      <w:r w:rsidR="0027759D">
        <w:rPr>
          <w:rFonts w:ascii="Times New Roman" w:hAnsi="Times New Roman" w:cs="Times New Roman"/>
          <w:sz w:val="24"/>
          <w:szCs w:val="24"/>
        </w:rPr>
        <w:t>(MACHADO, 2010</w:t>
      </w:r>
      <w:r w:rsidR="00013F1E">
        <w:rPr>
          <w:rFonts w:ascii="Times New Roman" w:hAnsi="Times New Roman" w:cs="Times New Roman"/>
          <w:sz w:val="24"/>
          <w:szCs w:val="24"/>
        </w:rPr>
        <w:t xml:space="preserve">, p. 73). </w:t>
      </w:r>
    </w:p>
    <w:p w:rsidR="008169FE" w:rsidRDefault="008169FE" w:rsidP="008F02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Nesta senda, insta destacar que o </w:t>
      </w:r>
      <w:r w:rsidRPr="00E74BC8">
        <w:rPr>
          <w:rFonts w:ascii="Times New Roman" w:hAnsi="Times New Roman" w:cs="Times New Roman"/>
          <w:sz w:val="24"/>
          <w:szCs w:val="24"/>
          <w:u w:val="single"/>
        </w:rPr>
        <w:t>IOF possui a função Extrafiscal</w:t>
      </w:r>
      <w:r>
        <w:rPr>
          <w:rFonts w:ascii="Times New Roman" w:hAnsi="Times New Roman" w:cs="Times New Roman"/>
          <w:sz w:val="24"/>
          <w:szCs w:val="24"/>
        </w:rPr>
        <w:t xml:space="preserve">, pois, segundo Harada (2016), o referido tributo </w:t>
      </w:r>
      <w:r w:rsidR="00E74BC8">
        <w:rPr>
          <w:rFonts w:ascii="Times New Roman" w:hAnsi="Times New Roman" w:cs="Times New Roman"/>
          <w:sz w:val="24"/>
          <w:szCs w:val="24"/>
        </w:rPr>
        <w:t>possui como principal função a interferência e manipulação da política de crédito</w:t>
      </w:r>
      <w:r w:rsidR="00E74BC8" w:rsidRPr="00E7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4BC8" w:rsidRPr="00E74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câmbio, seguro e valores imobiliários.</w:t>
      </w:r>
    </w:p>
    <w:p w:rsidR="00E74BC8" w:rsidRDefault="00E74BC8" w:rsidP="008F02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Contudo, observa-se que a sua primordial função tem se esvaído, posto que “o produto de sua arrecadação não pode mais ser destinado à formação de reservas monetárias ou de capital para financiamento de programas de desenvolvimento econômico” (HARADA, 2016, p. 462). </w:t>
      </w:r>
    </w:p>
    <w:p w:rsidR="007E22B3" w:rsidRPr="00E74BC8" w:rsidRDefault="00E74BC8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7E22B3" w:rsidRDefault="007E22B3" w:rsidP="007E2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ANÁLISE DO CASO</w:t>
      </w:r>
    </w:p>
    <w:p w:rsidR="007E22B3" w:rsidRDefault="007E22B3" w:rsidP="007E2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Possíveis decisões acerca da competência da Presidente da República para a majoração de impostos através de Decreto Presidencial</w:t>
      </w:r>
    </w:p>
    <w:p w:rsidR="00E74BC8" w:rsidRDefault="00E74BC8" w:rsidP="007E2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B3" w:rsidRDefault="0096401B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E22B3">
        <w:rPr>
          <w:rFonts w:ascii="Times New Roman" w:hAnsi="Times New Roman" w:cs="Times New Roman"/>
          <w:sz w:val="24"/>
          <w:szCs w:val="24"/>
        </w:rPr>
        <w:t xml:space="preserve">.1 Argumentos fundamentados sob a perspectiva de que é </w:t>
      </w:r>
      <w:r w:rsidR="007E22B3" w:rsidRPr="000955B8">
        <w:rPr>
          <w:rFonts w:ascii="Times New Roman" w:hAnsi="Times New Roman" w:cs="Times New Roman"/>
          <w:b/>
          <w:sz w:val="24"/>
          <w:szCs w:val="24"/>
        </w:rPr>
        <w:t>cabível</w:t>
      </w:r>
      <w:r w:rsidR="007E22B3">
        <w:rPr>
          <w:rFonts w:ascii="Times New Roman" w:hAnsi="Times New Roman" w:cs="Times New Roman"/>
          <w:sz w:val="24"/>
          <w:szCs w:val="24"/>
        </w:rPr>
        <w:t xml:space="preserve"> a majoração</w:t>
      </w:r>
    </w:p>
    <w:p w:rsidR="0096401B" w:rsidRDefault="0096401B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BE" w:rsidRDefault="0096401B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Dispõe o artigo 153, §1º, da Constituição Federal que “é facultado ao Poder Executivo, atendidas as condições e os limites estabelecidos em lei, alterar as alíquotas dos impostos enumerados nos incisos I, II, IV e V”</w:t>
      </w:r>
      <w:r w:rsidR="00ED43BE">
        <w:rPr>
          <w:rFonts w:ascii="Times New Roman" w:hAnsi="Times New Roman" w:cs="Times New Roman"/>
          <w:sz w:val="24"/>
          <w:szCs w:val="24"/>
        </w:rPr>
        <w:t xml:space="preserve"> (BRASIL, 1998)</w:t>
      </w:r>
      <w:r>
        <w:rPr>
          <w:rFonts w:ascii="Times New Roman" w:hAnsi="Times New Roman" w:cs="Times New Roman"/>
          <w:sz w:val="24"/>
          <w:szCs w:val="24"/>
        </w:rPr>
        <w:t xml:space="preserve">. Assim, diante da jurisprudência do Supremo Tribunal Federal é possível </w:t>
      </w:r>
      <w:r w:rsidR="00354DD9">
        <w:rPr>
          <w:rFonts w:ascii="Times New Roman" w:hAnsi="Times New Roman" w:cs="Times New Roman"/>
          <w:sz w:val="24"/>
          <w:szCs w:val="24"/>
        </w:rPr>
        <w:t xml:space="preserve">averiguar que </w:t>
      </w:r>
    </w:p>
    <w:p w:rsidR="00ED43BE" w:rsidRDefault="00ED43BE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01B" w:rsidRPr="00ED43BE" w:rsidRDefault="00354DD9" w:rsidP="00ED43B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D43BE">
        <w:rPr>
          <w:rFonts w:ascii="Times New Roman" w:hAnsi="Times New Roman" w:cs="Times New Roman"/>
          <w:sz w:val="20"/>
          <w:szCs w:val="20"/>
        </w:rPr>
        <w:t xml:space="preserve">Imposto de importação: alteração das alíquotas, por ato do Executivo, atendidas as condições e os limites estabelecidos em lei: CF, art. 153, §1º. A lei de condições e limites é lei ordinária, dado que a lei complementar somente será exigido se a Constituição, expressamente, assim determinar. No ponto, a Constituição excepcionou a regra inscrita no art. 146, II. </w:t>
      </w:r>
      <w:r w:rsidRPr="00ED43BE">
        <w:rPr>
          <w:rFonts w:ascii="Times New Roman" w:hAnsi="Times New Roman" w:cs="Times New Roman"/>
          <w:sz w:val="20"/>
          <w:szCs w:val="20"/>
          <w:u w:val="single"/>
        </w:rPr>
        <w:t xml:space="preserve">A motivação do decreto que alterou as alíquotas encontra-se no procedimento administrativo de sua formação, mesmo porque os motivos do decreto não vêm nele próprio [...] o que a Constituição exige, no art. 150, III, </w:t>
      </w:r>
      <w:r w:rsidRPr="00ED43BE">
        <w:rPr>
          <w:rFonts w:ascii="Times New Roman" w:hAnsi="Times New Roman" w:cs="Times New Roman"/>
          <w:i/>
          <w:sz w:val="20"/>
          <w:szCs w:val="20"/>
          <w:u w:val="single"/>
        </w:rPr>
        <w:t>a</w:t>
      </w:r>
      <w:r w:rsidRPr="00ED43BE">
        <w:rPr>
          <w:rFonts w:ascii="Times New Roman" w:hAnsi="Times New Roman" w:cs="Times New Roman"/>
          <w:sz w:val="20"/>
          <w:szCs w:val="20"/>
          <w:u w:val="single"/>
        </w:rPr>
        <w:t xml:space="preserve">, é que </w:t>
      </w:r>
      <w:r w:rsidR="0063648A" w:rsidRPr="00ED43BE">
        <w:rPr>
          <w:rFonts w:ascii="Times New Roman" w:hAnsi="Times New Roman" w:cs="Times New Roman"/>
          <w:sz w:val="20"/>
          <w:szCs w:val="20"/>
          <w:u w:val="single"/>
        </w:rPr>
        <w:t>a lei que institua ou que majore o tributo seja anterior ao fato gerador. No caso</w:t>
      </w:r>
      <w:r w:rsidR="00ED43BE" w:rsidRPr="00ED43BE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63648A" w:rsidRPr="00ED43BE">
        <w:rPr>
          <w:rFonts w:ascii="Times New Roman" w:hAnsi="Times New Roman" w:cs="Times New Roman"/>
          <w:sz w:val="20"/>
          <w:szCs w:val="20"/>
          <w:u w:val="single"/>
        </w:rPr>
        <w:t xml:space="preserve"> o decreto </w:t>
      </w:r>
      <w:r w:rsidR="00ED43BE" w:rsidRPr="00ED43BE">
        <w:rPr>
          <w:rFonts w:ascii="Times New Roman" w:hAnsi="Times New Roman" w:cs="Times New Roman"/>
          <w:sz w:val="20"/>
          <w:szCs w:val="20"/>
          <w:u w:val="single"/>
        </w:rPr>
        <w:t>que alterou as alíquotas é anterior ao fato gerador do imposto</w:t>
      </w:r>
      <w:r w:rsidR="00ED43BE" w:rsidRPr="00ED43BE">
        <w:rPr>
          <w:rFonts w:ascii="Times New Roman" w:hAnsi="Times New Roman" w:cs="Times New Roman"/>
          <w:sz w:val="20"/>
          <w:szCs w:val="20"/>
        </w:rPr>
        <w:t xml:space="preserve"> (RE </w:t>
      </w:r>
      <w:r w:rsidR="00ED43BE" w:rsidRPr="00ED43BE">
        <w:rPr>
          <w:rFonts w:ascii="Times New Roman" w:hAnsi="Times New Roman" w:cs="Times New Roman"/>
          <w:sz w:val="20"/>
          <w:szCs w:val="20"/>
        </w:rPr>
        <w:lastRenderedPageBreak/>
        <w:t xml:space="preserve">225.602, Rel. Min. Carlos Velloso, julgamento em 25-11-1998, Plenário, DJ de 6-4-2001). </w:t>
      </w:r>
    </w:p>
    <w:p w:rsidR="00E74BC8" w:rsidRDefault="00E74BC8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BE" w:rsidRDefault="00ED43BE" w:rsidP="00BE117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Ademais, o Código Tributário Nacional dispõe em seu artigo 65, que “o</w:t>
      </w:r>
      <w:r w:rsidRPr="00ED4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Poder Executivo pode, nas condições e nos limites estabelecidos em lei, alterar as alíquotas ou as bases de cálculo do imposto, a fim de ajustá-lo </w:t>
      </w:r>
      <w:r w:rsidRPr="001141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aos objetivos da política monetária</w:t>
      </w:r>
      <w:r w:rsidR="0011419C" w:rsidRPr="00114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114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450E" w:rsidRDefault="00AA450E" w:rsidP="00BE117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Assim, a partir da análise do Resumo da Política Econômica do Governo para o ano de 2016, é possível constatar </w:t>
      </w:r>
      <w:r w:rsidR="00754C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objetivos das políticas monetária, creditícia e cambial </w:t>
      </w:r>
    </w:p>
    <w:p w:rsidR="00AA450E" w:rsidRPr="00754CD6" w:rsidRDefault="00754CD6" w:rsidP="00754CD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[...] </w:t>
      </w:r>
      <w:r w:rsidR="00AA450E" w:rsidRPr="00754CD6">
        <w:rPr>
          <w:rFonts w:ascii="Times New Roman" w:hAnsi="Times New Roman" w:cs="Times New Roman"/>
          <w:sz w:val="20"/>
          <w:szCs w:val="20"/>
        </w:rPr>
        <w:t xml:space="preserve">a manutenção das condições prudenciais e regulamentares para que a expansão do mercado de crédito ocorra em ambiente que preserve a estabilidade do sistema financeiro nacional; e a preservação do regime de taxa de câmbio flutuante. O alcance desses objetivos deve observar a evolução da economia brasileira, em linha com as medidas conjunturais implementadas (BRASIL, 2016, p. 20). </w:t>
      </w:r>
    </w:p>
    <w:p w:rsidR="00BE117F" w:rsidRPr="00BE117F" w:rsidRDefault="00BE117F" w:rsidP="00AA450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117F" w:rsidRDefault="00BE117F" w:rsidP="00BE117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Por fim, vale rememorar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que a função do Tributo Extrafiscal é diferenciada da função Fiscal justamente por atuar com o escopo de interferir sobre os comportamentos </w:t>
      </w:r>
      <w:r w:rsidRPr="00BE1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sociais e econômicos dos contribuintes, seja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estimulando, seja inibindo certos procedimentos, tudo isso para ordenar a economia e as relações sociais</w:t>
      </w:r>
      <w:r w:rsidRPr="00BE117F">
        <w:rPr>
          <w:rFonts w:ascii="Times New Roman" w:hAnsi="Times New Roman" w:cs="Times New Roman"/>
          <w:sz w:val="24"/>
          <w:szCs w:val="24"/>
          <w:shd w:val="clear" w:color="auto" w:fill="FFFFFF"/>
        </w:rPr>
        <w:t>(ATALIBA apud CORATTO, 2012)</w:t>
      </w:r>
      <w:r w:rsidR="00754C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4BC8" w:rsidRDefault="00754CD6" w:rsidP="00754C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Assim, diante do exposto, a Presidente da República é competente para majorar o Imposto através de Decreto. </w:t>
      </w:r>
    </w:p>
    <w:p w:rsidR="00754CD6" w:rsidRDefault="00754CD6" w:rsidP="00754C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E22B3" w:rsidRDefault="0096401B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7E22B3">
        <w:rPr>
          <w:rFonts w:ascii="Times New Roman" w:hAnsi="Times New Roman" w:cs="Times New Roman"/>
          <w:sz w:val="24"/>
          <w:szCs w:val="24"/>
        </w:rPr>
        <w:t xml:space="preserve"> Argumentos fundamentados sob a perspectiva de que é </w:t>
      </w:r>
      <w:r w:rsidR="007E22B3">
        <w:rPr>
          <w:rFonts w:ascii="Times New Roman" w:hAnsi="Times New Roman" w:cs="Times New Roman"/>
          <w:b/>
          <w:sz w:val="24"/>
          <w:szCs w:val="24"/>
        </w:rPr>
        <w:t>in</w:t>
      </w:r>
      <w:r w:rsidR="007E22B3" w:rsidRPr="000955B8">
        <w:rPr>
          <w:rFonts w:ascii="Times New Roman" w:hAnsi="Times New Roman" w:cs="Times New Roman"/>
          <w:b/>
          <w:sz w:val="24"/>
          <w:szCs w:val="24"/>
        </w:rPr>
        <w:t>cabível</w:t>
      </w:r>
      <w:r w:rsidR="007E22B3">
        <w:rPr>
          <w:rFonts w:ascii="Times New Roman" w:hAnsi="Times New Roman" w:cs="Times New Roman"/>
          <w:sz w:val="24"/>
          <w:szCs w:val="24"/>
        </w:rPr>
        <w:t xml:space="preserve"> a majoração</w:t>
      </w:r>
    </w:p>
    <w:p w:rsidR="00754CD6" w:rsidRDefault="00754CD6" w:rsidP="007E2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CD6" w:rsidRDefault="00754CD6" w:rsidP="00DE1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Utilizando as palavras do Ministro da Fazenda </w:t>
      </w:r>
      <w:r w:rsidR="00DE1A5A">
        <w:rPr>
          <w:rFonts w:ascii="Times New Roman" w:hAnsi="Times New Roman" w:cs="Times New Roman"/>
          <w:sz w:val="24"/>
          <w:szCs w:val="24"/>
        </w:rPr>
        <w:t xml:space="preserve">Nelson Barbosa, à época da publicação do Decreto Presidencial nº 8.731/2016, “a expectativa do governo de alta anual da arrecadação é de R$ 2,37 bilhões” (MARTELLO, 2016). </w:t>
      </w:r>
      <w:r w:rsidR="000E1576">
        <w:rPr>
          <w:rFonts w:ascii="Times New Roman" w:hAnsi="Times New Roman" w:cs="Times New Roman"/>
          <w:sz w:val="24"/>
          <w:szCs w:val="24"/>
        </w:rPr>
        <w:t xml:space="preserve">Assim, diante da fala do Ministro é possível averiguar desde logo </w:t>
      </w:r>
      <w:r w:rsidR="00FB60EE">
        <w:rPr>
          <w:rFonts w:ascii="Times New Roman" w:hAnsi="Times New Roman" w:cs="Times New Roman"/>
          <w:sz w:val="24"/>
          <w:szCs w:val="24"/>
        </w:rPr>
        <w:t xml:space="preserve">um desvio de finalidade </w:t>
      </w:r>
      <w:r w:rsidR="000E1576">
        <w:rPr>
          <w:rFonts w:ascii="Times New Roman" w:hAnsi="Times New Roman" w:cs="Times New Roman"/>
          <w:sz w:val="24"/>
          <w:szCs w:val="24"/>
        </w:rPr>
        <w:t xml:space="preserve">do tributo, posto que </w:t>
      </w:r>
      <w:r w:rsidR="00FB60EE">
        <w:rPr>
          <w:rFonts w:ascii="Times New Roman" w:hAnsi="Times New Roman" w:cs="Times New Roman"/>
          <w:sz w:val="24"/>
          <w:szCs w:val="24"/>
        </w:rPr>
        <w:t>a sua instituição</w:t>
      </w:r>
      <w:r w:rsidR="000E1576">
        <w:rPr>
          <w:rFonts w:ascii="Times New Roman" w:hAnsi="Times New Roman" w:cs="Times New Roman"/>
          <w:sz w:val="24"/>
          <w:szCs w:val="24"/>
        </w:rPr>
        <w:t xml:space="preserve"> deve </w:t>
      </w:r>
      <w:r w:rsidR="00FB60EE">
        <w:rPr>
          <w:rFonts w:ascii="Times New Roman" w:hAnsi="Times New Roman" w:cs="Times New Roman"/>
          <w:sz w:val="24"/>
          <w:szCs w:val="24"/>
        </w:rPr>
        <w:t xml:space="preserve">ser essencialmente extrafiscal e não arrecadatória. </w:t>
      </w:r>
    </w:p>
    <w:p w:rsidR="00FB60EE" w:rsidRDefault="00FB60EE" w:rsidP="00DE1A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 o excessivo e repentino aumento da alíquota pode ser configurado como uma violação ao Princípio do não-confisco. Embora o artigo 150, IV, da Constituição Federal assevere que é vedado “utilizar tributo com efeito de confisco”, tal expressão é vaga e imprecisa (HARADA, 2016). Contudo, conforme descreve Harada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(2016, p. 416), “para saber se um tributo é confiscatório ou não, deve-se analisar o mesmo sob o princípio da capacidade contributiva que, por sua vez, precisa ser examinado em consonância com o princípio da moderação ou da razoabilidade da tributação”. </w:t>
      </w:r>
    </w:p>
    <w:p w:rsidR="0063648A" w:rsidRDefault="00FB60EE" w:rsidP="00FB60E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Nesta senda, segue a jurisprudência do Supremo Tribunal Federal que aduz que </w:t>
      </w:r>
    </w:p>
    <w:p w:rsidR="00FB60EE" w:rsidRDefault="00FB60EE" w:rsidP="00FB60E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3648A" w:rsidRPr="00754CD6" w:rsidRDefault="0063648A" w:rsidP="00754CD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"O Estado não pode legislar abusivamente, eis que todas as normas emanadas do Poder Público – Tratando-se, ou não, de matéria tributária – Devem ajustar-se à cláusula que consagra, em sua dimensão material, o princípio do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substantive dueprocessoflaw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(CF, art. 5º, LIV). O postulado da proporcionalidade qualifica-se como parâmetro de aferição da própria constitucionalidade material dos atos estatais. Hipótese em que a legislação tributária reveste-se do necessário coeficiente de razoabilidade." (</w:t>
      </w:r>
      <w:hyperlink r:id="rId6" w:tgtFrame="_blank" w:history="1">
        <w:r w:rsidRPr="00754CD6">
          <w:rPr>
            <w:rStyle w:val="Forte"/>
            <w:rFonts w:ascii="Times New Roman" w:hAnsi="Times New Roman" w:cs="Times New Roman"/>
            <w:sz w:val="20"/>
            <w:szCs w:val="20"/>
            <w:shd w:val="clear" w:color="auto" w:fill="FFFFFF"/>
          </w:rPr>
          <w:t>RE 200.844-AgR</w:t>
        </w:r>
      </w:hyperlink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, rel. min.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>Celso de Mello</w:t>
      </w: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, julgamento em 25-6-2002, Segunda Turma,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Style w:val="nfase"/>
          <w:rFonts w:ascii="Times New Roman" w:hAnsi="Times New Roman" w:cs="Times New Roman"/>
          <w:sz w:val="20"/>
          <w:szCs w:val="20"/>
          <w:shd w:val="clear" w:color="auto" w:fill="FFFFFF"/>
        </w:rPr>
        <w:t>DJ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de 16-8-2002.)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>No mesmo sentido</w:t>
      </w: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754CD6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hyperlink r:id="rId7" w:history="1">
        <w:r w:rsidRPr="00754CD6">
          <w:rPr>
            <w:rStyle w:val="Forte"/>
            <w:rFonts w:ascii="Times New Roman" w:hAnsi="Times New Roman" w:cs="Times New Roman"/>
            <w:sz w:val="20"/>
            <w:szCs w:val="20"/>
            <w:shd w:val="clear" w:color="auto" w:fill="FFFFFF"/>
          </w:rPr>
          <w:t>RE 480.110-AgR</w:t>
        </w:r>
      </w:hyperlink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hyperlink r:id="rId8" w:history="1">
        <w:r w:rsidRPr="00754CD6">
          <w:rPr>
            <w:rStyle w:val="Forte"/>
            <w:rFonts w:ascii="Times New Roman" w:hAnsi="Times New Roman" w:cs="Times New Roman"/>
            <w:sz w:val="20"/>
            <w:szCs w:val="20"/>
            <w:shd w:val="clear" w:color="auto" w:fill="FFFFFF"/>
          </w:rPr>
          <w:t>RE 572.664-AgR</w:t>
        </w:r>
      </w:hyperlink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, rel. min.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>Ricardo Lewandowski</w:t>
      </w: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, julgamento em 8-9-2009, Primeira Turma,</w:t>
      </w:r>
      <w:r w:rsidRPr="00754CD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54CD6">
        <w:rPr>
          <w:rStyle w:val="nfase"/>
          <w:rFonts w:ascii="Times New Roman" w:hAnsi="Times New Roman" w:cs="Times New Roman"/>
          <w:sz w:val="20"/>
          <w:szCs w:val="20"/>
          <w:shd w:val="clear" w:color="auto" w:fill="FFFFFF"/>
        </w:rPr>
        <w:t>DJE</w:t>
      </w:r>
      <w:r w:rsidRPr="00754CD6">
        <w:rPr>
          <w:rStyle w:val="apple-converted-space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 </w:t>
      </w:r>
      <w:r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>de 25-9-2009</w:t>
      </w:r>
      <w:r w:rsidR="00754CD6" w:rsidRPr="00754C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</w:p>
    <w:p w:rsidR="0044055D" w:rsidRDefault="0044055D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55D" w:rsidRDefault="007E22B3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A fundamentação disposta no texto do Decreto Presidencial é compatível com o discurso da crítica ou o do governo federal? </w:t>
      </w:r>
    </w:p>
    <w:p w:rsidR="00FB60EE" w:rsidRDefault="00FB60EE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60EE" w:rsidRPr="00244874" w:rsidRDefault="00FB60EE" w:rsidP="00440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Diante do exposto, é possível analisar o Decreto Presidencial nº 8.731/2016</w:t>
      </w:r>
      <w:r w:rsidR="000A5FBC">
        <w:rPr>
          <w:rFonts w:ascii="Times New Roman" w:hAnsi="Times New Roman" w:cs="Times New Roman"/>
          <w:sz w:val="24"/>
          <w:szCs w:val="24"/>
        </w:rPr>
        <w:t xml:space="preserve"> com enfoque mais crítico e apurado, principalmente no que tange à fundamentação utilizada </w:t>
      </w:r>
      <w:r w:rsidR="000A5FBC" w:rsidRPr="00244874">
        <w:rPr>
          <w:rFonts w:ascii="Times New Roman" w:hAnsi="Times New Roman" w:cs="Times New Roman"/>
          <w:sz w:val="24"/>
          <w:szCs w:val="24"/>
        </w:rPr>
        <w:t xml:space="preserve">no ato normativo. </w:t>
      </w:r>
    </w:p>
    <w:p w:rsidR="00244874" w:rsidRDefault="000A5FBC" w:rsidP="002448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874">
        <w:rPr>
          <w:rFonts w:ascii="Times New Roman" w:hAnsi="Times New Roman" w:cs="Times New Roman"/>
          <w:sz w:val="24"/>
          <w:szCs w:val="24"/>
        </w:rPr>
        <w:tab/>
        <w:t xml:space="preserve">Assim, </w:t>
      </w:r>
      <w:r w:rsidR="00244874" w:rsidRPr="00244874">
        <w:rPr>
          <w:rFonts w:ascii="Times New Roman" w:hAnsi="Times New Roman" w:cs="Times New Roman"/>
          <w:sz w:val="24"/>
          <w:szCs w:val="24"/>
        </w:rPr>
        <w:t xml:space="preserve">o artigo 84 da Constituição Federal atribui a competência privativa ao Presidente da República para </w:t>
      </w:r>
      <w:r w:rsidR="00244874" w:rsidRPr="00244874">
        <w:rPr>
          <w:rFonts w:ascii="Times New Roman" w:hAnsi="Times New Roman" w:cs="Times New Roman"/>
          <w:sz w:val="24"/>
          <w:szCs w:val="24"/>
          <w:u w:val="single"/>
        </w:rPr>
        <w:t>expedir decretos</w:t>
      </w:r>
      <w:r w:rsidR="00244874" w:rsidRPr="00244874">
        <w:rPr>
          <w:rFonts w:ascii="Times New Roman" w:hAnsi="Times New Roman" w:cs="Times New Roman"/>
          <w:sz w:val="24"/>
          <w:szCs w:val="24"/>
        </w:rPr>
        <w:t xml:space="preserve"> e regulamentos </w:t>
      </w:r>
      <w:r w:rsidR="00244874" w:rsidRPr="00244874">
        <w:rPr>
          <w:rFonts w:ascii="Times New Roman" w:hAnsi="Times New Roman" w:cs="Times New Roman"/>
          <w:sz w:val="24"/>
          <w:szCs w:val="24"/>
          <w:u w:val="single"/>
        </w:rPr>
        <w:t>para a fiel execução das leis</w:t>
      </w:r>
      <w:r w:rsidR="00244874" w:rsidRPr="00244874">
        <w:rPr>
          <w:rFonts w:ascii="Times New Roman" w:hAnsi="Times New Roman" w:cs="Times New Roman"/>
          <w:sz w:val="24"/>
          <w:szCs w:val="24"/>
        </w:rPr>
        <w:t xml:space="preserve">; em seu artigo 153, §1º faculta ao Poder Executivo alterar a alíquota dos impostos, inclusive o IOF, desde que atendidas as condições e os limites em lei; a Lei nº 8.894/94, que dispõe sobre o IOF impõe o limite de 1,5% ao dia para a majoração da alíquota, além de expor em seu </w:t>
      </w:r>
      <w:r w:rsidR="00244874" w:rsidRPr="00244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 2º que “o Poder Executivo, obedecidos os limites máximos fixados neste artigo, poderá alterar as alíquotas tendo em vista os objetivos das políticas monetária e fiscal”.</w:t>
      </w:r>
    </w:p>
    <w:p w:rsidR="007067B3" w:rsidRDefault="00244874" w:rsidP="007067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Nesta senda, é possível concluir que o Decreto Presidencial é compatível com o discurso do Governo Federal. </w:t>
      </w:r>
    </w:p>
    <w:p w:rsidR="004D0C44" w:rsidRDefault="004D0C44" w:rsidP="007067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0C44" w:rsidRDefault="004D0C44" w:rsidP="007067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759D" w:rsidRDefault="007E22B3" w:rsidP="002775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27759D" w:rsidRDefault="0027759D" w:rsidP="00277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. Constituição, 1988. </w:t>
      </w:r>
      <w:r>
        <w:rPr>
          <w:rFonts w:ascii="Times New Roman" w:eastAsia="Calibri" w:hAnsi="Times New Roman" w:cs="Times New Roman"/>
          <w:b/>
          <w:sz w:val="24"/>
          <w:szCs w:val="24"/>
        </w:rPr>
        <w:t>Constituição da República Federativa do Brasil</w:t>
      </w:r>
      <w:r>
        <w:rPr>
          <w:rFonts w:ascii="Times New Roman" w:eastAsia="Calibri" w:hAnsi="Times New Roman" w:cs="Times New Roman"/>
          <w:sz w:val="24"/>
          <w:szCs w:val="24"/>
        </w:rPr>
        <w:t>. Brasília: Senado Federal; 1988.</w:t>
      </w:r>
    </w:p>
    <w:p w:rsidR="0027759D" w:rsidRDefault="0027759D" w:rsidP="00277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59D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</w:t>
      </w:r>
      <w:r w:rsidRPr="002775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Resumo da Política Econômica do Governo.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&lt;</w:t>
      </w:r>
      <w:hyperlink r:id="rId9" w:history="1">
        <w:r w:rsidRPr="0027759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https://www12.senado.leg.br/orcamento/documentos/loa/2016/elaboracao/projeto-de-lei/proposta-do-poder-executivo/mensagem-presidencial/resumo-da-politica-economica-do-governo</w:t>
        </w:r>
      </w:hyperlink>
      <w:r w:rsidRPr="0027759D">
        <w:rPr>
          <w:rFonts w:ascii="Times New Roman" w:hAnsi="Times New Roman" w:cs="Times New Roman"/>
          <w:sz w:val="24"/>
          <w:szCs w:val="24"/>
        </w:rPr>
        <w:t xml:space="preserve">&gt;. Acesso em: 03 out. 2016. </w:t>
      </w:r>
    </w:p>
    <w:p w:rsidR="0027759D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9D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7B3">
        <w:rPr>
          <w:rFonts w:ascii="Times New Roman" w:hAnsi="Times New Roman" w:cs="Times New Roman"/>
          <w:sz w:val="24"/>
          <w:szCs w:val="24"/>
          <w:shd w:val="clear" w:color="auto" w:fill="FFFFFF"/>
        </w:rPr>
        <w:t>CORATTO, Bruno Pinto. O fenômeno extrafiscal no sistema tributário brasileiro. In:</w:t>
      </w:r>
      <w:r w:rsidRPr="007067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67B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Âmbito Jurídico</w:t>
      </w:r>
      <w:r w:rsidRPr="007067B3">
        <w:rPr>
          <w:rFonts w:ascii="Times New Roman" w:hAnsi="Times New Roman" w:cs="Times New Roman"/>
          <w:sz w:val="24"/>
          <w:szCs w:val="24"/>
          <w:shd w:val="clear" w:color="auto" w:fill="FFFFFF"/>
        </w:rPr>
        <w:t>, Rio Grande, XV, n. 98, mar 2012. Disponível em: &lt;</w:t>
      </w:r>
      <w:hyperlink r:id="rId10" w:tooltip="Informações Bibliográficas" w:history="1">
        <w:r w:rsidRPr="007067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http://www.ambitojuridico.com.br/site/?n_link=revista_artigos_leitura&amp;artigo_id=11244&amp;revista_caderno=26</w:t>
        </w:r>
      </w:hyperlink>
      <w:r w:rsidRPr="007067B3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em: 02 out 2016.</w:t>
      </w:r>
    </w:p>
    <w:p w:rsidR="0027759D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759D" w:rsidRDefault="0027759D" w:rsidP="00277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HARADA, Kiyoshi. </w:t>
      </w:r>
      <w:r w:rsidRPr="007067B3">
        <w:rPr>
          <w:rFonts w:ascii="Times New Roman" w:hAnsi="Times New Roman" w:cs="Times New Roman"/>
          <w:b/>
          <w:sz w:val="24"/>
          <w:szCs w:val="24"/>
        </w:rPr>
        <w:t>Direito Financeiro e Tributário.</w:t>
      </w:r>
      <w:r>
        <w:rPr>
          <w:rFonts w:ascii="Times New Roman" w:hAnsi="Times New Roman" w:cs="Times New Roman"/>
          <w:sz w:val="24"/>
          <w:szCs w:val="24"/>
        </w:rPr>
        <w:t>25. ed. rev., atual. eampl. – São Paulo: Atlas, 2016.</w:t>
      </w:r>
    </w:p>
    <w:p w:rsidR="0027759D" w:rsidRDefault="0027759D" w:rsidP="00277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9D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MACHADO, Hugo de Brito. </w:t>
      </w:r>
      <w:r w:rsidRPr="0027759D">
        <w:rPr>
          <w:rFonts w:ascii="Times New Roman" w:hAnsi="Times New Roman" w:cs="Times New Roman"/>
          <w:b/>
          <w:sz w:val="24"/>
          <w:szCs w:val="24"/>
        </w:rPr>
        <w:t xml:space="preserve">Curso de Direito Tributário. </w:t>
      </w:r>
      <w:r>
        <w:rPr>
          <w:rFonts w:ascii="Times New Roman" w:hAnsi="Times New Roman" w:cs="Times New Roman"/>
          <w:sz w:val="24"/>
          <w:szCs w:val="24"/>
        </w:rPr>
        <w:t>31. ed. rev., atual. eampl. – São Paulo: Malheiros Editora, 2010.</w:t>
      </w:r>
    </w:p>
    <w:p w:rsidR="0027759D" w:rsidRPr="0027759D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9D" w:rsidRDefault="0027759D" w:rsidP="00277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067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MARTELLO, Alexandre. </w:t>
      </w:r>
      <w:r w:rsidRPr="007067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Governo sobe para 1,1% IOF para a compra de dólar em espécie. </w:t>
      </w:r>
      <w:r w:rsidRPr="007067B3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</w:t>
      </w:r>
      <w:r w:rsidRPr="0027759D">
        <w:rPr>
          <w:rFonts w:ascii="Times New Roman" w:hAnsi="Times New Roman" w:cs="Times New Roman"/>
          <w:sz w:val="24"/>
          <w:szCs w:val="24"/>
          <w:shd w:val="clear" w:color="auto" w:fill="FFFFFF"/>
        </w:rPr>
        <w:t>: &lt;</w:t>
      </w:r>
      <w:hyperlink r:id="rId11" w:history="1">
        <w:r w:rsidRPr="0027759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http://g1.globo.com/economia/seu- dinheiro/noticia/2016/05/governo-sobe-para-11-iof-para-compra-de-dolar-em especie.html</w:t>
        </w:r>
      </w:hyperlink>
      <w:r w:rsidRPr="0027759D">
        <w:rPr>
          <w:rFonts w:ascii="Times New Roman" w:hAnsi="Times New Roman" w:cs="Times New Roman"/>
          <w:sz w:val="24"/>
          <w:szCs w:val="24"/>
        </w:rPr>
        <w:t xml:space="preserve">&gt;. Acesso em: 02 out. 2016. </w:t>
      </w:r>
    </w:p>
    <w:p w:rsidR="00DE1A5A" w:rsidRPr="0070393A" w:rsidRDefault="00DE1A5A" w:rsidP="0070393A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DE1A5A" w:rsidRPr="0070393A" w:rsidSect="0059757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6B" w:rsidRDefault="00BA2A6B" w:rsidP="0070393A">
      <w:pPr>
        <w:spacing w:after="0" w:line="240" w:lineRule="auto"/>
      </w:pPr>
      <w:r>
        <w:separator/>
      </w:r>
    </w:p>
  </w:endnote>
  <w:endnote w:type="continuationSeparator" w:id="1">
    <w:p w:rsidR="00BA2A6B" w:rsidRDefault="00BA2A6B" w:rsidP="0070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3A" w:rsidRDefault="0070393A" w:rsidP="0070393A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¹ Case apresentado à disciplina</w:t>
    </w:r>
    <w:r w:rsidR="0044055D">
      <w:rPr>
        <w:rFonts w:ascii="Times New Roman" w:hAnsi="Times New Roman" w:cs="Times New Roman"/>
        <w:sz w:val="20"/>
        <w:szCs w:val="20"/>
      </w:rPr>
      <w:t xml:space="preserve"> Direito </w:t>
    </w:r>
    <w:r>
      <w:rPr>
        <w:rFonts w:ascii="Times New Roman" w:hAnsi="Times New Roman" w:cs="Times New Roman"/>
        <w:sz w:val="20"/>
        <w:szCs w:val="20"/>
      </w:rPr>
      <w:t>Tributário</w:t>
    </w:r>
    <w:r w:rsidR="0044055D">
      <w:rPr>
        <w:rFonts w:ascii="Times New Roman" w:hAnsi="Times New Roman" w:cs="Times New Roman"/>
        <w:sz w:val="20"/>
        <w:szCs w:val="20"/>
      </w:rPr>
      <w:t xml:space="preserve"> I</w:t>
    </w:r>
    <w:r>
      <w:rPr>
        <w:rFonts w:ascii="Times New Roman" w:hAnsi="Times New Roman" w:cs="Times New Roman"/>
        <w:sz w:val="20"/>
        <w:szCs w:val="20"/>
      </w:rPr>
      <w:t>, da Unidade de Ensino Superior Dom Bosco</w:t>
    </w:r>
  </w:p>
  <w:p w:rsidR="0070393A" w:rsidRDefault="0070393A" w:rsidP="0070393A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² Aluno do 7º período, turno Vespertino, do curso de Direito da UNDB</w:t>
    </w:r>
  </w:p>
  <w:p w:rsidR="0070393A" w:rsidRDefault="0070393A" w:rsidP="0070393A">
    <w:pPr>
      <w:pStyle w:val="Rodap"/>
      <w:jc w:val="both"/>
    </w:pPr>
    <w:r>
      <w:rPr>
        <w:rFonts w:ascii="Times New Roman" w:hAnsi="Times New Roman" w:cs="Times New Roman"/>
        <w:sz w:val="20"/>
        <w:szCs w:val="20"/>
      </w:rPr>
      <w:t>³ Professor Orientador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6B" w:rsidRDefault="00BA2A6B" w:rsidP="0070393A">
      <w:pPr>
        <w:spacing w:after="0" w:line="240" w:lineRule="auto"/>
      </w:pPr>
      <w:r>
        <w:separator/>
      </w:r>
    </w:p>
  </w:footnote>
  <w:footnote w:type="continuationSeparator" w:id="1">
    <w:p w:rsidR="00BA2A6B" w:rsidRDefault="00BA2A6B" w:rsidP="0070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3A" w:rsidRDefault="0070393A" w:rsidP="0070393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504440" cy="654685"/>
          <wp:effectExtent l="0" t="0" r="0" b="0"/>
          <wp:docPr id="2" name="Imagem 2" descr="logo_nova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nova_timbrado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2B3" w:rsidRDefault="008F02B3" w:rsidP="0070393A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93A"/>
    <w:rsid w:val="00013F1E"/>
    <w:rsid w:val="000A5FBC"/>
    <w:rsid w:val="000B6F91"/>
    <w:rsid w:val="000E1576"/>
    <w:rsid w:val="000F0A26"/>
    <w:rsid w:val="0011419C"/>
    <w:rsid w:val="00126313"/>
    <w:rsid w:val="00190007"/>
    <w:rsid w:val="00244874"/>
    <w:rsid w:val="0027759D"/>
    <w:rsid w:val="00354DD9"/>
    <w:rsid w:val="0044055D"/>
    <w:rsid w:val="004B78E2"/>
    <w:rsid w:val="004D0C44"/>
    <w:rsid w:val="00562D1D"/>
    <w:rsid w:val="00597578"/>
    <w:rsid w:val="0063648A"/>
    <w:rsid w:val="0070393A"/>
    <w:rsid w:val="007067B3"/>
    <w:rsid w:val="00754CD6"/>
    <w:rsid w:val="007E22B3"/>
    <w:rsid w:val="008169FE"/>
    <w:rsid w:val="008F02B3"/>
    <w:rsid w:val="0096401B"/>
    <w:rsid w:val="00992550"/>
    <w:rsid w:val="00AA450E"/>
    <w:rsid w:val="00AD3C07"/>
    <w:rsid w:val="00B02447"/>
    <w:rsid w:val="00BA2A6B"/>
    <w:rsid w:val="00BB5F24"/>
    <w:rsid w:val="00BC74AB"/>
    <w:rsid w:val="00BD36F5"/>
    <w:rsid w:val="00BE117F"/>
    <w:rsid w:val="00DE1A5A"/>
    <w:rsid w:val="00DE47BE"/>
    <w:rsid w:val="00E327C2"/>
    <w:rsid w:val="00E74BC8"/>
    <w:rsid w:val="00ED43BE"/>
    <w:rsid w:val="00FB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A"/>
  </w:style>
  <w:style w:type="paragraph" w:styleId="Rodap">
    <w:name w:val="footer"/>
    <w:basedOn w:val="Normal"/>
    <w:link w:val="Rodap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A"/>
  </w:style>
  <w:style w:type="paragraph" w:styleId="PargrafodaLista">
    <w:name w:val="List Paragraph"/>
    <w:basedOn w:val="Normal"/>
    <w:uiPriority w:val="34"/>
    <w:qFormat/>
    <w:rsid w:val="00440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55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3648A"/>
  </w:style>
  <w:style w:type="character" w:styleId="Forte">
    <w:name w:val="Strong"/>
    <w:basedOn w:val="Fontepargpadro"/>
    <w:uiPriority w:val="22"/>
    <w:qFormat/>
    <w:rsid w:val="0063648A"/>
    <w:rPr>
      <w:b/>
      <w:bCs/>
    </w:rPr>
  </w:style>
  <w:style w:type="character" w:styleId="nfase">
    <w:name w:val="Emphasis"/>
    <w:basedOn w:val="Fontepargpadro"/>
    <w:uiPriority w:val="20"/>
    <w:qFormat/>
    <w:rsid w:val="0063648A"/>
    <w:rPr>
      <w:i/>
      <w:iCs/>
    </w:rPr>
  </w:style>
  <w:style w:type="paragraph" w:styleId="SemEspaamento">
    <w:name w:val="No Spacing"/>
    <w:uiPriority w:val="1"/>
    <w:qFormat/>
    <w:rsid w:val="00706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/paginador.jsp?docTP=AC&amp;docID=603149&amp;pgI=1&amp;pgF=10000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edir.stf.jus.br/paginador/paginador.jsp?docTP=AC&amp;docID=603093&amp;pgI=1&amp;pgF=10000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f.jus.br/jurisprudencia/IT/frame.asp?PROCESSO=200844&amp;CLASSE=RE%2DAgR&amp;cod_classe=539&amp;ORIGEM=IT&amp;RECURSO=0&amp;TIP_JULGAMENTO=M" TargetMode="External"/><Relationship Id="rId11" Type="http://schemas.openxmlformats.org/officeDocument/2006/relationships/hyperlink" Target="http://g1.globo.com/economia/seu-%20dinheiro/noticia/2016/05/governo-sobe-para-11-iof-para-compra-de-dolar-em%20especie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mbitojuridico.com.br/site/?n_link=revista_artigos_leitura&amp;artigo_id=11244&amp;revista_caderno=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2.senado.leg.br/orcamento/documentos/loa/2016/elaboracao/projeto-de-lei/proposta-do-poder-executivo/mensagem-presidencial/resumo-da-politica-economica-do-gover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Oliveira da Silva</dc:creator>
  <cp:lastModifiedBy>Natália Franklin Silva e Carvalho</cp:lastModifiedBy>
  <cp:revision>2</cp:revision>
  <dcterms:created xsi:type="dcterms:W3CDTF">2018-06-20T19:41:00Z</dcterms:created>
  <dcterms:modified xsi:type="dcterms:W3CDTF">2018-06-20T19:41:00Z</dcterms:modified>
</cp:coreProperties>
</file>