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4" w:rsidRDefault="00E14538" w:rsidP="00395A93">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 IMPORTÂNCIA DO HABEAS CORPUS E DO HABEAS DATAS EM UM ESTADO CONSTITUCIONAL DE DIREITO</w:t>
      </w:r>
      <w:r w:rsidR="003305B4">
        <w:rPr>
          <w:rFonts w:ascii="Times New Roman" w:hAnsi="Times New Roman" w:cs="Times New Roman"/>
          <w:b/>
          <w:sz w:val="24"/>
          <w:szCs w:val="24"/>
        </w:rPr>
        <w:t>¹</w:t>
      </w:r>
    </w:p>
    <w:p w:rsidR="003305B4" w:rsidRDefault="003305B4" w:rsidP="003305B4">
      <w:pPr>
        <w:spacing w:after="0" w:line="360" w:lineRule="auto"/>
        <w:ind w:firstLine="1163"/>
        <w:jc w:val="center"/>
        <w:rPr>
          <w:rFonts w:ascii="Times New Roman" w:hAnsi="Times New Roman" w:cs="Times New Roman"/>
          <w:b/>
          <w:sz w:val="24"/>
          <w:szCs w:val="24"/>
        </w:rPr>
      </w:pPr>
    </w:p>
    <w:p w:rsidR="003305B4" w:rsidRDefault="00E14538" w:rsidP="003305B4">
      <w:pPr>
        <w:spacing w:after="0" w:line="360" w:lineRule="auto"/>
        <w:ind w:firstLine="1163"/>
        <w:jc w:val="right"/>
        <w:rPr>
          <w:rFonts w:ascii="Times New Roman" w:hAnsi="Times New Roman" w:cs="Times New Roman"/>
          <w:sz w:val="24"/>
          <w:szCs w:val="24"/>
        </w:rPr>
      </w:pPr>
      <w:r>
        <w:rPr>
          <w:rFonts w:ascii="Times New Roman" w:hAnsi="Times New Roman" w:cs="Times New Roman"/>
          <w:sz w:val="24"/>
          <w:szCs w:val="24"/>
        </w:rPr>
        <w:t>Integrantes</w:t>
      </w:r>
      <w:r w:rsidR="003305B4">
        <w:rPr>
          <w:rFonts w:ascii="Times New Roman" w:hAnsi="Times New Roman" w:cs="Times New Roman"/>
          <w:sz w:val="24"/>
          <w:szCs w:val="24"/>
        </w:rPr>
        <w:t>²</w:t>
      </w:r>
    </w:p>
    <w:p w:rsidR="00395A93" w:rsidRDefault="00CB5CC6" w:rsidP="00CB5CC6">
      <w:pPr>
        <w:spacing w:after="0" w:line="360" w:lineRule="auto"/>
        <w:ind w:firstLine="1163"/>
        <w:jc w:val="right"/>
        <w:rPr>
          <w:rFonts w:ascii="Times New Roman" w:hAnsi="Times New Roman" w:cs="Times New Roman"/>
          <w:sz w:val="24"/>
          <w:szCs w:val="24"/>
        </w:rPr>
      </w:pPr>
      <w:r>
        <w:rPr>
          <w:rFonts w:ascii="Times New Roman" w:hAnsi="Times New Roman" w:cs="Times New Roman"/>
          <w:sz w:val="24"/>
          <w:szCs w:val="24"/>
        </w:rPr>
        <w:t>Luiza de Fátima Amorim Oliveira</w:t>
      </w:r>
      <w:r w:rsidR="003305B4">
        <w:rPr>
          <w:rFonts w:ascii="Times New Roman" w:hAnsi="Times New Roman" w:cs="Times New Roman"/>
          <w:sz w:val="24"/>
          <w:szCs w:val="24"/>
        </w:rPr>
        <w:t>³</w:t>
      </w:r>
    </w:p>
    <w:p w:rsidR="00DD1EC3" w:rsidRDefault="00DD1EC3" w:rsidP="00DD1EC3">
      <w:pPr>
        <w:spacing w:after="0" w:line="360" w:lineRule="auto"/>
        <w:jc w:val="both"/>
        <w:rPr>
          <w:rFonts w:ascii="Times New Roman" w:hAnsi="Times New Roman" w:cs="Times New Roman"/>
          <w:b/>
          <w:sz w:val="24"/>
          <w:szCs w:val="24"/>
        </w:rPr>
      </w:pPr>
    </w:p>
    <w:p w:rsidR="00975F21" w:rsidRDefault="00CB5CC6" w:rsidP="00DD1EC3">
      <w:pPr>
        <w:spacing w:after="0" w:line="360" w:lineRule="auto"/>
        <w:jc w:val="both"/>
        <w:rPr>
          <w:rFonts w:ascii="Times New Roman" w:hAnsi="Times New Roman" w:cs="Times New Roman"/>
          <w:b/>
          <w:sz w:val="24"/>
          <w:szCs w:val="24"/>
        </w:rPr>
      </w:pPr>
      <w:proofErr w:type="gramStart"/>
      <w:r>
        <w:rPr>
          <w:rFonts w:ascii="Times New Roman" w:eastAsia="Calibri" w:hAnsi="Times New Roman" w:cs="Times New Roman"/>
          <w:b/>
          <w:sz w:val="24"/>
          <w:szCs w:val="24"/>
        </w:rPr>
        <w:t>1</w:t>
      </w:r>
      <w:proofErr w:type="gramEnd"/>
      <w:r>
        <w:rPr>
          <w:rFonts w:ascii="Times New Roman" w:eastAsia="Calibri" w:hAnsi="Times New Roman" w:cs="Times New Roman"/>
          <w:b/>
          <w:sz w:val="24"/>
          <w:szCs w:val="24"/>
        </w:rPr>
        <w:t xml:space="preserve"> CONSTRUNÇÃO DO PROBLEMA</w:t>
      </w:r>
    </w:p>
    <w:p w:rsidR="00A449BB" w:rsidRDefault="00A449BB" w:rsidP="00DD1EC3">
      <w:pPr>
        <w:spacing w:after="0" w:line="360" w:lineRule="auto"/>
        <w:jc w:val="both"/>
        <w:rPr>
          <w:rFonts w:ascii="Times New Roman" w:hAnsi="Times New Roman" w:cs="Times New Roman"/>
          <w:b/>
          <w:sz w:val="24"/>
          <w:szCs w:val="24"/>
        </w:rPr>
      </w:pPr>
    </w:p>
    <w:p w:rsidR="00A449BB" w:rsidRPr="00C5531C" w:rsidRDefault="000F609B" w:rsidP="00C5531C">
      <w:pPr>
        <w:spacing w:after="0" w:line="360" w:lineRule="auto"/>
        <w:ind w:firstLine="11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Perante esse contexto, cabe a seguinte pergunta: de que forma </w:t>
      </w:r>
      <w:r w:rsidR="00C5531C">
        <w:rPr>
          <w:rFonts w:ascii="Times New Roman" w:eastAsia="Calibri" w:hAnsi="Times New Roman" w:cs="Times New Roman"/>
          <w:sz w:val="24"/>
          <w:szCs w:val="24"/>
        </w:rPr>
        <w:t>o habeas corpus e o habeas datas contribuem</w:t>
      </w:r>
      <w:r>
        <w:rPr>
          <w:rFonts w:ascii="Times New Roman" w:eastAsia="Calibri" w:hAnsi="Times New Roman" w:cs="Times New Roman"/>
          <w:sz w:val="24"/>
          <w:szCs w:val="24"/>
        </w:rPr>
        <w:t xml:space="preserve"> como um instrumento</w:t>
      </w:r>
      <w:r w:rsidR="00C5531C">
        <w:rPr>
          <w:rFonts w:ascii="Times New Roman" w:eastAsia="Calibri" w:hAnsi="Times New Roman" w:cs="Times New Roman"/>
          <w:sz w:val="24"/>
          <w:szCs w:val="24"/>
        </w:rPr>
        <w:t xml:space="preserve"> constitucional</w:t>
      </w:r>
      <w:r>
        <w:rPr>
          <w:rFonts w:ascii="Times New Roman" w:eastAsia="Calibri" w:hAnsi="Times New Roman" w:cs="Times New Roman"/>
          <w:sz w:val="24"/>
          <w:szCs w:val="24"/>
        </w:rPr>
        <w:t xml:space="preserve">? </w:t>
      </w:r>
    </w:p>
    <w:p w:rsidR="00975F21" w:rsidRDefault="00975F21" w:rsidP="00DD1EC3">
      <w:pPr>
        <w:spacing w:after="0" w:line="360" w:lineRule="auto"/>
        <w:jc w:val="both"/>
        <w:rPr>
          <w:rFonts w:ascii="Times New Roman" w:hAnsi="Times New Roman" w:cs="Times New Roman"/>
          <w:b/>
          <w:sz w:val="24"/>
          <w:szCs w:val="24"/>
        </w:rPr>
      </w:pPr>
    </w:p>
    <w:p w:rsidR="00C5531C" w:rsidRDefault="00C5531C" w:rsidP="00DD1EC3">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OBJETIVOS</w:t>
      </w:r>
    </w:p>
    <w:p w:rsidR="00C5531C" w:rsidRDefault="00C5531C" w:rsidP="00C553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Geral</w:t>
      </w:r>
    </w:p>
    <w:p w:rsidR="00C5531C" w:rsidRPr="00C5531C" w:rsidRDefault="00C5531C" w:rsidP="00C5531C">
      <w:pPr>
        <w:spacing w:after="0" w:line="360" w:lineRule="auto"/>
        <w:jc w:val="both"/>
        <w:rPr>
          <w:rFonts w:ascii="Times New Roman" w:hAnsi="Times New Roman" w:cs="Times New Roman"/>
          <w:b/>
          <w:sz w:val="24"/>
          <w:szCs w:val="24"/>
        </w:rPr>
      </w:pPr>
    </w:p>
    <w:p w:rsidR="005A7AB7" w:rsidRDefault="005A7AB7" w:rsidP="005A7AB7">
      <w:pPr>
        <w:spacing w:after="0" w:line="360" w:lineRule="auto"/>
        <w:ind w:firstLine="11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Traçar a importância do habeas corpus e habeas datas como instrumentos para a </w:t>
      </w:r>
      <w:proofErr w:type="gramStart"/>
      <w:r>
        <w:rPr>
          <w:rFonts w:ascii="Times New Roman" w:eastAsia="Calibri" w:hAnsi="Times New Roman" w:cs="Times New Roman"/>
          <w:sz w:val="24"/>
          <w:szCs w:val="24"/>
        </w:rPr>
        <w:t>garantia</w:t>
      </w:r>
      <w:proofErr w:type="gramEnd"/>
      <w:r>
        <w:rPr>
          <w:rFonts w:ascii="Times New Roman" w:eastAsia="Calibri" w:hAnsi="Times New Roman" w:cs="Times New Roman"/>
          <w:sz w:val="24"/>
          <w:szCs w:val="24"/>
        </w:rPr>
        <w:t xml:space="preserve"> de direitos e a proteção de indivíduos que estão diante de uma ilegalidade ou abuso cometido por Poder Público.  </w:t>
      </w:r>
    </w:p>
    <w:p w:rsidR="005A7AB7" w:rsidRDefault="005A7AB7" w:rsidP="005A7AB7">
      <w:pPr>
        <w:spacing w:after="0" w:line="360" w:lineRule="auto"/>
        <w:jc w:val="both"/>
        <w:rPr>
          <w:rFonts w:ascii="Times New Roman" w:eastAsia="Calibri" w:hAnsi="Times New Roman" w:cs="Times New Roman"/>
          <w:sz w:val="24"/>
          <w:szCs w:val="24"/>
        </w:rPr>
      </w:pPr>
    </w:p>
    <w:p w:rsidR="005A7AB7" w:rsidRDefault="005A7AB7" w:rsidP="005A7AB7">
      <w:pPr>
        <w:spacing w:after="0" w:line="360" w:lineRule="auto"/>
        <w:jc w:val="both"/>
        <w:rPr>
          <w:rFonts w:ascii="Times New Roman" w:eastAsia="Calibri" w:hAnsi="Times New Roman" w:cs="Times New Roman"/>
          <w:sz w:val="24"/>
          <w:szCs w:val="24"/>
        </w:rPr>
      </w:pPr>
    </w:p>
    <w:p w:rsidR="00DD1EC3" w:rsidRDefault="00975F21" w:rsidP="00DD1EC3">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DD1EC3">
        <w:rPr>
          <w:rFonts w:ascii="Times New Roman" w:hAnsi="Times New Roman" w:cs="Times New Roman"/>
          <w:b/>
          <w:sz w:val="24"/>
          <w:szCs w:val="24"/>
        </w:rPr>
        <w:t xml:space="preserve"> FUNDAMENTAÇÃO TEÓRICA</w:t>
      </w:r>
    </w:p>
    <w:p w:rsidR="00975F21" w:rsidRDefault="00975F21" w:rsidP="00975F21">
      <w:pPr>
        <w:spacing w:after="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2.1 Surgimento</w:t>
      </w:r>
      <w:proofErr w:type="gramEnd"/>
      <w:r>
        <w:rPr>
          <w:rFonts w:ascii="Times New Roman" w:eastAsia="Calibri" w:hAnsi="Times New Roman" w:cs="Times New Roman"/>
          <w:b/>
          <w:sz w:val="24"/>
          <w:szCs w:val="24"/>
        </w:rPr>
        <w:t xml:space="preserve"> dos Direitos Coletivos</w:t>
      </w:r>
    </w:p>
    <w:p w:rsidR="00975F21" w:rsidRDefault="00975F21" w:rsidP="00975F21">
      <w:pPr>
        <w:spacing w:after="0" w:line="360" w:lineRule="auto"/>
        <w:ind w:firstLine="1134"/>
        <w:jc w:val="both"/>
        <w:rPr>
          <w:rFonts w:ascii="Times New Roman" w:eastAsia="Calibri" w:hAnsi="Times New Roman" w:cs="Times New Roman"/>
          <w:b/>
          <w:sz w:val="24"/>
          <w:szCs w:val="24"/>
        </w:rPr>
      </w:pPr>
    </w:p>
    <w:p w:rsidR="00564B08" w:rsidRDefault="00975F21" w:rsidP="00DF47EF">
      <w:pPr>
        <w:pStyle w:val="NormalWeb"/>
        <w:spacing w:before="0" w:beforeAutospacing="0" w:after="0" w:afterAutospacing="0" w:line="360" w:lineRule="auto"/>
        <w:ind w:firstLine="1134"/>
        <w:jc w:val="both"/>
        <w:rPr>
          <w:lang w:val="pt-BR"/>
        </w:rPr>
      </w:pPr>
      <w:r w:rsidRPr="00BB64B0">
        <w:rPr>
          <w:rFonts w:eastAsia="Calibri"/>
          <w:lang w:val="pt-BR"/>
        </w:rPr>
        <w:t xml:space="preserve">Não há como abordar os direitos coletivos sem retomar a compreensão dos direitos e garantias fundamentais expressos pelo título II da Constituição Federal Brasileira. </w:t>
      </w:r>
      <w:r w:rsidRPr="0050331B">
        <w:rPr>
          <w:rFonts w:eastAsia="Calibri"/>
          <w:lang w:val="pt-BR"/>
        </w:rPr>
        <w:t xml:space="preserve">Haja vista que a maioria dos doutrinadores </w:t>
      </w:r>
      <w:proofErr w:type="gramStart"/>
      <w:r w:rsidRPr="0050331B">
        <w:rPr>
          <w:rFonts w:eastAsia="Calibri"/>
          <w:lang w:val="pt-BR"/>
        </w:rPr>
        <w:t>evidenci</w:t>
      </w:r>
      <w:r>
        <w:rPr>
          <w:rFonts w:eastAsia="Calibri"/>
          <w:lang w:val="pt-BR"/>
        </w:rPr>
        <w:t>am</w:t>
      </w:r>
      <w:proofErr w:type="gramEnd"/>
      <w:r>
        <w:rPr>
          <w:rFonts w:eastAsia="Calibri"/>
          <w:lang w:val="pt-BR"/>
        </w:rPr>
        <w:t>, assim como Ingo Sarlet (2008</w:t>
      </w:r>
      <w:r w:rsidRPr="0050331B">
        <w:rPr>
          <w:rFonts w:eastAsia="Calibri"/>
          <w:lang w:val="pt-BR"/>
        </w:rPr>
        <w:t xml:space="preserve">) que esses direitos passaram por uma evolução histórica sendo a primeira </w:t>
      </w:r>
      <w:r>
        <w:rPr>
          <w:rFonts w:eastAsia="Calibri"/>
          <w:lang w:val="pt-BR"/>
        </w:rPr>
        <w:t>dimensão</w:t>
      </w:r>
      <w:r w:rsidRPr="0050331B">
        <w:rPr>
          <w:rFonts w:eastAsia="Calibri"/>
          <w:lang w:val="pt-BR"/>
        </w:rPr>
        <w:t xml:space="preserve"> marcada pelo princípio da liberdade e uma não intervenção estatal ao ponto que ultrapassassem as barreiras do absolutismo na limitação dos seus poderes. </w:t>
      </w:r>
      <w:r>
        <w:rPr>
          <w:lang w:val="pt-BR"/>
        </w:rPr>
        <w:t>A segunda dimensão compreende o surgimento dos direitos atrelados ao princípio da isonomia, chamados de direitos sociais que se manifestaram no período de transição do estado liberal para o estado social.</w:t>
      </w:r>
    </w:p>
    <w:p w:rsidR="00564B08" w:rsidRDefault="00975F21" w:rsidP="00DF47EF">
      <w:pPr>
        <w:spacing w:after="0" w:line="240" w:lineRule="auto"/>
        <w:ind w:left="2268"/>
        <w:jc w:val="both"/>
        <w:rPr>
          <w:rFonts w:ascii="Times New Roman" w:eastAsia="Calibri" w:hAnsi="Times New Roman" w:cs="Times New Roman"/>
          <w:sz w:val="20"/>
          <w:szCs w:val="20"/>
        </w:rPr>
      </w:pPr>
      <w:r w:rsidRPr="0050331B">
        <w:rPr>
          <w:rFonts w:ascii="Times New Roman" w:eastAsia="Calibri" w:hAnsi="Times New Roman" w:cs="Times New Roman"/>
          <w:sz w:val="20"/>
          <w:szCs w:val="20"/>
        </w:rPr>
        <w:t xml:space="preserve">O impacto da industrialização e os graves problemas sociais e econômicos que a acompanharam, as doutrinas socialistas e a constatação de que a consagração formal de liberdade e igualdade não gerava a garantia do seu efetivo gozo </w:t>
      </w:r>
      <w:proofErr w:type="gramStart"/>
      <w:r w:rsidRPr="0050331B">
        <w:rPr>
          <w:rFonts w:ascii="Times New Roman" w:eastAsia="Calibri" w:hAnsi="Times New Roman" w:cs="Times New Roman"/>
          <w:sz w:val="20"/>
          <w:szCs w:val="20"/>
        </w:rPr>
        <w:t>acabaram,</w:t>
      </w:r>
      <w:proofErr w:type="gramEnd"/>
      <w:r w:rsidRPr="0050331B">
        <w:rPr>
          <w:rFonts w:ascii="Times New Roman" w:eastAsia="Calibri" w:hAnsi="Times New Roman" w:cs="Times New Roman"/>
          <w:sz w:val="20"/>
          <w:szCs w:val="20"/>
        </w:rPr>
        <w:t xml:space="preserve"> já no decorrer do século XIX, gerando amplos movimentos reivindicatórios e o </w:t>
      </w:r>
      <w:r w:rsidRPr="0050331B">
        <w:rPr>
          <w:rFonts w:ascii="Times New Roman" w:eastAsia="Calibri" w:hAnsi="Times New Roman" w:cs="Times New Roman"/>
          <w:sz w:val="20"/>
          <w:szCs w:val="20"/>
        </w:rPr>
        <w:lastRenderedPageBreak/>
        <w:t>reconhecimento progressivo de direitos, atribuindo ao Estado comportamento ativo na realizaçã</w:t>
      </w:r>
      <w:r>
        <w:rPr>
          <w:rFonts w:ascii="Times New Roman" w:eastAsia="Calibri" w:hAnsi="Times New Roman" w:cs="Times New Roman"/>
          <w:sz w:val="20"/>
          <w:szCs w:val="20"/>
        </w:rPr>
        <w:t>o da justiça social.</w:t>
      </w:r>
      <w:r w:rsidR="00564B08">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SARLET,</w:t>
      </w:r>
      <w:proofErr w:type="gramEnd"/>
      <w:r>
        <w:rPr>
          <w:rFonts w:ascii="Times New Roman" w:eastAsia="Calibri" w:hAnsi="Times New Roman" w:cs="Times New Roman"/>
          <w:sz w:val="20"/>
          <w:szCs w:val="20"/>
        </w:rPr>
        <w:t>2008</w:t>
      </w:r>
      <w:r w:rsidRPr="0050331B">
        <w:rPr>
          <w:rFonts w:ascii="Times New Roman" w:eastAsia="Calibri" w:hAnsi="Times New Roman" w:cs="Times New Roman"/>
          <w:sz w:val="20"/>
          <w:szCs w:val="20"/>
        </w:rPr>
        <w:t>,p.47).</w:t>
      </w:r>
    </w:p>
    <w:p w:rsidR="00564B08" w:rsidRDefault="00975F21" w:rsidP="00DF47EF">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Nota-se que a ideia de direitos coletivos surge com os movimentos reivindicatórios que impulsionaram a segunda dimensão dos direitos fundamentais </w:t>
      </w:r>
      <w:r w:rsidRPr="005F3EB9">
        <w:rPr>
          <w:rFonts w:ascii="Times New Roman" w:eastAsia="Calibri" w:hAnsi="Times New Roman" w:cs="Times New Roman"/>
          <w:sz w:val="24"/>
          <w:szCs w:val="24"/>
        </w:rPr>
        <w:t>impondo deveres a serem realizados pelo Estado</w:t>
      </w:r>
      <w:r>
        <w:rPr>
          <w:rFonts w:ascii="Times New Roman" w:eastAsia="Calibri" w:hAnsi="Times New Roman" w:cs="Times New Roman"/>
          <w:sz w:val="24"/>
          <w:szCs w:val="24"/>
        </w:rPr>
        <w:t>,</w:t>
      </w:r>
      <w:r w:rsidR="009D529C">
        <w:rPr>
          <w:rFonts w:ascii="Times New Roman" w:eastAsia="Calibri" w:hAnsi="Times New Roman" w:cs="Times New Roman"/>
          <w:sz w:val="24"/>
          <w:szCs w:val="24"/>
        </w:rPr>
        <w:t xml:space="preserve"> no propó</w:t>
      </w:r>
      <w:r w:rsidRPr="005F3EB9">
        <w:rPr>
          <w:rFonts w:ascii="Times New Roman" w:eastAsia="Calibri" w:hAnsi="Times New Roman" w:cs="Times New Roman"/>
          <w:sz w:val="24"/>
          <w:szCs w:val="24"/>
        </w:rPr>
        <w:t xml:space="preserve">sito de viabilizar aos cidadãos uma vida mais digna </w:t>
      </w:r>
      <w:r>
        <w:rPr>
          <w:rFonts w:ascii="Times New Roman" w:eastAsia="Calibri" w:hAnsi="Times New Roman" w:cs="Times New Roman"/>
          <w:sz w:val="24"/>
          <w:szCs w:val="24"/>
        </w:rPr>
        <w:t>que facilitasse</w:t>
      </w:r>
      <w:r w:rsidRPr="005F3EB9">
        <w:rPr>
          <w:rFonts w:ascii="Times New Roman" w:eastAsia="Calibri" w:hAnsi="Times New Roman" w:cs="Times New Roman"/>
          <w:sz w:val="24"/>
          <w:szCs w:val="24"/>
        </w:rPr>
        <w:t xml:space="preserve"> a sobrevivência e </w:t>
      </w:r>
      <w:r>
        <w:rPr>
          <w:rFonts w:ascii="Times New Roman" w:eastAsia="Calibri" w:hAnsi="Times New Roman" w:cs="Times New Roman"/>
          <w:sz w:val="24"/>
          <w:szCs w:val="24"/>
        </w:rPr>
        <w:t>a diminuição d</w:t>
      </w:r>
      <w:r w:rsidRPr="005F3EB9">
        <w:rPr>
          <w:rFonts w:ascii="Times New Roman" w:eastAsia="Calibri" w:hAnsi="Times New Roman" w:cs="Times New Roman"/>
          <w:sz w:val="24"/>
          <w:szCs w:val="24"/>
        </w:rPr>
        <w:t>a desigualdade</w:t>
      </w:r>
      <w:r>
        <w:rPr>
          <w:rFonts w:ascii="Times New Roman" w:eastAsia="Calibri" w:hAnsi="Times New Roman" w:cs="Times New Roman"/>
          <w:sz w:val="24"/>
          <w:szCs w:val="24"/>
        </w:rPr>
        <w:t xml:space="preserve">. Porém, a concepção de direitos coletivos se estabiliza com o advento da terceira dimensão </w:t>
      </w:r>
      <w:r w:rsidRPr="005F3EB9">
        <w:rPr>
          <w:rFonts w:ascii="Times New Roman" w:eastAsia="Calibri" w:hAnsi="Times New Roman" w:cs="Times New Roman"/>
          <w:sz w:val="24"/>
          <w:szCs w:val="24"/>
        </w:rPr>
        <w:t>marcada</w:t>
      </w:r>
      <w:r>
        <w:rPr>
          <w:rFonts w:ascii="Times New Roman" w:eastAsia="Calibri" w:hAnsi="Times New Roman" w:cs="Times New Roman"/>
          <w:sz w:val="24"/>
          <w:szCs w:val="24"/>
        </w:rPr>
        <w:t xml:space="preserve"> pelo princípio da fraternidade, ao proteger</w:t>
      </w:r>
      <w:r w:rsidRPr="005F3EB9">
        <w:rPr>
          <w:rFonts w:ascii="Times New Roman" w:eastAsia="Calibri" w:hAnsi="Times New Roman" w:cs="Times New Roman"/>
          <w:sz w:val="24"/>
          <w:szCs w:val="24"/>
        </w:rPr>
        <w:t xml:space="preserve"> interesses</w:t>
      </w:r>
      <w:r>
        <w:rPr>
          <w:rFonts w:ascii="Times New Roman" w:eastAsia="Calibri" w:hAnsi="Times New Roman" w:cs="Times New Roman"/>
          <w:sz w:val="24"/>
          <w:szCs w:val="24"/>
        </w:rPr>
        <w:t xml:space="preserve"> coletivos e não mais destinado</w:t>
      </w:r>
      <w:r w:rsidR="009D529C">
        <w:rPr>
          <w:rFonts w:ascii="Times New Roman" w:eastAsia="Calibri" w:hAnsi="Times New Roman" w:cs="Times New Roman"/>
          <w:sz w:val="24"/>
          <w:szCs w:val="24"/>
        </w:rPr>
        <w:t xml:space="preserve"> à proteção de indiví</w:t>
      </w:r>
      <w:r w:rsidRPr="005F3EB9">
        <w:rPr>
          <w:rFonts w:ascii="Times New Roman" w:eastAsia="Calibri" w:hAnsi="Times New Roman" w:cs="Times New Roman"/>
          <w:sz w:val="24"/>
          <w:szCs w:val="24"/>
        </w:rPr>
        <w:t>duos ou de um</w:t>
      </w:r>
      <w:r>
        <w:rPr>
          <w:rFonts w:ascii="Times New Roman" w:eastAsia="Calibri" w:hAnsi="Times New Roman" w:cs="Times New Roman"/>
          <w:sz w:val="24"/>
          <w:szCs w:val="24"/>
        </w:rPr>
        <w:t xml:space="preserve"> pequeno e</w:t>
      </w:r>
      <w:r w:rsidRPr="005F3EB9">
        <w:rPr>
          <w:rFonts w:ascii="Times New Roman" w:eastAsia="Calibri" w:hAnsi="Times New Roman" w:cs="Times New Roman"/>
          <w:sz w:val="24"/>
          <w:szCs w:val="24"/>
        </w:rPr>
        <w:t xml:space="preserve"> determinado grupo.</w:t>
      </w:r>
    </w:p>
    <w:p w:rsidR="00564B08" w:rsidRPr="004522E9" w:rsidRDefault="00975F21" w:rsidP="00DF47EF">
      <w:pPr>
        <w:spacing w:after="0" w:line="240" w:lineRule="auto"/>
        <w:ind w:left="2268"/>
        <w:jc w:val="both"/>
        <w:rPr>
          <w:rFonts w:ascii="Times New Roman" w:eastAsia="Calibri" w:hAnsi="Times New Roman" w:cs="Times New Roman"/>
          <w:sz w:val="20"/>
          <w:szCs w:val="20"/>
        </w:rPr>
      </w:pPr>
      <w:r w:rsidRPr="004522E9">
        <w:rPr>
          <w:rFonts w:ascii="Times New Roman" w:eastAsia="Calibri" w:hAnsi="Times New Roman" w:cs="Times New Roman"/>
          <w:sz w:val="20"/>
          <w:szCs w:val="20"/>
        </w:rPr>
        <w:t>Os direitos da terceira geração tendem a cristalizar-se no fim do século XX enquanto direitos que não se destinam especificamente à proteção dos interesses de um indivíduo, de um grupo ou de um determinado Estado. Tem primeiro por destinatário o gênero humano mesmo, num momento expressivo de sua afirmação como valor supremo em termos de existencialidade concreta. (BONAVIDES, 2006)</w:t>
      </w:r>
      <w:r w:rsidR="009D529C">
        <w:rPr>
          <w:rFonts w:ascii="Times New Roman" w:eastAsia="Calibri" w:hAnsi="Times New Roman" w:cs="Times New Roman"/>
          <w:sz w:val="20"/>
          <w:szCs w:val="20"/>
        </w:rPr>
        <w:t>.</w:t>
      </w:r>
    </w:p>
    <w:p w:rsidR="00975F21" w:rsidRDefault="00975F21" w:rsidP="00975F21">
      <w:pPr>
        <w:pStyle w:val="NormalWeb"/>
        <w:shd w:val="clear" w:color="auto" w:fill="FFFFFF"/>
        <w:spacing w:line="360" w:lineRule="auto"/>
        <w:ind w:firstLine="1134"/>
        <w:jc w:val="both"/>
        <w:rPr>
          <w:color w:val="000000"/>
          <w:lang w:val="pt-BR"/>
        </w:rPr>
      </w:pPr>
      <w:r>
        <w:rPr>
          <w:color w:val="000000"/>
          <w:lang w:val="pt-BR"/>
        </w:rPr>
        <w:t>Atual no ordenamento jurídico brasileiro u</w:t>
      </w:r>
      <w:r w:rsidRPr="002D256B">
        <w:rPr>
          <w:color w:val="000000"/>
          <w:lang w:val="pt-BR"/>
        </w:rPr>
        <w:t>ma classificação legal para os direitos coletivos é positivada no artigo 81 do Código de Defesa do Consumidor</w:t>
      </w:r>
      <w:r>
        <w:rPr>
          <w:color w:val="000000"/>
          <w:lang w:val="pt-BR"/>
        </w:rPr>
        <w:t xml:space="preserve"> (1990) ao citar </w:t>
      </w:r>
      <w:r w:rsidRPr="002D256B">
        <w:rPr>
          <w:color w:val="000000"/>
          <w:lang w:val="pt-BR"/>
        </w:rPr>
        <w:t>que a defesa coletiva será executada quando se tratar de direitos difusos e direitos coletivos. O direito difuso é caracterizado pela indete</w:t>
      </w:r>
      <w:r>
        <w:rPr>
          <w:color w:val="000000"/>
          <w:lang w:val="pt-BR"/>
        </w:rPr>
        <w:t>rminação de sujeitos titulares</w:t>
      </w:r>
      <w:r w:rsidR="009D529C">
        <w:rPr>
          <w:color w:val="000000"/>
          <w:lang w:val="pt-BR"/>
        </w:rPr>
        <w:t xml:space="preserve"> unidos por um ví</w:t>
      </w:r>
      <w:r w:rsidRPr="002D256B">
        <w:rPr>
          <w:color w:val="000000"/>
          <w:lang w:val="pt-BR"/>
        </w:rPr>
        <w:t>nculo meramente de fato, como o caso das comunidades i</w:t>
      </w:r>
      <w:r>
        <w:rPr>
          <w:color w:val="000000"/>
          <w:lang w:val="pt-BR"/>
        </w:rPr>
        <w:t xml:space="preserve">ndígenas. Enquanto no direito </w:t>
      </w:r>
      <w:r w:rsidRPr="002D256B">
        <w:rPr>
          <w:color w:val="000000"/>
          <w:lang w:val="pt-BR"/>
        </w:rPr>
        <w:t xml:space="preserve">coletivo se observa a </w:t>
      </w:r>
      <w:r>
        <w:rPr>
          <w:color w:val="000000"/>
          <w:lang w:val="pt-BR"/>
        </w:rPr>
        <w:t>nítida determinação</w:t>
      </w:r>
      <w:r w:rsidRPr="002D256B">
        <w:rPr>
          <w:color w:val="000000"/>
          <w:lang w:val="pt-BR"/>
        </w:rPr>
        <w:t xml:space="preserve"> dos sujeitos titular</w:t>
      </w:r>
      <w:r>
        <w:rPr>
          <w:color w:val="000000"/>
          <w:lang w:val="pt-BR"/>
        </w:rPr>
        <w:t>es</w:t>
      </w:r>
      <w:r w:rsidRPr="002D256B">
        <w:rPr>
          <w:color w:val="000000"/>
          <w:lang w:val="pt-BR"/>
        </w:rPr>
        <w:t xml:space="preserve"> </w:t>
      </w:r>
      <w:r>
        <w:rPr>
          <w:color w:val="000000"/>
          <w:lang w:val="pt-BR"/>
        </w:rPr>
        <w:t>formada por</w:t>
      </w:r>
      <w:r w:rsidRPr="002D256B">
        <w:rPr>
          <w:color w:val="000000"/>
          <w:lang w:val="pt-BR"/>
        </w:rPr>
        <w:t xml:space="preserve"> um grupo de pessoas unidas</w:t>
      </w:r>
      <w:r>
        <w:rPr>
          <w:color w:val="000000"/>
          <w:lang w:val="pt-BR"/>
        </w:rPr>
        <w:t xml:space="preserve"> por uma relação </w:t>
      </w:r>
      <w:r w:rsidRPr="002D256B">
        <w:rPr>
          <w:color w:val="000000"/>
          <w:lang w:val="pt-BR"/>
        </w:rPr>
        <w:t>jurídica como os moradores de um mesmo condomínio.</w:t>
      </w:r>
    </w:p>
    <w:p w:rsidR="00975F21" w:rsidRDefault="00975F21" w:rsidP="00975F21">
      <w:pPr>
        <w:pStyle w:val="NormalWeb"/>
        <w:shd w:val="clear" w:color="auto" w:fill="FFFFFF"/>
        <w:spacing w:before="0" w:beforeAutospacing="0" w:after="0" w:afterAutospacing="0" w:line="360" w:lineRule="auto"/>
        <w:jc w:val="both"/>
        <w:rPr>
          <w:b/>
          <w:color w:val="000000"/>
          <w:lang w:val="pt-BR"/>
        </w:rPr>
      </w:pPr>
      <w:r>
        <w:rPr>
          <w:b/>
          <w:color w:val="000000"/>
          <w:lang w:val="pt-BR"/>
        </w:rPr>
        <w:t>2.1</w:t>
      </w:r>
      <w:r w:rsidRPr="0081435E">
        <w:rPr>
          <w:b/>
          <w:color w:val="000000"/>
          <w:lang w:val="pt-BR"/>
        </w:rPr>
        <w:t xml:space="preserve">.2 Êxodo Rural, Crise Habitacional e as </w:t>
      </w:r>
      <w:proofErr w:type="gramStart"/>
      <w:r w:rsidRPr="0081435E">
        <w:rPr>
          <w:b/>
          <w:color w:val="000000"/>
          <w:lang w:val="pt-BR"/>
        </w:rPr>
        <w:t>Favelas</w:t>
      </w:r>
      <w:proofErr w:type="gramEnd"/>
      <w:r w:rsidRPr="0081435E">
        <w:rPr>
          <w:b/>
          <w:color w:val="000000"/>
          <w:lang w:val="pt-BR"/>
        </w:rPr>
        <w:t xml:space="preserve"> </w:t>
      </w:r>
    </w:p>
    <w:p w:rsidR="00975F21" w:rsidRDefault="00975F21" w:rsidP="00975F21">
      <w:pPr>
        <w:pStyle w:val="NormalWeb"/>
        <w:shd w:val="clear" w:color="auto" w:fill="FFFFFF"/>
        <w:spacing w:before="0" w:beforeAutospacing="0" w:after="0" w:afterAutospacing="0" w:line="360" w:lineRule="auto"/>
        <w:jc w:val="both"/>
        <w:rPr>
          <w:b/>
          <w:color w:val="000000"/>
          <w:lang w:val="pt-BR"/>
        </w:rPr>
      </w:pPr>
    </w:p>
    <w:p w:rsidR="00975F21" w:rsidRPr="006B6E73" w:rsidRDefault="00975F21" w:rsidP="00975F21">
      <w:pPr>
        <w:pStyle w:val="NormalWeb"/>
        <w:shd w:val="clear" w:color="auto" w:fill="FFFFFF"/>
        <w:spacing w:before="0" w:beforeAutospacing="0" w:after="0" w:afterAutospacing="0" w:line="360" w:lineRule="auto"/>
        <w:ind w:firstLine="1134"/>
        <w:jc w:val="both"/>
        <w:rPr>
          <w:color w:val="000000"/>
          <w:lang w:val="pt-BR"/>
        </w:rPr>
      </w:pPr>
      <w:r w:rsidRPr="00DB5CF1">
        <w:rPr>
          <w:color w:val="000000"/>
          <w:lang w:val="pt-BR"/>
        </w:rPr>
        <w:t>O êxodo rural descreve uma modalidade de migração em que uma população de zona rural se desloca em direção às cidades. Esse tipo de migração é consequência da globalização, do aumento de grandes indústrias e a mecanização das atividades agrícolas que substituiu o trabalho humano por maquinas ao ponto que inúmeras</w:t>
      </w:r>
      <w:r>
        <w:rPr>
          <w:color w:val="000000"/>
          <w:lang w:val="pt-BR"/>
        </w:rPr>
        <w:t xml:space="preserve"> pessoas se deslocaram</w:t>
      </w:r>
      <w:r w:rsidRPr="00DB5CF1">
        <w:rPr>
          <w:color w:val="000000"/>
          <w:lang w:val="pt-BR"/>
        </w:rPr>
        <w:t xml:space="preserve"> para a zona urbana a fim de conseguir empregos e meios de manter uma boa qualidade de vida. </w:t>
      </w:r>
      <w:r>
        <w:rPr>
          <w:color w:val="000000"/>
          <w:lang w:val="pt-BR"/>
        </w:rPr>
        <w:t xml:space="preserve"> “</w:t>
      </w:r>
      <w:r w:rsidRPr="00DB5CF1">
        <w:rPr>
          <w:color w:val="000000"/>
          <w:lang w:val="pt-BR"/>
        </w:rPr>
        <w:t>O êxodo rural no Brasil ocorreu, de forma mais intensa, em apenas duas décadas: entre 1960 e 1980, mantendo patamares relativamente elevados nas décadas seguintes e perdendo força</w:t>
      </w:r>
      <w:r w:rsidR="009D529C">
        <w:rPr>
          <w:color w:val="000000"/>
          <w:lang w:val="pt-BR"/>
        </w:rPr>
        <w:t xml:space="preserve"> total na entrada dos anos 2000</w:t>
      </w:r>
      <w:r>
        <w:rPr>
          <w:color w:val="000000"/>
          <w:lang w:val="pt-BR"/>
        </w:rPr>
        <w:t>”</w:t>
      </w:r>
      <w:r w:rsidR="009D529C">
        <w:rPr>
          <w:color w:val="000000"/>
          <w:lang w:val="pt-BR"/>
        </w:rPr>
        <w:t>.</w:t>
      </w:r>
      <w:r w:rsidRPr="00DB5CF1">
        <w:rPr>
          <w:color w:val="000000"/>
          <w:lang w:val="pt-BR"/>
        </w:rPr>
        <w:t xml:space="preserve"> </w:t>
      </w:r>
      <w:r>
        <w:rPr>
          <w:color w:val="000000"/>
          <w:lang w:val="pt-BR"/>
        </w:rPr>
        <w:t xml:space="preserve">(PENA, 2012). </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sidRPr="006B6E73">
        <w:rPr>
          <w:color w:val="000000"/>
          <w:lang w:val="pt-BR"/>
        </w:rPr>
        <w:t xml:space="preserve">O mercado de trabalho das áreas urbanas não conseguiu absorver o crescimento acelerado da população ocasionando um aumento nas taxas de desemprego. Em tese o que seria um avanço na vida de cada família que realizou esse deslocamento, acabou tornando-se um pesadelo, pois a baixa renda e a falta de oportunidades de emprego geraram uma grande </w:t>
      </w:r>
      <w:r w:rsidRPr="006B6E73">
        <w:rPr>
          <w:color w:val="000000"/>
          <w:lang w:val="pt-BR"/>
        </w:rPr>
        <w:lastRenderedPageBreak/>
        <w:t>crise no sistema habitacional. Sem dinheiro e sem espaços dignos para a moradia, inúmeras pessoas encontraram em áreas periféricas e de risco a única</w:t>
      </w:r>
      <w:r>
        <w:rPr>
          <w:color w:val="000000"/>
          <w:lang w:val="pt-BR"/>
        </w:rPr>
        <w:t xml:space="preserve"> oportunidade para se estabelecerem</w:t>
      </w:r>
      <w:r w:rsidRPr="006B6E73">
        <w:rPr>
          <w:color w:val="000000"/>
          <w:lang w:val="pt-BR"/>
        </w:rPr>
        <w:t xml:space="preserve"> em um local</w:t>
      </w:r>
      <w:r>
        <w:rPr>
          <w:color w:val="000000"/>
          <w:lang w:val="pt-BR"/>
        </w:rPr>
        <w:t xml:space="preserve"> ao passo que se utilizava</w:t>
      </w:r>
      <w:r w:rsidRPr="006B6E73">
        <w:rPr>
          <w:color w:val="000000"/>
          <w:lang w:val="pt-BR"/>
        </w:rPr>
        <w:t xml:space="preserve"> de formas de apropriação irregular do solo.</w:t>
      </w:r>
    </w:p>
    <w:p w:rsidR="00975F21" w:rsidRDefault="00975F21" w:rsidP="00DF47EF">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O êxodo rural foi grande responsável pelo crescimento da população urbana e o despreparo dos órgãos públicos resultou em uma cris</w:t>
      </w:r>
      <w:r w:rsidR="009D529C">
        <w:rPr>
          <w:color w:val="000000"/>
          <w:lang w:val="pt-BR"/>
        </w:rPr>
        <w:t>e habitacional. Sem políticas pú</w:t>
      </w:r>
      <w:r>
        <w:rPr>
          <w:color w:val="000000"/>
          <w:lang w:val="pt-BR"/>
        </w:rPr>
        <w:t xml:space="preserve">blicas com finalidade de prevenir ou resolver o problema do direito à moradia surgiu as grandes favelas. Com o passar do tempo e a estabilização dessas áreas periféricas, o Estado com a finalidade de resolver tais problemas instituiu </w:t>
      </w:r>
      <w:r w:rsidRPr="00D92912">
        <w:rPr>
          <w:color w:val="000000"/>
          <w:lang w:val="pt-BR"/>
        </w:rPr>
        <w:t>Lei n° 10.257, de 10 de julho de 2001</w:t>
      </w:r>
      <w:r>
        <w:rPr>
          <w:color w:val="000000"/>
          <w:lang w:val="pt-BR"/>
        </w:rPr>
        <w:t>, conhecida como Estatuto da Cidade com o intuito d</w:t>
      </w:r>
      <w:r w:rsidR="009D529C">
        <w:rPr>
          <w:color w:val="000000"/>
          <w:lang w:val="pt-BR"/>
        </w:rPr>
        <w:t>e utiliza-la como instrumento pú</w:t>
      </w:r>
      <w:r>
        <w:rPr>
          <w:color w:val="000000"/>
          <w:lang w:val="pt-BR"/>
        </w:rPr>
        <w:t>blico ao observar a função social das propriedades.</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p>
    <w:p w:rsidR="00975F21" w:rsidRPr="000231A7" w:rsidRDefault="00975F21" w:rsidP="00975F21">
      <w:pPr>
        <w:pStyle w:val="NormalWeb"/>
        <w:shd w:val="clear" w:color="auto" w:fill="FFFFFF"/>
        <w:spacing w:before="0" w:beforeAutospacing="0" w:after="0" w:afterAutospacing="0" w:line="360" w:lineRule="auto"/>
        <w:jc w:val="both"/>
        <w:rPr>
          <w:b/>
          <w:color w:val="000000"/>
          <w:lang w:val="pt-BR"/>
        </w:rPr>
      </w:pPr>
      <w:proofErr w:type="gramStart"/>
      <w:r>
        <w:rPr>
          <w:b/>
          <w:color w:val="000000"/>
          <w:lang w:val="pt-BR"/>
        </w:rPr>
        <w:t>2.2</w:t>
      </w:r>
      <w:r w:rsidRPr="000231A7">
        <w:rPr>
          <w:b/>
          <w:color w:val="000000"/>
          <w:lang w:val="pt-BR"/>
        </w:rPr>
        <w:t xml:space="preserve"> Posse</w:t>
      </w:r>
      <w:proofErr w:type="gramEnd"/>
      <w:r w:rsidRPr="000231A7">
        <w:rPr>
          <w:b/>
          <w:color w:val="000000"/>
          <w:lang w:val="pt-BR"/>
        </w:rPr>
        <w:t>, Propriedade e a Usucapião Especial Urbana Coletiva</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p>
    <w:p w:rsidR="00975F21" w:rsidRDefault="00975F21" w:rsidP="00975F21">
      <w:pPr>
        <w:pStyle w:val="NormalWeb"/>
        <w:shd w:val="clear" w:color="auto" w:fill="FFFFFF"/>
        <w:spacing w:before="0" w:beforeAutospacing="0" w:after="0" w:afterAutospacing="0" w:line="360" w:lineRule="auto"/>
        <w:jc w:val="both"/>
        <w:rPr>
          <w:color w:val="000000"/>
          <w:lang w:val="pt-BR"/>
        </w:rPr>
      </w:pPr>
      <w:r>
        <w:rPr>
          <w:color w:val="000000"/>
          <w:lang w:val="pt-BR"/>
        </w:rPr>
        <w:t>2.2.1 Posse</w:t>
      </w:r>
    </w:p>
    <w:p w:rsidR="00564B08" w:rsidRDefault="00564B08" w:rsidP="00975F21">
      <w:pPr>
        <w:pStyle w:val="NormalWeb"/>
        <w:shd w:val="clear" w:color="auto" w:fill="FFFFFF"/>
        <w:spacing w:before="0" w:beforeAutospacing="0" w:after="0" w:afterAutospacing="0" w:line="360" w:lineRule="auto"/>
        <w:jc w:val="both"/>
        <w:rPr>
          <w:color w:val="000000"/>
          <w:lang w:val="pt-BR"/>
        </w:rPr>
      </w:pP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De acordo com artigo 1.196 do Código Civil, “considera-se possuidor todo aquele que tem de fato o exercício, pleno ou não, de algum dos poderes inerentes à propriedade” (BRASIL, 2002). Perante esse artigo, observa-se que o direito brasileiro em relação à posse está de acordo com a Teoria de </w:t>
      </w:r>
      <w:proofErr w:type="spellStart"/>
      <w:r>
        <w:rPr>
          <w:color w:val="000000"/>
          <w:lang w:val="pt-BR"/>
        </w:rPr>
        <w:t>Ihering</w:t>
      </w:r>
      <w:proofErr w:type="spellEnd"/>
      <w:r>
        <w:rPr>
          <w:color w:val="000000"/>
          <w:lang w:val="pt-BR"/>
        </w:rPr>
        <w:t xml:space="preserve">, pois para o mesmo de acordo com Assis, Jesus e Melo (2014) a posse existe quando é </w:t>
      </w:r>
      <w:proofErr w:type="gramStart"/>
      <w:r>
        <w:rPr>
          <w:color w:val="000000"/>
          <w:lang w:val="pt-BR"/>
        </w:rPr>
        <w:t>exercida de forma</w:t>
      </w:r>
      <w:proofErr w:type="gramEnd"/>
      <w:r>
        <w:rPr>
          <w:color w:val="000000"/>
          <w:lang w:val="pt-BR"/>
        </w:rPr>
        <w:t xml:space="preserve"> a parentar o domínio sobre a coisa, ou seja, para </w:t>
      </w:r>
      <w:proofErr w:type="spellStart"/>
      <w:r>
        <w:rPr>
          <w:color w:val="000000"/>
          <w:lang w:val="pt-BR"/>
        </w:rPr>
        <w:t>Ihering</w:t>
      </w:r>
      <w:proofErr w:type="spellEnd"/>
      <w:r>
        <w:rPr>
          <w:color w:val="000000"/>
          <w:lang w:val="pt-BR"/>
        </w:rPr>
        <w:t>, a posse é a exteriorização do domínio, porque para que haja posse não é necessário que o possuidor tenha ânimo de dono sobre a coisa, mas apenas que detenha o corpus de forma a exercer poderes próprios de proprietário.</w:t>
      </w:r>
    </w:p>
    <w:p w:rsidR="00DF47EF" w:rsidRDefault="00DF47EF" w:rsidP="00DF47EF">
      <w:pPr>
        <w:pStyle w:val="NormalWeb"/>
        <w:shd w:val="clear" w:color="auto" w:fill="FFFFFF"/>
        <w:spacing w:before="0" w:beforeAutospacing="0" w:after="0" w:afterAutospacing="0" w:line="360" w:lineRule="auto"/>
        <w:jc w:val="both"/>
        <w:rPr>
          <w:color w:val="000000"/>
          <w:lang w:val="pt-BR"/>
        </w:rPr>
      </w:pPr>
    </w:p>
    <w:p w:rsidR="00564B08" w:rsidRDefault="00975F21" w:rsidP="00975F21">
      <w:pPr>
        <w:pStyle w:val="NormalWeb"/>
        <w:shd w:val="clear" w:color="auto" w:fill="FFFFFF"/>
        <w:spacing w:before="0" w:beforeAutospacing="0" w:after="0" w:afterAutospacing="0" w:line="360" w:lineRule="auto"/>
        <w:jc w:val="both"/>
        <w:rPr>
          <w:color w:val="000000"/>
          <w:lang w:val="pt-BR"/>
        </w:rPr>
      </w:pPr>
      <w:r>
        <w:rPr>
          <w:color w:val="000000"/>
          <w:lang w:val="pt-BR"/>
        </w:rPr>
        <w:t xml:space="preserve">2.2.2 Propriedade </w:t>
      </w:r>
    </w:p>
    <w:p w:rsidR="00DF47EF" w:rsidRDefault="00DF47EF" w:rsidP="00975F21">
      <w:pPr>
        <w:pStyle w:val="NormalWeb"/>
        <w:shd w:val="clear" w:color="auto" w:fill="FFFFFF"/>
        <w:spacing w:before="0" w:beforeAutospacing="0" w:after="0" w:afterAutospacing="0" w:line="360" w:lineRule="auto"/>
        <w:jc w:val="both"/>
        <w:rPr>
          <w:color w:val="000000"/>
          <w:lang w:val="pt-BR"/>
        </w:rPr>
      </w:pP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O conceito de propriedade encontra-se no artigo 1.228 do Código Civil, sendo como “o direito de usar, gozar e dispor de uma coisa, bem como reavê-la de quem quer que injustamente a possua ou detenha” (BRASIL, 2002). Nota-se que o referido artigo fala sobre três elementos essências da propriedade: usar, gozar e dispor da coisa. </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Jus </w:t>
      </w:r>
      <w:proofErr w:type="spellStart"/>
      <w:r>
        <w:rPr>
          <w:color w:val="000000"/>
          <w:lang w:val="pt-BR"/>
        </w:rPr>
        <w:t>Utendi</w:t>
      </w:r>
      <w:proofErr w:type="spellEnd"/>
      <w:r>
        <w:rPr>
          <w:color w:val="000000"/>
          <w:lang w:val="pt-BR"/>
        </w:rPr>
        <w:t xml:space="preserve"> é o direito de usar a coisa envolvendo a posse seja ela direta ou indireta, podendo usar a própria coisa e seus acessórios como partes integrantes. “F</w:t>
      </w:r>
      <w:r w:rsidRPr="001C046D">
        <w:rPr>
          <w:color w:val="000000"/>
          <w:lang w:val="pt-BR"/>
        </w:rPr>
        <w:t xml:space="preserve">unda-se na </w:t>
      </w:r>
      <w:r w:rsidRPr="001C046D">
        <w:rPr>
          <w:color w:val="000000"/>
          <w:lang w:val="pt-BR"/>
        </w:rPr>
        <w:lastRenderedPageBreak/>
        <w:t>prerrogativa que o titular tem de servir-se da coisa, como dirigir um automóvel ou ocupar um imóvel.</w:t>
      </w:r>
      <w:r>
        <w:rPr>
          <w:color w:val="000000"/>
          <w:lang w:val="pt-BR"/>
        </w:rPr>
        <w:t>”</w:t>
      </w:r>
      <w:r w:rsidRPr="001C046D">
        <w:rPr>
          <w:color w:val="000000"/>
          <w:lang w:val="pt-BR"/>
        </w:rPr>
        <w:t xml:space="preserve"> </w:t>
      </w:r>
      <w:r>
        <w:rPr>
          <w:color w:val="000000"/>
          <w:lang w:val="pt-BR"/>
        </w:rPr>
        <w:t>(LEITE, 2008).</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Jus </w:t>
      </w:r>
      <w:proofErr w:type="spellStart"/>
      <w:r>
        <w:rPr>
          <w:color w:val="000000"/>
          <w:lang w:val="pt-BR"/>
        </w:rPr>
        <w:t>Fruendi</w:t>
      </w:r>
      <w:proofErr w:type="spellEnd"/>
      <w:r>
        <w:rPr>
          <w:color w:val="000000"/>
          <w:lang w:val="pt-BR"/>
        </w:rPr>
        <w:t xml:space="preserve"> é direito de gozo envolvendo a percepção dos frutos e as demais vantagens que advém da coisa e está regulado pelo artigo 1.232 do Código Civil: “frutos e mais produtos da coisa pertencem, ainda quando separados, ao seu proprietário, salvo se, por preceito jurídico especial, couberem a outrem.” (BRASIL, 2002).</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Jus Abutendi é o direito de dispor da coisa, seja alienando, transferindo o direito a outra pessoa, destruindo a própria coisa se assim o proprietário quiser ou até mesmo dividir o bem. </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p>
    <w:p w:rsidR="00975F21" w:rsidRDefault="00975F21" w:rsidP="00975F21">
      <w:pPr>
        <w:pStyle w:val="NormalWeb"/>
        <w:shd w:val="clear" w:color="auto" w:fill="FFFFFF"/>
        <w:spacing w:before="0" w:beforeAutospacing="0" w:after="0" w:afterAutospacing="0" w:line="360" w:lineRule="auto"/>
        <w:jc w:val="both"/>
        <w:rPr>
          <w:color w:val="000000"/>
          <w:lang w:val="pt-BR"/>
        </w:rPr>
      </w:pPr>
      <w:r>
        <w:rPr>
          <w:color w:val="000000"/>
          <w:lang w:val="pt-BR"/>
        </w:rPr>
        <w:t xml:space="preserve">2.2.3 Usucapião Especial Urbana Coletiva </w:t>
      </w:r>
    </w:p>
    <w:p w:rsidR="00564B08" w:rsidRDefault="00564B08" w:rsidP="00975F21">
      <w:pPr>
        <w:pStyle w:val="NormalWeb"/>
        <w:shd w:val="clear" w:color="auto" w:fill="FFFFFF"/>
        <w:spacing w:before="0" w:beforeAutospacing="0" w:after="0" w:afterAutospacing="0" w:line="360" w:lineRule="auto"/>
        <w:jc w:val="both"/>
        <w:rPr>
          <w:color w:val="000000"/>
          <w:lang w:val="pt-BR"/>
        </w:rPr>
      </w:pP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A usucapião é uma forma originaria de aquisição de propriedade, considera-se originária quando a aquisição é obtida sem o intermédio de uma relação negocial e nem sucessória. A usucapião é caracterizada pelo exercício da posse de forma continua e sem oposição por um período suficiente determinado por lei para que haja a aquisição desse determinado imóvel.</w:t>
      </w:r>
    </w:p>
    <w:p w:rsidR="00564B08" w:rsidRDefault="00975F21" w:rsidP="00DF47EF">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A usucapião possui inúmeras espécies como a extraordinária, a ordinária, a especial familiar, a especial rural e dentre essas espécies será abordada a usucapião especial urbana coletiva.  O Estatuto da Cidade no seu artigo 10 previu a usucapião coletiva: </w:t>
      </w:r>
    </w:p>
    <w:p w:rsidR="00564B08" w:rsidRDefault="00975F21" w:rsidP="00DF47EF">
      <w:pPr>
        <w:pStyle w:val="NormalWeb"/>
        <w:shd w:val="clear" w:color="auto" w:fill="FFFFFF"/>
        <w:spacing w:before="0" w:beforeAutospacing="0" w:after="0" w:afterAutospacing="0"/>
        <w:ind w:left="2268"/>
        <w:jc w:val="both"/>
        <w:rPr>
          <w:color w:val="000000"/>
          <w:sz w:val="20"/>
          <w:szCs w:val="20"/>
          <w:lang w:val="pt-BR"/>
        </w:rPr>
      </w:pPr>
      <w:r w:rsidRPr="0002751F">
        <w:rPr>
          <w:color w:val="000000"/>
          <w:sz w:val="20"/>
          <w:szCs w:val="20"/>
          <w:lang w:val="pt-BR"/>
        </w:rPr>
        <w:t xml:space="preserve">Art. 10. As áreas urbanas com mais de duzentos e </w:t>
      </w:r>
      <w:proofErr w:type="spellStart"/>
      <w:r w:rsidRPr="0002751F">
        <w:rPr>
          <w:color w:val="000000"/>
          <w:sz w:val="20"/>
          <w:szCs w:val="20"/>
          <w:lang w:val="pt-BR"/>
        </w:rPr>
        <w:t>cinqüenta</w:t>
      </w:r>
      <w:proofErr w:type="spellEnd"/>
      <w:r w:rsidRPr="0002751F">
        <w:rPr>
          <w:color w:val="000000"/>
          <w:sz w:val="20"/>
          <w:szCs w:val="20"/>
          <w:lang w:val="pt-BR"/>
        </w:rPr>
        <w:t xml:space="preserve"> metros quadrados, ocupadas por população de baixa renda para sua moradia, por cinco anos, ininterruptamente e sem oposição, onde não for possível identificar os terrenos ocupados por cada possuidor, são susceptíveis de serem usucapidas coletivamente, desde que os possuidores não sejam proprietários de outro imóvel urbano ou rural. [...] § 2o A usucapião especial coletiva de imóvel urbano será declarada pelo juiz, mediante sentença, a qual servirá de título para registro no cartório de registro de imóveis. </w:t>
      </w:r>
      <w:r>
        <w:rPr>
          <w:color w:val="000000"/>
          <w:sz w:val="20"/>
          <w:szCs w:val="20"/>
          <w:lang w:val="pt-BR"/>
        </w:rPr>
        <w:t xml:space="preserve"> (BRASIL, 2001)</w:t>
      </w:r>
      <w:r w:rsidR="00564B08">
        <w:rPr>
          <w:color w:val="000000"/>
          <w:sz w:val="20"/>
          <w:szCs w:val="20"/>
          <w:lang w:val="pt-BR"/>
        </w:rPr>
        <w:t>.</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São requisitos necessários para a usucapião coletiva, o fato </w:t>
      </w:r>
      <w:proofErr w:type="gramStart"/>
      <w:r>
        <w:rPr>
          <w:color w:val="000000"/>
          <w:lang w:val="pt-BR"/>
        </w:rPr>
        <w:t>do imóvel ter</w:t>
      </w:r>
      <w:proofErr w:type="gramEnd"/>
      <w:r>
        <w:rPr>
          <w:color w:val="000000"/>
          <w:lang w:val="pt-BR"/>
        </w:rPr>
        <w:t xml:space="preserve"> mais de duzentos e cinquenta metros quadrados, a ocupação deve ser feita por população de baixa renda sendo que a finalidade deve ser para moradia por um lapso temporal de posse de cinco anos ininterruptos, a impossibilidade de identificação dos terrenos ocupados por cada possuidor e por fim os possuidores não podem ser proprietários de outros imóveis.</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p>
    <w:p w:rsidR="00975F21" w:rsidRDefault="00975F21" w:rsidP="00975F21">
      <w:pPr>
        <w:pStyle w:val="NormalWeb"/>
        <w:shd w:val="clear" w:color="auto" w:fill="FFFFFF"/>
        <w:spacing w:before="0" w:beforeAutospacing="0" w:after="0" w:afterAutospacing="0" w:line="360" w:lineRule="auto"/>
        <w:jc w:val="both"/>
        <w:rPr>
          <w:b/>
          <w:color w:val="000000"/>
          <w:lang w:val="pt-BR"/>
        </w:rPr>
      </w:pPr>
      <w:proofErr w:type="gramStart"/>
      <w:r>
        <w:rPr>
          <w:b/>
          <w:color w:val="000000"/>
          <w:lang w:val="pt-BR"/>
        </w:rPr>
        <w:t>2.3</w:t>
      </w:r>
      <w:r w:rsidRPr="00E35B63">
        <w:rPr>
          <w:b/>
          <w:color w:val="000000"/>
          <w:lang w:val="pt-BR"/>
        </w:rPr>
        <w:t xml:space="preserve"> Usucapião</w:t>
      </w:r>
      <w:proofErr w:type="gramEnd"/>
      <w:r w:rsidRPr="00E35B63">
        <w:rPr>
          <w:b/>
          <w:color w:val="000000"/>
          <w:lang w:val="pt-BR"/>
        </w:rPr>
        <w:t xml:space="preserve"> coletiva como instrumento para efetivar o direito à moradia. </w:t>
      </w:r>
    </w:p>
    <w:p w:rsidR="00975F21" w:rsidRDefault="00975F21" w:rsidP="00975F21">
      <w:pPr>
        <w:pStyle w:val="NormalWeb"/>
        <w:shd w:val="clear" w:color="auto" w:fill="FFFFFF"/>
        <w:spacing w:before="0" w:beforeAutospacing="0" w:after="0" w:afterAutospacing="0" w:line="360" w:lineRule="auto"/>
        <w:jc w:val="both"/>
        <w:rPr>
          <w:b/>
          <w:color w:val="000000"/>
          <w:lang w:val="pt-BR"/>
        </w:rPr>
      </w:pP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sidRPr="00E35B63">
        <w:rPr>
          <w:color w:val="000000"/>
          <w:lang w:val="pt-BR"/>
        </w:rPr>
        <w:lastRenderedPageBreak/>
        <w:t xml:space="preserve">Os direitos sociais têm como papel crucial evidenciar que o Estado tem o dever de proporcionar o exercício de determinados direitos que são fundamentais para que cada cidadão possua uma vida digna e igualitária, sem detrimento de determinadas minorias. O direito à moradia e </w:t>
      </w:r>
      <w:r>
        <w:rPr>
          <w:color w:val="000000"/>
          <w:lang w:val="pt-BR"/>
        </w:rPr>
        <w:t xml:space="preserve">a </w:t>
      </w:r>
      <w:r w:rsidRPr="00E35B63">
        <w:rPr>
          <w:color w:val="000000"/>
          <w:lang w:val="pt-BR"/>
        </w:rPr>
        <w:t>proprieda</w:t>
      </w:r>
      <w:r>
        <w:rPr>
          <w:color w:val="000000"/>
          <w:lang w:val="pt-BR"/>
        </w:rPr>
        <w:t>de</w:t>
      </w:r>
      <w:r w:rsidRPr="00E35B63">
        <w:rPr>
          <w:color w:val="000000"/>
          <w:lang w:val="pt-BR"/>
        </w:rPr>
        <w:t xml:space="preserve"> é de suma importância para estabelecer um mínimo existencial e uma vida digna que valha ser vivida. Autoridades públicas omitem-se nas mais básicas e necessárias prestações de serviço à coletividade alegando falta de recurso. Daí a necessidade de intervenções para suprir tais omissões.</w:t>
      </w:r>
      <w:r>
        <w:rPr>
          <w:color w:val="000000"/>
          <w:lang w:val="pt-BR"/>
        </w:rPr>
        <w:t xml:space="preserve"> A Constituição Federal de 1988 no seu artigo 5° repaginou o conceito de direito </w:t>
      </w:r>
      <w:r w:rsidR="001A5F87">
        <w:rPr>
          <w:color w:val="000000"/>
          <w:lang w:val="pt-BR"/>
        </w:rPr>
        <w:t>à propriedade inserindo o princí</w:t>
      </w:r>
      <w:r>
        <w:rPr>
          <w:color w:val="000000"/>
          <w:lang w:val="pt-BR"/>
        </w:rPr>
        <w:t>pio da função social: “</w:t>
      </w:r>
      <w:r w:rsidRPr="00D413F9">
        <w:rPr>
          <w:color w:val="000000"/>
          <w:lang w:val="pt-BR"/>
        </w:rPr>
        <w:t>XXIII - a proprieda</w:t>
      </w:r>
      <w:r>
        <w:rPr>
          <w:color w:val="000000"/>
          <w:lang w:val="pt-BR"/>
        </w:rPr>
        <w:t xml:space="preserve">de atenderá a sua função social”. </w:t>
      </w:r>
    </w:p>
    <w:p w:rsidR="000278D8" w:rsidRPr="000278D8" w:rsidRDefault="000278D8"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“A finalidade da usucapião coletiva</w:t>
      </w:r>
      <w:r w:rsidRPr="000278D8">
        <w:rPr>
          <w:color w:val="000000"/>
          <w:lang w:val="pt-BR"/>
        </w:rPr>
        <w:t>, sem dúvida alguma, é tornar possível não apenas a regularização fundiária das favelas urbanas brasileiras, mas também a sua urbanização”.</w:t>
      </w:r>
      <w:r w:rsidR="0087391B">
        <w:rPr>
          <w:color w:val="000000"/>
          <w:lang w:val="pt-BR"/>
        </w:rPr>
        <w:t xml:space="preserve"> (OLIMPIO, 2012, p.2)</w:t>
      </w:r>
    </w:p>
    <w:p w:rsidR="00975F21" w:rsidRDefault="00975F21" w:rsidP="00975F21">
      <w:pPr>
        <w:pStyle w:val="NormalWeb"/>
        <w:shd w:val="clear" w:color="auto" w:fill="FFFFFF"/>
        <w:spacing w:before="0" w:beforeAutospacing="0" w:after="0" w:afterAutospacing="0" w:line="360" w:lineRule="auto"/>
        <w:ind w:firstLine="1134"/>
        <w:jc w:val="both"/>
        <w:rPr>
          <w:color w:val="000000"/>
          <w:lang w:val="pt-BR"/>
        </w:rPr>
      </w:pPr>
      <w:r>
        <w:rPr>
          <w:color w:val="000000"/>
          <w:lang w:val="pt-BR"/>
        </w:rPr>
        <w:t xml:space="preserve">De acordo com o princípio da função social, o homem deve utilizar </w:t>
      </w:r>
      <w:r w:rsidRPr="008551C7">
        <w:rPr>
          <w:color w:val="000000"/>
          <w:lang w:val="pt-BR"/>
        </w:rPr>
        <w:t>a propriedade de forma que supra os interesses da coletiv</w:t>
      </w:r>
      <w:r>
        <w:rPr>
          <w:color w:val="000000"/>
          <w:lang w:val="pt-BR"/>
        </w:rPr>
        <w:t>i</w:t>
      </w:r>
      <w:r w:rsidRPr="008551C7">
        <w:rPr>
          <w:color w:val="000000"/>
          <w:lang w:val="pt-BR"/>
        </w:rPr>
        <w:t>dade. Uma proprieda</w:t>
      </w:r>
      <w:r>
        <w:rPr>
          <w:color w:val="000000"/>
          <w:lang w:val="pt-BR"/>
        </w:rPr>
        <w:t xml:space="preserve">de sem produção e desemparada </w:t>
      </w:r>
      <w:r w:rsidRPr="008551C7">
        <w:rPr>
          <w:color w:val="000000"/>
          <w:lang w:val="pt-BR"/>
        </w:rPr>
        <w:t>que não aten</w:t>
      </w:r>
      <w:r>
        <w:rPr>
          <w:color w:val="000000"/>
          <w:lang w:val="pt-BR"/>
        </w:rPr>
        <w:t>da os interesses sociais é passível de usucapi</w:t>
      </w:r>
      <w:r w:rsidRPr="008551C7">
        <w:rPr>
          <w:color w:val="000000"/>
          <w:lang w:val="pt-BR"/>
        </w:rPr>
        <w:t xml:space="preserve">ão especial urbana coletiva. Desta forma, essa espécie de usucapião para a aquisição de propriedade é um mecanismo encontrado por populações e grupos que não tiveram o seu direito à </w:t>
      </w:r>
      <w:proofErr w:type="gramStart"/>
      <w:r w:rsidRPr="008551C7">
        <w:rPr>
          <w:color w:val="000000"/>
          <w:lang w:val="pt-BR"/>
        </w:rPr>
        <w:t xml:space="preserve">moradia assegurado por um Estado nitidamente falho em </w:t>
      </w:r>
      <w:r>
        <w:rPr>
          <w:color w:val="000000"/>
          <w:lang w:val="pt-BR"/>
        </w:rPr>
        <w:t xml:space="preserve">efetivar </w:t>
      </w:r>
      <w:r w:rsidRPr="008551C7">
        <w:rPr>
          <w:color w:val="000000"/>
          <w:lang w:val="pt-BR"/>
        </w:rPr>
        <w:t>os direitos sociais</w:t>
      </w:r>
      <w:proofErr w:type="gramEnd"/>
      <w:r>
        <w:rPr>
          <w:color w:val="000000"/>
          <w:lang w:val="pt-BR"/>
        </w:rPr>
        <w:t>.</w:t>
      </w:r>
    </w:p>
    <w:p w:rsidR="00A66E25" w:rsidRDefault="00A66E25" w:rsidP="00A66E25">
      <w:pPr>
        <w:spacing w:after="0" w:line="360" w:lineRule="auto"/>
        <w:jc w:val="both"/>
        <w:rPr>
          <w:rFonts w:ascii="Times New Roman" w:hAnsi="Times New Roman" w:cs="Times New Roman"/>
          <w:b/>
          <w:sz w:val="24"/>
          <w:szCs w:val="24"/>
        </w:rPr>
      </w:pPr>
    </w:p>
    <w:p w:rsidR="00975F21" w:rsidRDefault="00975F21" w:rsidP="00A66E2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DISCUSSÃO DO TEMA </w:t>
      </w:r>
    </w:p>
    <w:p w:rsidR="001A5F87" w:rsidRDefault="001A5F87" w:rsidP="00A66E25">
      <w:pPr>
        <w:spacing w:after="0" w:line="360" w:lineRule="auto"/>
        <w:jc w:val="both"/>
        <w:rPr>
          <w:rFonts w:ascii="Times New Roman" w:hAnsi="Times New Roman" w:cs="Times New Roman"/>
          <w:b/>
          <w:sz w:val="24"/>
          <w:szCs w:val="24"/>
        </w:rPr>
      </w:pPr>
    </w:p>
    <w:p w:rsidR="001A5F87" w:rsidRDefault="001A5F87" w:rsidP="001A5F87">
      <w:pPr>
        <w:spacing w:after="0" w:line="360" w:lineRule="auto"/>
        <w:ind w:firstLine="11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 surgimento dos sujeitos coletivos de direito foi um grande salto para a consolidação de um Estado Democrático de Direito que possui como seus fundamentos a dignidade da pessoa humana e o pluralismo político. Reforça-se esta importância quando se constata que um grupo de pessoas, antes desconsiderados como sujeito de direito, contribuiu para a uma revolução legislativa ao impulsionar o surgimento do instituto jurídico da usucapião coletiva urbana. </w:t>
      </w:r>
    </w:p>
    <w:p w:rsidR="001A5F87" w:rsidRDefault="001A5F87" w:rsidP="001A5F87">
      <w:pPr>
        <w:spacing w:after="0" w:line="360" w:lineRule="auto"/>
        <w:ind w:firstLine="1163"/>
        <w:jc w:val="both"/>
        <w:rPr>
          <w:rFonts w:ascii="Times New Roman" w:eastAsia="Calibri" w:hAnsi="Times New Roman" w:cs="Times New Roman"/>
          <w:sz w:val="24"/>
          <w:szCs w:val="24"/>
        </w:rPr>
      </w:pPr>
      <w:r>
        <w:rPr>
          <w:rFonts w:ascii="Times New Roman" w:eastAsia="Calibri" w:hAnsi="Times New Roman" w:cs="Times New Roman"/>
          <w:sz w:val="24"/>
          <w:szCs w:val="24"/>
        </w:rPr>
        <w:t>Tal instituto, além de regularizar a situação fundiária das favelas, acentua a função social da propriedade, enseja uma urbanização daquele local e chama a atenção dos órgãos governamentais e da sociedade civil para uma questão não só jurídica, mas ambiental, social, econômica e política.</w:t>
      </w:r>
    </w:p>
    <w:p w:rsidR="00304C44" w:rsidRDefault="00304C44" w:rsidP="001A5F87">
      <w:pPr>
        <w:spacing w:after="0" w:line="360" w:lineRule="auto"/>
        <w:ind w:firstLine="1163"/>
        <w:jc w:val="both"/>
        <w:rPr>
          <w:rFonts w:ascii="Times New Roman" w:eastAsia="Calibri" w:hAnsi="Times New Roman" w:cs="Times New Roman"/>
          <w:sz w:val="24"/>
          <w:szCs w:val="24"/>
        </w:rPr>
      </w:pPr>
    </w:p>
    <w:p w:rsidR="00975F21" w:rsidRDefault="00975F21" w:rsidP="001A5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CONCLUSÃO </w:t>
      </w:r>
    </w:p>
    <w:p w:rsidR="00564B08" w:rsidRDefault="00564B08" w:rsidP="00304C44">
      <w:pPr>
        <w:spacing w:after="0" w:line="360" w:lineRule="auto"/>
        <w:ind w:firstLine="1134"/>
        <w:jc w:val="both"/>
        <w:rPr>
          <w:rFonts w:ascii="Times New Roman" w:hAnsi="Times New Roman" w:cs="Times New Roman"/>
          <w:b/>
          <w:sz w:val="24"/>
          <w:szCs w:val="24"/>
        </w:rPr>
      </w:pPr>
    </w:p>
    <w:p w:rsidR="0087391B" w:rsidRDefault="00D20980" w:rsidP="00A03A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Perante a </w:t>
      </w:r>
      <w:r w:rsidRPr="00D20980">
        <w:rPr>
          <w:rFonts w:ascii="Times New Roman" w:hAnsi="Times New Roman" w:cs="Times New Roman"/>
          <w:sz w:val="24"/>
          <w:szCs w:val="24"/>
        </w:rPr>
        <w:t>crise habitacional que décadas anteriores alcançou</w:t>
      </w:r>
      <w:r w:rsidR="00E820E0">
        <w:rPr>
          <w:rFonts w:ascii="Times New Roman" w:hAnsi="Times New Roman" w:cs="Times New Roman"/>
          <w:sz w:val="24"/>
          <w:szCs w:val="24"/>
        </w:rPr>
        <w:t xml:space="preserve"> elevado</w:t>
      </w:r>
      <w:r w:rsidRPr="00D20980">
        <w:rPr>
          <w:rFonts w:ascii="Times New Roman" w:hAnsi="Times New Roman" w:cs="Times New Roman"/>
          <w:sz w:val="24"/>
          <w:szCs w:val="24"/>
        </w:rPr>
        <w:t xml:space="preserve">s </w:t>
      </w:r>
      <w:r>
        <w:rPr>
          <w:rFonts w:ascii="Times New Roman" w:hAnsi="Times New Roman" w:cs="Times New Roman"/>
          <w:sz w:val="24"/>
          <w:szCs w:val="24"/>
        </w:rPr>
        <w:t>números</w:t>
      </w:r>
      <w:r w:rsidRPr="00D20980">
        <w:rPr>
          <w:rFonts w:ascii="Times New Roman" w:hAnsi="Times New Roman" w:cs="Times New Roman"/>
          <w:sz w:val="24"/>
          <w:szCs w:val="24"/>
        </w:rPr>
        <w:t xml:space="preserve"> devido o êxodo rural, tornou-se</w:t>
      </w:r>
      <w:r>
        <w:rPr>
          <w:rFonts w:ascii="Times New Roman" w:hAnsi="Times New Roman" w:cs="Times New Roman"/>
          <w:sz w:val="24"/>
          <w:szCs w:val="24"/>
        </w:rPr>
        <w:t xml:space="preserve"> comum à apropriação </w:t>
      </w:r>
      <w:r w:rsidRPr="00D20980">
        <w:rPr>
          <w:rFonts w:ascii="Times New Roman" w:hAnsi="Times New Roman" w:cs="Times New Roman"/>
          <w:sz w:val="24"/>
          <w:szCs w:val="24"/>
        </w:rPr>
        <w:t xml:space="preserve">de propriedades em áreas periféricas, vulgarmente conhecidas como favelas. O desenvolvimento apresentado explicitou a importância da criação da Lei n° 10.257/2001, denominada Estatuto da Cidade e o principio </w:t>
      </w:r>
      <w:r>
        <w:rPr>
          <w:rFonts w:ascii="Times New Roman" w:hAnsi="Times New Roman" w:cs="Times New Roman"/>
          <w:sz w:val="24"/>
          <w:szCs w:val="24"/>
        </w:rPr>
        <w:t xml:space="preserve">constitucional </w:t>
      </w:r>
      <w:r w:rsidRPr="00D20980">
        <w:rPr>
          <w:rFonts w:ascii="Times New Roman" w:hAnsi="Times New Roman" w:cs="Times New Roman"/>
          <w:sz w:val="24"/>
          <w:szCs w:val="24"/>
        </w:rPr>
        <w:t>da função social que possibilitaram a usucapião daquelas propriedades que não atendesse os interesses sociais.</w:t>
      </w:r>
      <w:r w:rsidR="00A03A21" w:rsidRPr="00A03A21">
        <w:t xml:space="preserve"> </w:t>
      </w:r>
      <w:r w:rsidR="00A03A21" w:rsidRPr="00A03A21">
        <w:rPr>
          <w:rFonts w:ascii="Times New Roman" w:hAnsi="Times New Roman" w:cs="Times New Roman"/>
          <w:sz w:val="24"/>
          <w:szCs w:val="24"/>
        </w:rPr>
        <w:t>Diante da explanação do surgimento dos direitos coletivos, assim como a situação comum vivenciada no Brasil em relação às grandes quantidad</w:t>
      </w:r>
      <w:r w:rsidR="00DF47EF">
        <w:rPr>
          <w:rFonts w:ascii="Times New Roman" w:hAnsi="Times New Roman" w:cs="Times New Roman"/>
          <w:sz w:val="24"/>
          <w:szCs w:val="24"/>
        </w:rPr>
        <w:t xml:space="preserve">es de terras em poucas mãos, além do </w:t>
      </w:r>
      <w:r w:rsidR="00A03A21" w:rsidRPr="00A03A21">
        <w:rPr>
          <w:rFonts w:ascii="Times New Roman" w:hAnsi="Times New Roman" w:cs="Times New Roman"/>
          <w:sz w:val="24"/>
          <w:szCs w:val="24"/>
        </w:rPr>
        <w:t>estudo levantado a partir do instituto de posse, propriedade e usu</w:t>
      </w:r>
      <w:r w:rsidR="00DF47EF">
        <w:rPr>
          <w:rFonts w:ascii="Times New Roman" w:hAnsi="Times New Roman" w:cs="Times New Roman"/>
          <w:sz w:val="24"/>
          <w:szCs w:val="24"/>
        </w:rPr>
        <w:t>capião especial urbana coletiva e d</w:t>
      </w:r>
      <w:r w:rsidR="0087391B">
        <w:rPr>
          <w:rFonts w:ascii="Times New Roman" w:hAnsi="Times New Roman" w:cs="Times New Roman"/>
          <w:sz w:val="24"/>
          <w:szCs w:val="24"/>
        </w:rPr>
        <w:t xml:space="preserve">e acordo com Rangel (2012) </w:t>
      </w:r>
      <w:r w:rsidR="0087391B" w:rsidRPr="0087391B">
        <w:rPr>
          <w:rFonts w:ascii="Times New Roman" w:hAnsi="Times New Roman" w:cs="Times New Roman"/>
          <w:sz w:val="24"/>
          <w:szCs w:val="24"/>
        </w:rPr>
        <w:t>a usucapião detém a aplaudida capacidade de favorecer os interesses individuais considerados como homogêneos da coletividade, uma vez que atende os anseios do direito à propriedade.</w:t>
      </w:r>
    </w:p>
    <w:p w:rsidR="0087391B" w:rsidRDefault="000278D8" w:rsidP="0087391B">
      <w:pPr>
        <w:spacing w:after="0" w:line="360" w:lineRule="auto"/>
        <w:ind w:firstLine="1134"/>
        <w:jc w:val="both"/>
        <w:rPr>
          <w:rFonts w:ascii="Times New Roman" w:hAnsi="Times New Roman" w:cs="Times New Roman"/>
          <w:sz w:val="24"/>
          <w:szCs w:val="24"/>
        </w:rPr>
      </w:pPr>
      <w:r w:rsidRPr="000278D8">
        <w:rPr>
          <w:rFonts w:ascii="Times New Roman" w:hAnsi="Times New Roman" w:cs="Times New Roman"/>
          <w:sz w:val="24"/>
          <w:szCs w:val="24"/>
        </w:rPr>
        <w:t>Analisados tais aspectos, notório é a relevância da aplicaçã</w:t>
      </w:r>
      <w:r>
        <w:rPr>
          <w:rFonts w:ascii="Times New Roman" w:hAnsi="Times New Roman" w:cs="Times New Roman"/>
          <w:sz w:val="24"/>
          <w:szCs w:val="24"/>
        </w:rPr>
        <w:t>o</w:t>
      </w:r>
      <w:r w:rsidR="00A03A21" w:rsidRPr="00A03A21">
        <w:rPr>
          <w:rFonts w:ascii="Times New Roman" w:hAnsi="Times New Roman" w:cs="Times New Roman"/>
          <w:sz w:val="24"/>
          <w:szCs w:val="24"/>
        </w:rPr>
        <w:t xml:space="preserve"> </w:t>
      </w:r>
      <w:r w:rsidR="00A03A21">
        <w:rPr>
          <w:rFonts w:ascii="Times New Roman" w:hAnsi="Times New Roman" w:cs="Times New Roman"/>
          <w:sz w:val="24"/>
          <w:szCs w:val="24"/>
        </w:rPr>
        <w:t>dos direitos reais</w:t>
      </w:r>
      <w:r w:rsidR="00A03A21" w:rsidRPr="00A03A21">
        <w:rPr>
          <w:rFonts w:ascii="Times New Roman" w:hAnsi="Times New Roman" w:cs="Times New Roman"/>
          <w:sz w:val="24"/>
          <w:szCs w:val="24"/>
        </w:rPr>
        <w:t xml:space="preserve"> para a solução dos problemas apresentados no âmbito das coisas, mais especifica</w:t>
      </w:r>
      <w:r w:rsidR="0087391B">
        <w:rPr>
          <w:rFonts w:ascii="Times New Roman" w:hAnsi="Times New Roman" w:cs="Times New Roman"/>
          <w:sz w:val="24"/>
          <w:szCs w:val="24"/>
        </w:rPr>
        <w:t>mente no campo das propriedades.</w:t>
      </w:r>
    </w:p>
    <w:p w:rsidR="00DF47EF" w:rsidRDefault="00DF47EF" w:rsidP="0087391B">
      <w:pPr>
        <w:spacing w:after="0" w:line="360" w:lineRule="auto"/>
        <w:ind w:firstLine="1134"/>
        <w:jc w:val="both"/>
        <w:rPr>
          <w:rFonts w:ascii="Times New Roman" w:hAnsi="Times New Roman" w:cs="Times New Roman"/>
          <w:sz w:val="24"/>
          <w:szCs w:val="24"/>
        </w:rPr>
      </w:pPr>
    </w:p>
    <w:p w:rsidR="00DF47EF" w:rsidRPr="0087391B" w:rsidRDefault="00DF47EF" w:rsidP="0087391B">
      <w:pPr>
        <w:spacing w:after="0" w:line="360" w:lineRule="auto"/>
        <w:ind w:firstLine="1134"/>
        <w:jc w:val="both"/>
        <w:rPr>
          <w:rFonts w:ascii="Times New Roman" w:hAnsi="Times New Roman" w:cs="Times New Roman"/>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304C44" w:rsidRDefault="00304C44" w:rsidP="00304C44">
      <w:pPr>
        <w:spacing w:after="0" w:line="360" w:lineRule="auto"/>
        <w:ind w:firstLine="1134"/>
        <w:jc w:val="both"/>
        <w:rPr>
          <w:rFonts w:ascii="Times New Roman" w:hAnsi="Times New Roman" w:cs="Times New Roman"/>
          <w:b/>
          <w:sz w:val="24"/>
          <w:szCs w:val="24"/>
        </w:rPr>
      </w:pPr>
    </w:p>
    <w:p w:rsidR="00E820E0" w:rsidRDefault="00E820E0" w:rsidP="00E820E0">
      <w:pPr>
        <w:spacing w:after="0" w:line="360" w:lineRule="auto"/>
        <w:rPr>
          <w:rFonts w:ascii="Times New Roman" w:hAnsi="Times New Roman" w:cs="Times New Roman"/>
          <w:b/>
          <w:sz w:val="24"/>
          <w:szCs w:val="24"/>
        </w:rPr>
      </w:pPr>
    </w:p>
    <w:p w:rsidR="0087391B" w:rsidRDefault="0087391B" w:rsidP="00E820E0">
      <w:pPr>
        <w:spacing w:after="0" w:line="360" w:lineRule="auto"/>
        <w:rPr>
          <w:rFonts w:ascii="Times New Roman" w:hAnsi="Times New Roman" w:cs="Times New Roman"/>
          <w:b/>
          <w:sz w:val="24"/>
          <w:szCs w:val="24"/>
        </w:rPr>
      </w:pPr>
    </w:p>
    <w:p w:rsidR="00DF47EF" w:rsidRDefault="00DF47EF" w:rsidP="00E820E0">
      <w:pPr>
        <w:spacing w:after="0" w:line="360" w:lineRule="auto"/>
        <w:rPr>
          <w:rFonts w:ascii="Times New Roman" w:hAnsi="Times New Roman" w:cs="Times New Roman"/>
          <w:b/>
          <w:sz w:val="24"/>
          <w:szCs w:val="24"/>
        </w:rPr>
      </w:pPr>
    </w:p>
    <w:p w:rsidR="00DF47EF" w:rsidRDefault="00DF47EF" w:rsidP="00E820E0">
      <w:pPr>
        <w:spacing w:after="0" w:line="360" w:lineRule="auto"/>
        <w:rPr>
          <w:rFonts w:ascii="Times New Roman" w:hAnsi="Times New Roman" w:cs="Times New Roman"/>
          <w:b/>
          <w:sz w:val="24"/>
          <w:szCs w:val="24"/>
        </w:rPr>
      </w:pPr>
    </w:p>
    <w:p w:rsidR="00DD1EC3" w:rsidRDefault="00DD1EC3" w:rsidP="00DD1E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DD1EC3" w:rsidRDefault="00DD1EC3" w:rsidP="00DD1EC3">
      <w:pPr>
        <w:spacing w:after="0" w:line="360" w:lineRule="auto"/>
        <w:jc w:val="center"/>
        <w:rPr>
          <w:rFonts w:ascii="Times New Roman" w:hAnsi="Times New Roman" w:cs="Times New Roman"/>
          <w:b/>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sidRPr="002641D7">
        <w:rPr>
          <w:rFonts w:ascii="Times New Roman" w:eastAsia="Calibri" w:hAnsi="Times New Roman" w:cs="Times New Roman"/>
          <w:sz w:val="24"/>
          <w:szCs w:val="24"/>
        </w:rPr>
        <w:t xml:space="preserve">AGOSTINHO, Luane Lemos F. </w:t>
      </w:r>
      <w:r w:rsidRPr="002641D7">
        <w:rPr>
          <w:rFonts w:ascii="Times New Roman" w:eastAsia="Calibri" w:hAnsi="Times New Roman" w:cs="Times New Roman"/>
          <w:b/>
          <w:sz w:val="24"/>
          <w:szCs w:val="24"/>
        </w:rPr>
        <w:t>A posse nas comunidades de quebradeiras de coco babaçu.</w:t>
      </w:r>
      <w:r w:rsidRPr="002641D7">
        <w:rPr>
          <w:rFonts w:ascii="Times New Roman" w:eastAsia="Calibri" w:hAnsi="Times New Roman" w:cs="Times New Roman"/>
          <w:sz w:val="24"/>
          <w:szCs w:val="24"/>
        </w:rPr>
        <w:t xml:space="preserve"> </w:t>
      </w:r>
      <w:proofErr w:type="spellStart"/>
      <w:r w:rsidRPr="002641D7">
        <w:rPr>
          <w:rFonts w:ascii="Times New Roman" w:eastAsia="Calibri" w:hAnsi="Times New Roman" w:cs="Times New Roman"/>
          <w:sz w:val="24"/>
          <w:szCs w:val="24"/>
        </w:rPr>
        <w:t>Hiléia</w:t>
      </w:r>
      <w:proofErr w:type="spellEnd"/>
      <w:r w:rsidRPr="002641D7">
        <w:rPr>
          <w:rFonts w:ascii="Times New Roman" w:eastAsia="Calibri" w:hAnsi="Times New Roman" w:cs="Times New Roman"/>
          <w:sz w:val="24"/>
          <w:szCs w:val="24"/>
        </w:rPr>
        <w:t xml:space="preserve">: Revista de Direito Ambiental da Amazônia, Manaus, ano </w:t>
      </w:r>
      <w:proofErr w:type="gramStart"/>
      <w:r w:rsidRPr="002641D7">
        <w:rPr>
          <w:rFonts w:ascii="Times New Roman" w:eastAsia="Calibri" w:hAnsi="Times New Roman" w:cs="Times New Roman"/>
          <w:sz w:val="24"/>
          <w:szCs w:val="24"/>
        </w:rPr>
        <w:t>4</w:t>
      </w:r>
      <w:proofErr w:type="gramEnd"/>
      <w:r w:rsidRPr="002641D7">
        <w:rPr>
          <w:rFonts w:ascii="Times New Roman" w:eastAsia="Calibri" w:hAnsi="Times New Roman" w:cs="Times New Roman"/>
          <w:sz w:val="24"/>
          <w:szCs w:val="24"/>
        </w:rPr>
        <w:t>, n.7, p. 251-272, jul-dez.2006.</w:t>
      </w:r>
    </w:p>
    <w:p w:rsidR="00E820E0" w:rsidRDefault="00E820E0"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ASSIS, Sebastião</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Neto de; JESUS, Marcelo de; MELO, Maria Izabel de. </w:t>
      </w:r>
      <w:r w:rsidRPr="007120E1">
        <w:rPr>
          <w:rFonts w:ascii="Times New Roman" w:eastAsia="Calibri" w:hAnsi="Times New Roman" w:cs="Times New Roman"/>
          <w:b/>
          <w:sz w:val="24"/>
          <w:szCs w:val="24"/>
        </w:rPr>
        <w:t>Manual de Direito Civil. Volume único</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 xml:space="preserve"> ed.  Salvador: Editora </w:t>
      </w:r>
      <w:proofErr w:type="spellStart"/>
      <w:r>
        <w:rPr>
          <w:rFonts w:ascii="Times New Roman" w:eastAsia="Calibri" w:hAnsi="Times New Roman" w:cs="Times New Roman"/>
          <w:sz w:val="24"/>
          <w:szCs w:val="24"/>
        </w:rPr>
        <w:t>JusPodivm</w:t>
      </w:r>
      <w:proofErr w:type="spellEnd"/>
      <w:r>
        <w:rPr>
          <w:rFonts w:ascii="Times New Roman" w:eastAsia="Calibri" w:hAnsi="Times New Roman" w:cs="Times New Roman"/>
          <w:sz w:val="24"/>
          <w:szCs w:val="24"/>
        </w:rPr>
        <w:t xml:space="preserve">, 2014. </w:t>
      </w:r>
    </w:p>
    <w:p w:rsidR="00DD1EC3" w:rsidRDefault="00DD1EC3"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sidRPr="00561011">
        <w:rPr>
          <w:rFonts w:ascii="Times New Roman" w:eastAsia="Calibri" w:hAnsi="Times New Roman" w:cs="Times New Roman"/>
          <w:sz w:val="24"/>
          <w:szCs w:val="24"/>
        </w:rPr>
        <w:t xml:space="preserve">BONAVIDES, Paulo. </w:t>
      </w:r>
      <w:r w:rsidRPr="00561011">
        <w:rPr>
          <w:rFonts w:ascii="Times New Roman" w:eastAsia="Calibri" w:hAnsi="Times New Roman" w:cs="Times New Roman"/>
          <w:b/>
          <w:sz w:val="24"/>
          <w:szCs w:val="24"/>
        </w:rPr>
        <w:t>Curso de Direito Constitucional</w:t>
      </w:r>
      <w:r w:rsidRPr="00561011">
        <w:rPr>
          <w:rFonts w:ascii="Times New Roman" w:eastAsia="Calibri" w:hAnsi="Times New Roman" w:cs="Times New Roman"/>
          <w:sz w:val="24"/>
          <w:szCs w:val="24"/>
        </w:rPr>
        <w:t xml:space="preserve">. 19ª Edição, São </w:t>
      </w:r>
      <w:proofErr w:type="gramStart"/>
      <w:r w:rsidRPr="00561011">
        <w:rPr>
          <w:rFonts w:ascii="Times New Roman" w:eastAsia="Calibri" w:hAnsi="Times New Roman" w:cs="Times New Roman"/>
          <w:sz w:val="24"/>
          <w:szCs w:val="24"/>
        </w:rPr>
        <w:t>Paulo :</w:t>
      </w:r>
      <w:proofErr w:type="gramEnd"/>
      <w:r w:rsidRPr="00561011">
        <w:rPr>
          <w:rFonts w:ascii="Times New Roman" w:eastAsia="Calibri" w:hAnsi="Times New Roman" w:cs="Times New Roman"/>
          <w:sz w:val="24"/>
          <w:szCs w:val="24"/>
        </w:rPr>
        <w:t xml:space="preserve"> Editora Malheiros, 2006</w:t>
      </w:r>
      <w:r>
        <w:rPr>
          <w:rFonts w:ascii="Times New Roman" w:eastAsia="Calibri" w:hAnsi="Times New Roman" w:cs="Times New Roman"/>
          <w:sz w:val="24"/>
          <w:szCs w:val="24"/>
        </w:rPr>
        <w:t>.</w:t>
      </w:r>
    </w:p>
    <w:p w:rsidR="00DD1EC3" w:rsidRDefault="00DD1EC3"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sidRPr="008551C7">
        <w:rPr>
          <w:rFonts w:ascii="Times New Roman" w:eastAsia="Calibri" w:hAnsi="Times New Roman" w:cs="Times New Roman"/>
          <w:sz w:val="24"/>
          <w:szCs w:val="24"/>
        </w:rPr>
        <w:t>B</w:t>
      </w:r>
      <w:r>
        <w:rPr>
          <w:rFonts w:ascii="Times New Roman" w:eastAsia="Calibri" w:hAnsi="Times New Roman" w:cs="Times New Roman"/>
          <w:sz w:val="24"/>
          <w:szCs w:val="24"/>
        </w:rPr>
        <w:t>RASIL</w:t>
      </w:r>
      <w:r w:rsidRPr="008551C7">
        <w:rPr>
          <w:rFonts w:ascii="Times New Roman" w:eastAsia="Calibri" w:hAnsi="Times New Roman" w:cs="Times New Roman"/>
          <w:sz w:val="24"/>
          <w:szCs w:val="24"/>
        </w:rPr>
        <w:t xml:space="preserve">. </w:t>
      </w:r>
      <w:r w:rsidRPr="008551C7">
        <w:rPr>
          <w:rFonts w:ascii="Times New Roman" w:eastAsia="Calibri" w:hAnsi="Times New Roman" w:cs="Times New Roman"/>
          <w:b/>
          <w:sz w:val="24"/>
          <w:szCs w:val="24"/>
        </w:rPr>
        <w:t>Código civil, 2002</w:t>
      </w:r>
      <w:r w:rsidRPr="008551C7">
        <w:rPr>
          <w:rFonts w:ascii="Times New Roman" w:eastAsia="Calibri" w:hAnsi="Times New Roman" w:cs="Times New Roman"/>
          <w:sz w:val="24"/>
          <w:szCs w:val="24"/>
        </w:rPr>
        <w:t xml:space="preserve">. Código civil. </w:t>
      </w:r>
      <w:proofErr w:type="gramStart"/>
      <w:r w:rsidRPr="008551C7">
        <w:rPr>
          <w:rFonts w:ascii="Times New Roman" w:eastAsia="Calibri" w:hAnsi="Times New Roman" w:cs="Times New Roman"/>
          <w:sz w:val="24"/>
          <w:szCs w:val="24"/>
        </w:rPr>
        <w:t>53.</w:t>
      </w:r>
      <w:proofErr w:type="gramEnd"/>
      <w:r w:rsidRPr="008551C7">
        <w:rPr>
          <w:rFonts w:ascii="Times New Roman" w:eastAsia="Calibri" w:hAnsi="Times New Roman" w:cs="Times New Roman"/>
          <w:sz w:val="24"/>
          <w:szCs w:val="24"/>
        </w:rPr>
        <w:t>ed. São Paulo: Saraiva; 2002</w:t>
      </w:r>
    </w:p>
    <w:p w:rsidR="00DD1EC3" w:rsidRDefault="00DD1EC3"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BRASIL. </w:t>
      </w:r>
      <w:r w:rsidRPr="00485E6B">
        <w:rPr>
          <w:rFonts w:ascii="Times New Roman" w:eastAsia="Calibri" w:hAnsi="Times New Roman" w:cs="Times New Roman"/>
          <w:b/>
          <w:sz w:val="24"/>
          <w:szCs w:val="24"/>
        </w:rPr>
        <w:t xml:space="preserve">CÓDIGO DE DEFESA DO CONSUMIDOR. </w:t>
      </w:r>
      <w:r w:rsidRPr="00485E6B">
        <w:rPr>
          <w:rFonts w:ascii="Times New Roman" w:eastAsia="Calibri" w:hAnsi="Times New Roman" w:cs="Times New Roman"/>
          <w:sz w:val="24"/>
          <w:szCs w:val="24"/>
        </w:rPr>
        <w:t>Lei 8.078 de 11/09/90.</w:t>
      </w:r>
      <w:r>
        <w:rPr>
          <w:rFonts w:ascii="Times New Roman" w:eastAsia="Calibri" w:hAnsi="Times New Roman" w:cs="Times New Roman"/>
          <w:sz w:val="24"/>
          <w:szCs w:val="24"/>
        </w:rPr>
        <w:t xml:space="preserve"> Brasília, Diário Oficial da </w:t>
      </w:r>
      <w:r w:rsidRPr="00485E6B">
        <w:rPr>
          <w:rFonts w:ascii="Times New Roman" w:eastAsia="Calibri" w:hAnsi="Times New Roman" w:cs="Times New Roman"/>
          <w:sz w:val="24"/>
          <w:szCs w:val="24"/>
        </w:rPr>
        <w:t>União, 1990.</w:t>
      </w:r>
    </w:p>
    <w:p w:rsidR="00501919" w:rsidRDefault="00501919"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BRASIL</w:t>
      </w:r>
      <w:r w:rsidRPr="008551C7">
        <w:rPr>
          <w:rFonts w:ascii="Times New Roman" w:eastAsia="Calibri" w:hAnsi="Times New Roman" w:cs="Times New Roman"/>
          <w:sz w:val="24"/>
          <w:szCs w:val="24"/>
        </w:rPr>
        <w:t xml:space="preserve">. Constituição, 1988. </w:t>
      </w:r>
      <w:r w:rsidRPr="008551C7">
        <w:rPr>
          <w:rFonts w:ascii="Times New Roman" w:eastAsia="Calibri" w:hAnsi="Times New Roman" w:cs="Times New Roman"/>
          <w:b/>
          <w:sz w:val="24"/>
          <w:szCs w:val="24"/>
        </w:rPr>
        <w:t>Constituição da República Federativa do Brasil</w:t>
      </w:r>
      <w:r>
        <w:rPr>
          <w:rFonts w:ascii="Times New Roman" w:eastAsia="Calibri" w:hAnsi="Times New Roman" w:cs="Times New Roman"/>
          <w:sz w:val="24"/>
          <w:szCs w:val="24"/>
        </w:rPr>
        <w:t xml:space="preserve">. Brasília: </w:t>
      </w:r>
      <w:r w:rsidRPr="008551C7">
        <w:rPr>
          <w:rFonts w:ascii="Times New Roman" w:eastAsia="Calibri" w:hAnsi="Times New Roman" w:cs="Times New Roman"/>
          <w:sz w:val="24"/>
          <w:szCs w:val="24"/>
        </w:rPr>
        <w:t xml:space="preserve">Senado Federal; </w:t>
      </w:r>
      <w:proofErr w:type="gramStart"/>
      <w:r w:rsidRPr="008551C7">
        <w:rPr>
          <w:rFonts w:ascii="Times New Roman" w:eastAsia="Calibri" w:hAnsi="Times New Roman" w:cs="Times New Roman"/>
          <w:sz w:val="24"/>
          <w:szCs w:val="24"/>
        </w:rPr>
        <w:t>1988</w:t>
      </w:r>
      <w:proofErr w:type="gramEnd"/>
    </w:p>
    <w:p w:rsidR="00833164" w:rsidRDefault="00833164" w:rsidP="007858E9">
      <w:pPr>
        <w:spacing w:after="0" w:line="240" w:lineRule="auto"/>
        <w:jc w:val="both"/>
        <w:rPr>
          <w:rFonts w:ascii="Times New Roman" w:eastAsia="Calibri" w:hAnsi="Times New Roman" w:cs="Times New Roman"/>
          <w:sz w:val="24"/>
          <w:szCs w:val="24"/>
        </w:rPr>
      </w:pPr>
    </w:p>
    <w:p w:rsidR="003051E5" w:rsidRDefault="00DD1EC3" w:rsidP="003051E5">
      <w:pPr>
        <w:spacing w:after="0" w:line="240" w:lineRule="auto"/>
        <w:jc w:val="both"/>
        <w:rPr>
          <w:rFonts w:ascii="Times New Roman" w:eastAsia="Calibri" w:hAnsi="Times New Roman" w:cs="Times New Roman"/>
          <w:sz w:val="24"/>
          <w:szCs w:val="24"/>
        </w:rPr>
      </w:pPr>
      <w:r w:rsidRPr="00485E6B">
        <w:rPr>
          <w:rFonts w:ascii="Times New Roman" w:eastAsia="Calibri" w:hAnsi="Times New Roman" w:cs="Times New Roman"/>
          <w:sz w:val="24"/>
          <w:szCs w:val="24"/>
        </w:rPr>
        <w:t xml:space="preserve">BRASIL. </w:t>
      </w:r>
      <w:r w:rsidRPr="00485E6B">
        <w:rPr>
          <w:rFonts w:ascii="Times New Roman" w:eastAsia="Calibri" w:hAnsi="Times New Roman" w:cs="Times New Roman"/>
          <w:b/>
          <w:sz w:val="24"/>
          <w:szCs w:val="24"/>
        </w:rPr>
        <w:t>Estatuto da Cidade</w:t>
      </w:r>
      <w:r w:rsidRPr="00485E6B">
        <w:rPr>
          <w:rFonts w:ascii="Times New Roman" w:eastAsia="Calibri" w:hAnsi="Times New Roman" w:cs="Times New Roman"/>
          <w:sz w:val="24"/>
          <w:szCs w:val="24"/>
        </w:rPr>
        <w:t>: Lei 10.257/2001 que estabelece diretrizes gerais da</w:t>
      </w:r>
      <w:r>
        <w:rPr>
          <w:rFonts w:ascii="Times New Roman" w:eastAsia="Calibri" w:hAnsi="Times New Roman" w:cs="Times New Roman"/>
          <w:sz w:val="24"/>
          <w:szCs w:val="24"/>
        </w:rPr>
        <w:t xml:space="preserve"> </w:t>
      </w:r>
      <w:r w:rsidRPr="00485E6B">
        <w:rPr>
          <w:rFonts w:ascii="Times New Roman" w:eastAsia="Calibri" w:hAnsi="Times New Roman" w:cs="Times New Roman"/>
          <w:sz w:val="24"/>
          <w:szCs w:val="24"/>
        </w:rPr>
        <w:t xml:space="preserve">política urbana. Brasília, Câmara </w:t>
      </w:r>
      <w:r>
        <w:rPr>
          <w:rFonts w:ascii="Times New Roman" w:eastAsia="Calibri" w:hAnsi="Times New Roman" w:cs="Times New Roman"/>
          <w:sz w:val="24"/>
          <w:szCs w:val="24"/>
        </w:rPr>
        <w:t xml:space="preserve">dos Deputados, 2001, 1 </w:t>
      </w:r>
      <w:r w:rsidRPr="00485E6B">
        <w:rPr>
          <w:rFonts w:ascii="Times New Roman" w:eastAsia="Calibri" w:hAnsi="Times New Roman" w:cs="Times New Roman"/>
          <w:sz w:val="24"/>
          <w:szCs w:val="24"/>
        </w:rPr>
        <w:t>Edição.</w:t>
      </w:r>
    </w:p>
    <w:p w:rsidR="005E4FD3" w:rsidRDefault="005E4FD3" w:rsidP="007858E9">
      <w:pPr>
        <w:spacing w:after="0" w:line="240" w:lineRule="auto"/>
        <w:jc w:val="both"/>
        <w:rPr>
          <w:rFonts w:ascii="Times New Roman" w:hAnsi="Times New Roman" w:cs="Times New Roman"/>
          <w:sz w:val="24"/>
          <w:szCs w:val="24"/>
        </w:rPr>
      </w:pPr>
    </w:p>
    <w:p w:rsidR="00DD1EC3" w:rsidRDefault="00DD1EC3" w:rsidP="00785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 Celso Santos; ROSSBACH, </w:t>
      </w:r>
      <w:proofErr w:type="spellStart"/>
      <w:r>
        <w:rPr>
          <w:rFonts w:ascii="Times New Roman" w:hAnsi="Times New Roman" w:cs="Times New Roman"/>
          <w:sz w:val="24"/>
          <w:szCs w:val="24"/>
        </w:rPr>
        <w:t>Anaclaudia</w:t>
      </w:r>
      <w:proofErr w:type="spellEnd"/>
      <w:r>
        <w:rPr>
          <w:rFonts w:ascii="Times New Roman" w:hAnsi="Times New Roman" w:cs="Times New Roman"/>
          <w:sz w:val="24"/>
          <w:szCs w:val="24"/>
        </w:rPr>
        <w:t xml:space="preserve">. </w:t>
      </w:r>
      <w:r w:rsidRPr="00404715">
        <w:rPr>
          <w:rFonts w:ascii="Times New Roman" w:hAnsi="Times New Roman" w:cs="Times New Roman"/>
          <w:b/>
          <w:sz w:val="24"/>
          <w:szCs w:val="24"/>
        </w:rPr>
        <w:t>O Estatuto da Cidade</w:t>
      </w:r>
      <w:r>
        <w:rPr>
          <w:rFonts w:ascii="Times New Roman" w:hAnsi="Times New Roman" w:cs="Times New Roman"/>
          <w:b/>
          <w:sz w:val="24"/>
          <w:szCs w:val="24"/>
        </w:rPr>
        <w:t xml:space="preserve"> </w:t>
      </w:r>
      <w:r w:rsidRPr="00404715">
        <w:rPr>
          <w:rFonts w:ascii="Times New Roman" w:hAnsi="Times New Roman" w:cs="Times New Roman"/>
          <w:b/>
          <w:sz w:val="24"/>
          <w:szCs w:val="24"/>
        </w:rPr>
        <w:t>Comentado</w:t>
      </w:r>
      <w:r w:rsidRPr="00404715">
        <w:rPr>
          <w:rFonts w:ascii="Times New Roman" w:hAnsi="Times New Roman" w:cs="Times New Roman"/>
          <w:sz w:val="24"/>
          <w:szCs w:val="24"/>
        </w:rPr>
        <w:t xml:space="preserve">: The City </w:t>
      </w:r>
      <w:proofErr w:type="spellStart"/>
      <w:r w:rsidRPr="00404715">
        <w:rPr>
          <w:rFonts w:ascii="Times New Roman" w:hAnsi="Times New Roman" w:cs="Times New Roman"/>
          <w:sz w:val="24"/>
          <w:szCs w:val="24"/>
        </w:rPr>
        <w:t>Statute</w:t>
      </w:r>
      <w:proofErr w:type="spellEnd"/>
      <w:r w:rsidRPr="00404715">
        <w:rPr>
          <w:rFonts w:ascii="Times New Roman" w:hAnsi="Times New Roman" w:cs="Times New Roman"/>
          <w:sz w:val="24"/>
          <w:szCs w:val="24"/>
        </w:rPr>
        <w:t xml:space="preserve"> </w:t>
      </w:r>
      <w:proofErr w:type="spellStart"/>
      <w:r w:rsidRPr="00404715">
        <w:rPr>
          <w:rFonts w:ascii="Times New Roman" w:hAnsi="Times New Roman" w:cs="Times New Roman"/>
          <w:sz w:val="24"/>
          <w:szCs w:val="24"/>
        </w:rPr>
        <w:t>of</w:t>
      </w:r>
      <w:proofErr w:type="spellEnd"/>
      <w:r w:rsidRPr="00404715">
        <w:rPr>
          <w:rFonts w:ascii="Times New Roman" w:hAnsi="Times New Roman" w:cs="Times New Roman"/>
          <w:sz w:val="24"/>
          <w:szCs w:val="24"/>
        </w:rPr>
        <w:t xml:space="preserve"> </w:t>
      </w:r>
      <w:proofErr w:type="spellStart"/>
      <w:r w:rsidRPr="00404715">
        <w:rPr>
          <w:rFonts w:ascii="Times New Roman" w:hAnsi="Times New Roman" w:cs="Times New Roman"/>
          <w:sz w:val="24"/>
          <w:szCs w:val="24"/>
        </w:rPr>
        <w:t>Brazil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commentary</w:t>
      </w:r>
      <w:proofErr w:type="spellEnd"/>
      <w:r>
        <w:rPr>
          <w:rFonts w:ascii="Times New Roman" w:hAnsi="Times New Roman" w:cs="Times New Roman"/>
          <w:sz w:val="24"/>
          <w:szCs w:val="24"/>
        </w:rPr>
        <w:t xml:space="preserve">. São Paulo: Ministério das Cidades: </w:t>
      </w:r>
      <w:r w:rsidRPr="00404715">
        <w:rPr>
          <w:rFonts w:ascii="Times New Roman" w:hAnsi="Times New Roman" w:cs="Times New Roman"/>
          <w:sz w:val="24"/>
          <w:szCs w:val="24"/>
        </w:rPr>
        <w:t>Aliança das Cidades, 2010.</w:t>
      </w:r>
    </w:p>
    <w:p w:rsidR="005E4FD3" w:rsidRDefault="005E4FD3" w:rsidP="007858E9">
      <w:pPr>
        <w:spacing w:after="0" w:line="240" w:lineRule="auto"/>
        <w:jc w:val="both"/>
        <w:rPr>
          <w:rFonts w:ascii="Times New Roman" w:hAnsi="Times New Roman" w:cs="Times New Roman"/>
          <w:sz w:val="24"/>
          <w:szCs w:val="24"/>
        </w:rPr>
      </w:pPr>
    </w:p>
    <w:p w:rsidR="00DD1EC3" w:rsidRDefault="00DD1EC3" w:rsidP="00785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GONÇALVES, Carlos Roberto. </w:t>
      </w:r>
      <w:r w:rsidRPr="00447B21">
        <w:rPr>
          <w:rFonts w:ascii="Times New Roman" w:hAnsi="Times New Roman" w:cs="Times New Roman"/>
          <w:b/>
          <w:sz w:val="24"/>
          <w:szCs w:val="24"/>
        </w:rPr>
        <w:t xml:space="preserve">Direito Civil Brasileiro: </w:t>
      </w:r>
      <w:r>
        <w:rPr>
          <w:rFonts w:ascii="Times New Roman" w:hAnsi="Times New Roman" w:cs="Times New Roman"/>
          <w:sz w:val="24"/>
          <w:szCs w:val="24"/>
        </w:rPr>
        <w:t xml:space="preserve">direito das coisas. 10.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Saraiva, 2015. </w:t>
      </w:r>
    </w:p>
    <w:p w:rsidR="00DD1EC3" w:rsidRDefault="00DD1EC3" w:rsidP="007858E9">
      <w:pPr>
        <w:spacing w:after="0" w:line="240" w:lineRule="auto"/>
        <w:jc w:val="both"/>
        <w:rPr>
          <w:rFonts w:ascii="Times New Roman" w:hAnsi="Times New Roman" w:cs="Times New Roman"/>
          <w:sz w:val="24"/>
          <w:szCs w:val="24"/>
        </w:rPr>
      </w:pPr>
    </w:p>
    <w:p w:rsidR="00DD1EC3" w:rsidRDefault="00DD1EC3" w:rsidP="007858E9">
      <w:pPr>
        <w:spacing w:after="0" w:line="240" w:lineRule="auto"/>
        <w:jc w:val="both"/>
        <w:rPr>
          <w:rFonts w:ascii="Times New Roman" w:hAnsi="Times New Roman" w:cs="Times New Roman"/>
          <w:sz w:val="24"/>
          <w:szCs w:val="24"/>
        </w:rPr>
      </w:pPr>
      <w:r w:rsidRPr="00106881">
        <w:rPr>
          <w:rFonts w:ascii="Times New Roman" w:hAnsi="Times New Roman" w:cs="Times New Roman"/>
          <w:sz w:val="24"/>
          <w:szCs w:val="24"/>
        </w:rPr>
        <w:t xml:space="preserve">LEITE, Gisele. </w:t>
      </w:r>
      <w:r w:rsidRPr="00106881">
        <w:rPr>
          <w:rFonts w:ascii="Times New Roman" w:hAnsi="Times New Roman" w:cs="Times New Roman"/>
          <w:b/>
          <w:sz w:val="24"/>
          <w:szCs w:val="24"/>
        </w:rPr>
        <w:t>Propriedade em geral em poucas palavras</w:t>
      </w:r>
      <w:r w:rsidRPr="00106881">
        <w:rPr>
          <w:rFonts w:ascii="Times New Roman" w:hAnsi="Times New Roman" w:cs="Times New Roman"/>
          <w:sz w:val="24"/>
          <w:szCs w:val="24"/>
        </w:rPr>
        <w:t xml:space="preserve">. In: Âmbito Jurídico, Rio Grande, XI, n. 50, </w:t>
      </w:r>
      <w:proofErr w:type="spellStart"/>
      <w:r w:rsidRPr="00106881">
        <w:rPr>
          <w:rFonts w:ascii="Times New Roman" w:hAnsi="Times New Roman" w:cs="Times New Roman"/>
          <w:sz w:val="24"/>
          <w:szCs w:val="24"/>
        </w:rPr>
        <w:t>fev</w:t>
      </w:r>
      <w:proofErr w:type="spellEnd"/>
      <w:r w:rsidRPr="00106881">
        <w:rPr>
          <w:rFonts w:ascii="Times New Roman" w:hAnsi="Times New Roman" w:cs="Times New Roman"/>
          <w:sz w:val="24"/>
          <w:szCs w:val="24"/>
        </w:rPr>
        <w:t xml:space="preserve"> 2008. Disponível em: &lt;http://www.ambito-juridico.com.br/site/?</w:t>
      </w:r>
      <w:proofErr w:type="gramStart"/>
      <w:r w:rsidRPr="00106881">
        <w:rPr>
          <w:rFonts w:ascii="Times New Roman" w:hAnsi="Times New Roman" w:cs="Times New Roman"/>
          <w:sz w:val="24"/>
          <w:szCs w:val="24"/>
        </w:rPr>
        <w:t>n_link</w:t>
      </w:r>
      <w:proofErr w:type="gramEnd"/>
      <w:r w:rsidRPr="00106881">
        <w:rPr>
          <w:rFonts w:ascii="Times New Roman" w:hAnsi="Times New Roman" w:cs="Times New Roman"/>
          <w:sz w:val="24"/>
          <w:szCs w:val="24"/>
        </w:rPr>
        <w:t>=revista_artigos_leitura&amp;artigo_id=4556&amp;revista_caderno=7&gt;. Acesso em set 2015.</w:t>
      </w:r>
    </w:p>
    <w:p w:rsidR="0087391B" w:rsidRDefault="0087391B" w:rsidP="007858E9">
      <w:pPr>
        <w:spacing w:after="0" w:line="240" w:lineRule="auto"/>
        <w:jc w:val="both"/>
        <w:rPr>
          <w:rFonts w:ascii="Times New Roman" w:hAnsi="Times New Roman" w:cs="Times New Roman"/>
          <w:sz w:val="24"/>
          <w:szCs w:val="24"/>
        </w:rPr>
      </w:pPr>
    </w:p>
    <w:p w:rsidR="0087391B" w:rsidRDefault="0087391B" w:rsidP="00785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OLIMPIO, </w:t>
      </w:r>
      <w:r w:rsidRPr="0087391B">
        <w:rPr>
          <w:rFonts w:ascii="Times New Roman" w:hAnsi="Times New Roman" w:cs="Times New Roman"/>
          <w:sz w:val="24"/>
          <w:szCs w:val="24"/>
        </w:rPr>
        <w:t xml:space="preserve">Daniel Lobo. </w:t>
      </w:r>
      <w:proofErr w:type="gramStart"/>
      <w:r w:rsidRPr="0087391B">
        <w:rPr>
          <w:rFonts w:ascii="Times New Roman" w:hAnsi="Times New Roman" w:cs="Times New Roman"/>
          <w:b/>
          <w:sz w:val="24"/>
          <w:szCs w:val="24"/>
        </w:rPr>
        <w:t>Usucapião Coletivo</w:t>
      </w:r>
      <w:proofErr w:type="gramEnd"/>
      <w:r w:rsidRPr="0087391B">
        <w:rPr>
          <w:rFonts w:ascii="Times New Roman" w:hAnsi="Times New Roman" w:cs="Times New Roman"/>
          <w:sz w:val="24"/>
          <w:szCs w:val="24"/>
        </w:rPr>
        <w:t>. Disponível em: &lt;http://www.mp.rn.gov.br/download/a</w:t>
      </w:r>
      <w:r>
        <w:rPr>
          <w:rFonts w:ascii="Times New Roman" w:hAnsi="Times New Roman" w:cs="Times New Roman"/>
          <w:sz w:val="24"/>
          <w:szCs w:val="24"/>
        </w:rPr>
        <w:t>rtigos/artigo08.pdf&gt;. Acesso em out. 2015.</w:t>
      </w:r>
    </w:p>
    <w:p w:rsidR="0087391B" w:rsidRDefault="0087391B" w:rsidP="007858E9">
      <w:pPr>
        <w:spacing w:after="0" w:line="240" w:lineRule="auto"/>
        <w:jc w:val="both"/>
        <w:rPr>
          <w:rFonts w:ascii="Times New Roman" w:hAnsi="Times New Roman" w:cs="Times New Roman"/>
          <w:sz w:val="24"/>
          <w:szCs w:val="24"/>
        </w:rPr>
      </w:pPr>
    </w:p>
    <w:p w:rsidR="0087391B" w:rsidRDefault="0087391B" w:rsidP="0087391B">
      <w:pPr>
        <w:spacing w:after="0" w:line="240" w:lineRule="auto"/>
        <w:jc w:val="both"/>
        <w:rPr>
          <w:rFonts w:ascii="Times New Roman" w:hAnsi="Times New Roman" w:cs="Times New Roman"/>
          <w:sz w:val="24"/>
          <w:szCs w:val="24"/>
        </w:rPr>
      </w:pPr>
      <w:r w:rsidRPr="0087391B">
        <w:rPr>
          <w:rFonts w:ascii="Times New Roman" w:hAnsi="Times New Roman" w:cs="Times New Roman"/>
          <w:sz w:val="24"/>
          <w:szCs w:val="24"/>
        </w:rPr>
        <w:t xml:space="preserve">ANGEL, </w:t>
      </w:r>
      <w:proofErr w:type="spellStart"/>
      <w:r w:rsidRPr="0087391B">
        <w:rPr>
          <w:rFonts w:ascii="Times New Roman" w:hAnsi="Times New Roman" w:cs="Times New Roman"/>
          <w:sz w:val="24"/>
          <w:szCs w:val="24"/>
        </w:rPr>
        <w:t>Tauã</w:t>
      </w:r>
      <w:proofErr w:type="spellEnd"/>
      <w:r w:rsidRPr="0087391B">
        <w:rPr>
          <w:rFonts w:ascii="Times New Roman" w:hAnsi="Times New Roman" w:cs="Times New Roman"/>
          <w:sz w:val="24"/>
          <w:szCs w:val="24"/>
        </w:rPr>
        <w:t xml:space="preserve"> Lima </w:t>
      </w:r>
      <w:proofErr w:type="spellStart"/>
      <w:r w:rsidRPr="0087391B">
        <w:rPr>
          <w:rFonts w:ascii="Times New Roman" w:hAnsi="Times New Roman" w:cs="Times New Roman"/>
          <w:sz w:val="24"/>
          <w:szCs w:val="24"/>
        </w:rPr>
        <w:t>Verdan</w:t>
      </w:r>
      <w:proofErr w:type="spellEnd"/>
      <w:r w:rsidRPr="0087391B">
        <w:rPr>
          <w:rFonts w:ascii="Times New Roman" w:hAnsi="Times New Roman" w:cs="Times New Roman"/>
          <w:sz w:val="24"/>
          <w:szCs w:val="24"/>
        </w:rPr>
        <w:t xml:space="preserve">. </w:t>
      </w:r>
      <w:r w:rsidRPr="0087391B">
        <w:rPr>
          <w:rFonts w:ascii="Times New Roman" w:hAnsi="Times New Roman" w:cs="Times New Roman"/>
          <w:b/>
          <w:sz w:val="24"/>
          <w:szCs w:val="24"/>
        </w:rPr>
        <w:t>O instituto da usucapião: breves apontamentos</w:t>
      </w:r>
      <w:r w:rsidRPr="0087391B">
        <w:rPr>
          <w:rFonts w:ascii="Times New Roman" w:hAnsi="Times New Roman" w:cs="Times New Roman"/>
          <w:sz w:val="24"/>
          <w:szCs w:val="24"/>
        </w:rPr>
        <w:t>. In: Âmbito Jurídico, Rio Grande, XV, n.</w:t>
      </w:r>
      <w:r>
        <w:rPr>
          <w:rFonts w:ascii="Times New Roman" w:hAnsi="Times New Roman" w:cs="Times New Roman"/>
          <w:sz w:val="24"/>
          <w:szCs w:val="24"/>
        </w:rPr>
        <w:t xml:space="preserve"> 99, </w:t>
      </w:r>
      <w:proofErr w:type="spellStart"/>
      <w:r>
        <w:rPr>
          <w:rFonts w:ascii="Times New Roman" w:hAnsi="Times New Roman" w:cs="Times New Roman"/>
          <w:sz w:val="24"/>
          <w:szCs w:val="24"/>
        </w:rPr>
        <w:t>abr</w:t>
      </w:r>
      <w:proofErr w:type="spellEnd"/>
      <w:r>
        <w:rPr>
          <w:rFonts w:ascii="Times New Roman" w:hAnsi="Times New Roman" w:cs="Times New Roman"/>
          <w:sz w:val="24"/>
          <w:szCs w:val="24"/>
        </w:rPr>
        <w:t xml:space="preserve"> 2012. Disponível em: &lt;</w:t>
      </w:r>
      <w:r w:rsidRPr="0087391B">
        <w:rPr>
          <w:rFonts w:ascii="Times New Roman" w:hAnsi="Times New Roman" w:cs="Times New Roman"/>
          <w:sz w:val="24"/>
          <w:szCs w:val="24"/>
        </w:rPr>
        <w:t>http://www.ambito-juridico.com.br/site/?</w:t>
      </w:r>
      <w:proofErr w:type="gramStart"/>
      <w:r w:rsidRPr="0087391B">
        <w:rPr>
          <w:rFonts w:ascii="Times New Roman" w:hAnsi="Times New Roman" w:cs="Times New Roman"/>
          <w:sz w:val="24"/>
          <w:szCs w:val="24"/>
        </w:rPr>
        <w:t>n_link</w:t>
      </w:r>
      <w:proofErr w:type="gramEnd"/>
      <w:r w:rsidRPr="0087391B">
        <w:rPr>
          <w:rFonts w:ascii="Times New Roman" w:hAnsi="Times New Roman" w:cs="Times New Roman"/>
          <w:sz w:val="24"/>
          <w:szCs w:val="24"/>
        </w:rPr>
        <w:t>=revista_</w:t>
      </w:r>
      <w:r>
        <w:rPr>
          <w:rFonts w:ascii="Times New Roman" w:hAnsi="Times New Roman" w:cs="Times New Roman"/>
          <w:sz w:val="24"/>
          <w:szCs w:val="24"/>
        </w:rPr>
        <w:t>artigos_leitura&amp;artigo_id=11308</w:t>
      </w:r>
      <w:r w:rsidRPr="0087391B">
        <w:rPr>
          <w:rFonts w:ascii="Times New Roman" w:hAnsi="Times New Roman" w:cs="Times New Roman"/>
          <w:sz w:val="24"/>
          <w:szCs w:val="24"/>
        </w:rPr>
        <w:t>&gt;. Acesso em out 2015.</w:t>
      </w:r>
    </w:p>
    <w:p w:rsidR="00DD1EC3" w:rsidRDefault="00DD1EC3" w:rsidP="007858E9">
      <w:pPr>
        <w:spacing w:after="0" w:line="240" w:lineRule="auto"/>
        <w:jc w:val="both"/>
        <w:rPr>
          <w:rFonts w:ascii="Times New Roman" w:eastAsia="Calibri" w:hAnsi="Times New Roman" w:cs="Times New Roman"/>
          <w:sz w:val="24"/>
          <w:szCs w:val="24"/>
        </w:rPr>
      </w:pPr>
    </w:p>
    <w:p w:rsidR="00DD1EC3" w:rsidRDefault="00DD1EC3" w:rsidP="00785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RODRIGUES, Arlete Moysés. </w:t>
      </w:r>
      <w:r w:rsidRPr="001C3E86">
        <w:rPr>
          <w:rFonts w:ascii="Times New Roman" w:hAnsi="Times New Roman" w:cs="Times New Roman"/>
          <w:b/>
          <w:sz w:val="24"/>
          <w:szCs w:val="24"/>
        </w:rPr>
        <w:t>Na Procura do Lugar o Encontro da Identidade:</w:t>
      </w:r>
      <w:r>
        <w:rPr>
          <w:rFonts w:ascii="Times New Roman" w:hAnsi="Times New Roman" w:cs="Times New Roman"/>
          <w:sz w:val="24"/>
          <w:szCs w:val="24"/>
        </w:rPr>
        <w:t xml:space="preserve"> um estudo de processo de ocupação de terras. Osasco: FFCLH, 2009, 314.</w:t>
      </w:r>
    </w:p>
    <w:p w:rsidR="00DD1EC3" w:rsidRDefault="00DD1EC3" w:rsidP="007858E9">
      <w:pPr>
        <w:spacing w:after="0" w:line="240" w:lineRule="auto"/>
        <w:jc w:val="both"/>
        <w:rPr>
          <w:rFonts w:ascii="Times New Roman" w:hAnsi="Times New Roman" w:cs="Times New Roman"/>
          <w:sz w:val="24"/>
          <w:szCs w:val="24"/>
        </w:rPr>
      </w:pPr>
    </w:p>
    <w:p w:rsidR="00DD1EC3" w:rsidRPr="00A1446F" w:rsidRDefault="00DD1EC3" w:rsidP="007858E9">
      <w:pPr>
        <w:autoSpaceDE w:val="0"/>
        <w:autoSpaceDN w:val="0"/>
        <w:adjustRightInd w:val="0"/>
        <w:spacing w:after="0" w:line="240" w:lineRule="auto"/>
        <w:jc w:val="both"/>
        <w:rPr>
          <w:rFonts w:ascii="Times New Roman" w:hAnsi="Times New Roman" w:cs="Times New Roman"/>
          <w:bCs/>
          <w:sz w:val="24"/>
          <w:szCs w:val="24"/>
        </w:rPr>
      </w:pPr>
      <w:r w:rsidRPr="0086685C">
        <w:rPr>
          <w:rFonts w:ascii="Times New Roman" w:hAnsi="Times New Roman" w:cs="Times New Roman"/>
          <w:bCs/>
          <w:sz w:val="24"/>
          <w:szCs w:val="24"/>
        </w:rPr>
        <w:t>RODRIGUES,</w:t>
      </w:r>
      <w:r w:rsidRPr="0086685C">
        <w:rPr>
          <w:rFonts w:ascii="Times New Roman" w:hAnsi="Times New Roman" w:cs="Times New Roman"/>
          <w:sz w:val="24"/>
          <w:szCs w:val="24"/>
        </w:rPr>
        <w:t xml:space="preserve"> </w:t>
      </w:r>
      <w:r w:rsidRPr="0086685C">
        <w:rPr>
          <w:rFonts w:ascii="Times New Roman" w:hAnsi="Times New Roman" w:cs="Times New Roman"/>
          <w:bCs/>
          <w:sz w:val="24"/>
          <w:szCs w:val="24"/>
        </w:rPr>
        <w:t>William Costa.</w:t>
      </w:r>
      <w:r>
        <w:rPr>
          <w:rFonts w:ascii="Times New Roman" w:hAnsi="Times New Roman" w:cs="Times New Roman"/>
          <w:bCs/>
          <w:sz w:val="24"/>
          <w:szCs w:val="24"/>
        </w:rPr>
        <w:t xml:space="preserve"> </w:t>
      </w:r>
      <w:r>
        <w:rPr>
          <w:rFonts w:ascii="Times New Roman" w:hAnsi="Times New Roman" w:cs="Times New Roman"/>
          <w:b/>
          <w:bCs/>
          <w:sz w:val="24"/>
          <w:szCs w:val="24"/>
        </w:rPr>
        <w:t>Metodologia Científica.</w:t>
      </w:r>
      <w:r>
        <w:rPr>
          <w:rFonts w:ascii="Times New Roman" w:hAnsi="Times New Roman" w:cs="Times New Roman"/>
          <w:bCs/>
          <w:sz w:val="24"/>
          <w:szCs w:val="24"/>
        </w:rPr>
        <w:t xml:space="preserve"> Disponível em: &lt;</w:t>
      </w:r>
      <w:r w:rsidRPr="0086685C">
        <w:rPr>
          <w:rFonts w:ascii="Times New Roman" w:hAnsi="Times New Roman" w:cs="Times New Roman"/>
          <w:bCs/>
          <w:sz w:val="24"/>
          <w:szCs w:val="24"/>
        </w:rPr>
        <w:t>http://www.unisc.br/portal/upload/com_arquivo/metodologia_cientifica.pdf</w:t>
      </w:r>
      <w:r>
        <w:rPr>
          <w:rFonts w:ascii="Times New Roman" w:hAnsi="Times New Roman" w:cs="Times New Roman"/>
          <w:bCs/>
          <w:sz w:val="24"/>
          <w:szCs w:val="24"/>
        </w:rPr>
        <w:t>&gt; Acesso em: 2015.</w:t>
      </w:r>
    </w:p>
    <w:p w:rsidR="00510BCD" w:rsidRDefault="00510BCD" w:rsidP="007858E9">
      <w:pPr>
        <w:spacing w:after="0" w:line="240" w:lineRule="auto"/>
        <w:jc w:val="both"/>
        <w:rPr>
          <w:rFonts w:ascii="Times New Roman" w:hAnsi="Times New Roman" w:cs="Times New Roman"/>
          <w:color w:val="000000" w:themeColor="text1"/>
          <w:sz w:val="24"/>
          <w:szCs w:val="24"/>
        </w:rPr>
      </w:pPr>
    </w:p>
    <w:p w:rsidR="00DD1EC3" w:rsidRPr="00EC6538" w:rsidRDefault="00DD1EC3" w:rsidP="007858E9">
      <w:pPr>
        <w:spacing w:after="0" w:line="240" w:lineRule="auto"/>
        <w:jc w:val="both"/>
        <w:rPr>
          <w:rFonts w:ascii="Times New Roman" w:hAnsi="Times New Roman" w:cs="Times New Roman"/>
          <w:color w:val="000000" w:themeColor="text1"/>
          <w:sz w:val="24"/>
          <w:szCs w:val="24"/>
        </w:rPr>
      </w:pPr>
      <w:r w:rsidRPr="00372A91">
        <w:rPr>
          <w:rFonts w:ascii="Times New Roman" w:hAnsi="Times New Roman" w:cs="Times New Roman"/>
          <w:color w:val="000000" w:themeColor="text1"/>
          <w:sz w:val="24"/>
          <w:szCs w:val="24"/>
        </w:rPr>
        <w:t xml:space="preserve">SARLET, Ingo Wolfgang. </w:t>
      </w:r>
      <w:r w:rsidRPr="00485E6B">
        <w:rPr>
          <w:rFonts w:ascii="Times New Roman" w:hAnsi="Times New Roman" w:cs="Times New Roman"/>
          <w:b/>
          <w:color w:val="000000" w:themeColor="text1"/>
          <w:sz w:val="24"/>
          <w:szCs w:val="24"/>
        </w:rPr>
        <w:t>A eficácia dos direitos fundamentais</w:t>
      </w:r>
      <w:r w:rsidRPr="00372A91">
        <w:rPr>
          <w:rFonts w:ascii="Times New Roman" w:hAnsi="Times New Roman" w:cs="Times New Roman"/>
          <w:color w:val="000000" w:themeColor="text1"/>
          <w:sz w:val="24"/>
          <w:szCs w:val="24"/>
        </w:rPr>
        <w:t xml:space="preserve">. </w:t>
      </w:r>
      <w:proofErr w:type="gramStart"/>
      <w:r w:rsidRPr="00372A91">
        <w:rPr>
          <w:rFonts w:ascii="Times New Roman" w:hAnsi="Times New Roman" w:cs="Times New Roman"/>
          <w:color w:val="000000" w:themeColor="text1"/>
          <w:sz w:val="24"/>
          <w:szCs w:val="24"/>
        </w:rPr>
        <w:t>9 .</w:t>
      </w:r>
      <w:proofErr w:type="gramEnd"/>
      <w:r w:rsidRPr="00372A91">
        <w:rPr>
          <w:rFonts w:ascii="Times New Roman" w:hAnsi="Times New Roman" w:cs="Times New Roman"/>
          <w:color w:val="000000" w:themeColor="text1"/>
          <w:sz w:val="24"/>
          <w:szCs w:val="24"/>
        </w:rPr>
        <w:t xml:space="preserve">ed., rev., </w:t>
      </w:r>
      <w:proofErr w:type="spellStart"/>
      <w:r w:rsidRPr="00372A91">
        <w:rPr>
          <w:rFonts w:ascii="Times New Roman" w:hAnsi="Times New Roman" w:cs="Times New Roman"/>
          <w:color w:val="000000" w:themeColor="text1"/>
          <w:sz w:val="24"/>
          <w:szCs w:val="24"/>
        </w:rPr>
        <w:t>ampl</w:t>
      </w:r>
      <w:proofErr w:type="spellEnd"/>
      <w:r w:rsidRPr="00372A91">
        <w:rPr>
          <w:rFonts w:ascii="Times New Roman" w:hAnsi="Times New Roman" w:cs="Times New Roman"/>
          <w:color w:val="000000" w:themeColor="text1"/>
          <w:sz w:val="24"/>
          <w:szCs w:val="24"/>
        </w:rPr>
        <w:t>. Porto Alegre: Livraria do Advogado, 2008.</w:t>
      </w:r>
    </w:p>
    <w:p w:rsidR="00DD1EC3" w:rsidRDefault="00DD1EC3" w:rsidP="007858E9">
      <w:pPr>
        <w:spacing w:after="0" w:line="240" w:lineRule="auto"/>
        <w:jc w:val="both"/>
        <w:rPr>
          <w:rFonts w:ascii="Times New Roman" w:eastAsia="Calibri" w:hAnsi="Times New Roman" w:cs="Times New Roman"/>
          <w:sz w:val="24"/>
          <w:szCs w:val="24"/>
        </w:rPr>
      </w:pPr>
    </w:p>
    <w:p w:rsidR="00DD1EC3" w:rsidRPr="00EC6538" w:rsidRDefault="00DD1EC3" w:rsidP="007858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SHIAOVANE, José Guilherme Perroni; NOVAES, Elizabeth David. </w:t>
      </w:r>
      <w:r w:rsidRPr="002641D7">
        <w:rPr>
          <w:rFonts w:ascii="Times New Roman" w:eastAsia="Calibri" w:hAnsi="Times New Roman" w:cs="Times New Roman"/>
          <w:b/>
          <w:sz w:val="24"/>
          <w:szCs w:val="24"/>
        </w:rPr>
        <w:t>A cidade e o direito à moradia:</w:t>
      </w:r>
      <w:r w:rsidR="003D0347">
        <w:rPr>
          <w:rFonts w:ascii="Times New Roman" w:eastAsia="Calibri" w:hAnsi="Times New Roman" w:cs="Times New Roman"/>
          <w:sz w:val="24"/>
          <w:szCs w:val="24"/>
        </w:rPr>
        <w:t xml:space="preserve"> o instituto da</w:t>
      </w:r>
      <w:r>
        <w:rPr>
          <w:rFonts w:ascii="Times New Roman" w:eastAsia="Calibri" w:hAnsi="Times New Roman" w:cs="Times New Roman"/>
          <w:sz w:val="24"/>
          <w:szCs w:val="24"/>
        </w:rPr>
        <w:t xml:space="preserve"> usucapião como alternativa de regularização jurídica de habitações </w:t>
      </w:r>
      <w:r>
        <w:rPr>
          <w:rFonts w:ascii="Times New Roman" w:eastAsia="Calibri" w:hAnsi="Times New Roman" w:cs="Times New Roman"/>
          <w:sz w:val="24"/>
          <w:szCs w:val="24"/>
        </w:rPr>
        <w:lastRenderedPageBreak/>
        <w:t>precárias em favelas. Revista Jurídica Faculdades COC, Ribeirão Preto, ano VI, n. 6, p. 11-32, out. 2009.</w:t>
      </w:r>
    </w:p>
    <w:p w:rsidR="00510BCD" w:rsidRDefault="00510BCD" w:rsidP="007858E9">
      <w:pPr>
        <w:spacing w:after="0" w:line="240" w:lineRule="auto"/>
        <w:jc w:val="both"/>
        <w:rPr>
          <w:rFonts w:ascii="Times New Roman" w:hAnsi="Times New Roman" w:cs="Times New Roman"/>
          <w:color w:val="000000" w:themeColor="text1"/>
          <w:sz w:val="24"/>
          <w:szCs w:val="24"/>
        </w:rPr>
      </w:pPr>
    </w:p>
    <w:p w:rsidR="00DD1EC3" w:rsidRDefault="00DD1EC3" w:rsidP="007858E9">
      <w:pPr>
        <w:spacing w:after="0" w:line="240" w:lineRule="auto"/>
        <w:jc w:val="both"/>
        <w:rPr>
          <w:rFonts w:ascii="Times New Roman" w:hAnsi="Times New Roman" w:cs="Times New Roman"/>
          <w:color w:val="000000" w:themeColor="text1"/>
          <w:sz w:val="24"/>
          <w:szCs w:val="24"/>
          <w:shd w:val="clear" w:color="auto" w:fill="FFFFFF"/>
        </w:rPr>
      </w:pPr>
      <w:r w:rsidRPr="009451F2">
        <w:rPr>
          <w:rFonts w:ascii="Times New Roman" w:hAnsi="Times New Roman" w:cs="Times New Roman"/>
          <w:color w:val="000000" w:themeColor="text1"/>
          <w:sz w:val="24"/>
          <w:szCs w:val="24"/>
        </w:rPr>
        <w:t xml:space="preserve">SHIRAISH NETO, Joaquim. </w:t>
      </w:r>
      <w:r w:rsidRPr="009451F2">
        <w:rPr>
          <w:rFonts w:ascii="Times New Roman" w:hAnsi="Times New Roman" w:cs="Times New Roman"/>
          <w:b/>
          <w:color w:val="000000" w:themeColor="text1"/>
          <w:sz w:val="24"/>
          <w:szCs w:val="24"/>
        </w:rPr>
        <w:t>Crise nos padrões jurídicos tradicionais:</w:t>
      </w:r>
      <w:r w:rsidRPr="009451F2">
        <w:rPr>
          <w:rFonts w:ascii="Times New Roman" w:hAnsi="Times New Roman" w:cs="Times New Roman"/>
          <w:color w:val="000000" w:themeColor="text1"/>
          <w:sz w:val="24"/>
          <w:szCs w:val="24"/>
        </w:rPr>
        <w:t xml:space="preserve"> o direito em face dos grupos sociais portadores de identidade coletiva. 2010. Disponível em: &lt; </w:t>
      </w:r>
      <w:hyperlink r:id="rId7" w:history="1">
        <w:r w:rsidRPr="009451F2">
          <w:rPr>
            <w:rStyle w:val="Hyperlink"/>
            <w:rFonts w:ascii="Times New Roman" w:hAnsi="Times New Roman" w:cs="Times New Roman"/>
            <w:color w:val="000000" w:themeColor="text1"/>
            <w:sz w:val="24"/>
            <w:szCs w:val="24"/>
            <w:u w:val="none"/>
            <w:shd w:val="clear" w:color="auto" w:fill="FFFFFF"/>
          </w:rPr>
          <w:t>www.conpedi.org.br/manaus/arquivos/anais/Joaquim_Shiraishi_Neto.pdf</w:t>
        </w:r>
      </w:hyperlink>
      <w:r w:rsidRPr="009451F2">
        <w:rPr>
          <w:rFonts w:ascii="Times New Roman" w:hAnsi="Times New Roman" w:cs="Times New Roman"/>
          <w:color w:val="000000" w:themeColor="text1"/>
          <w:sz w:val="24"/>
          <w:szCs w:val="24"/>
          <w:shd w:val="clear" w:color="auto" w:fill="FFFFFF"/>
        </w:rPr>
        <w:t>&gt;. Acesso em: 10 set. 2015.</w:t>
      </w:r>
    </w:p>
    <w:p w:rsidR="00510BCD" w:rsidRDefault="00510BCD" w:rsidP="007858E9">
      <w:pPr>
        <w:spacing w:after="0" w:line="240" w:lineRule="auto"/>
        <w:jc w:val="both"/>
        <w:rPr>
          <w:rFonts w:ascii="Times New Roman" w:hAnsi="Times New Roman" w:cs="Times New Roman"/>
          <w:color w:val="000000" w:themeColor="text1"/>
          <w:sz w:val="24"/>
          <w:szCs w:val="24"/>
          <w:shd w:val="clear" w:color="auto" w:fill="FFFFFF"/>
        </w:rPr>
      </w:pPr>
    </w:p>
    <w:p w:rsidR="003051E5" w:rsidRPr="00404715" w:rsidRDefault="003051E5" w:rsidP="007858E9">
      <w:pPr>
        <w:spacing w:after="0" w:line="240" w:lineRule="auto"/>
        <w:jc w:val="both"/>
        <w:rPr>
          <w:rFonts w:ascii="Times New Roman" w:eastAsia="Calibri" w:hAnsi="Times New Roman" w:cs="Times New Roman"/>
          <w:b/>
          <w:sz w:val="24"/>
          <w:szCs w:val="24"/>
        </w:rPr>
      </w:pPr>
    </w:p>
    <w:p w:rsidR="00DD1EC3" w:rsidRPr="00DD1EC3" w:rsidRDefault="00DD1EC3" w:rsidP="007858E9">
      <w:pPr>
        <w:spacing w:after="0" w:line="360" w:lineRule="auto"/>
        <w:jc w:val="both"/>
        <w:rPr>
          <w:rFonts w:ascii="Times New Roman" w:hAnsi="Times New Roman" w:cs="Times New Roman"/>
          <w:b/>
          <w:sz w:val="24"/>
          <w:szCs w:val="24"/>
        </w:rPr>
      </w:pPr>
    </w:p>
    <w:sectPr w:rsidR="00DD1EC3" w:rsidRPr="00DD1EC3" w:rsidSect="00564B08">
      <w:head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FE" w:rsidRDefault="00FB5BFE" w:rsidP="00DD1EC3">
      <w:pPr>
        <w:spacing w:after="0" w:line="240" w:lineRule="auto"/>
      </w:pPr>
      <w:r>
        <w:separator/>
      </w:r>
    </w:p>
  </w:endnote>
  <w:endnote w:type="continuationSeparator" w:id="0">
    <w:p w:rsidR="00FB5BFE" w:rsidRDefault="00FB5BFE" w:rsidP="00DD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08" w:rsidRPr="008C13D8" w:rsidRDefault="00E14538" w:rsidP="00564B08">
    <w:pPr>
      <w:pStyle w:val="Rodap"/>
      <w:rPr>
        <w:rFonts w:ascii="Times New Roman" w:hAnsi="Times New Roman" w:cs="Times New Roman"/>
        <w:sz w:val="20"/>
        <w:szCs w:val="20"/>
      </w:rPr>
    </w:pPr>
    <w:proofErr w:type="gramStart"/>
    <w:r>
      <w:rPr>
        <w:rFonts w:ascii="Times New Roman" w:hAnsi="Times New Roman" w:cs="Times New Roman"/>
        <w:sz w:val="20"/>
        <w:szCs w:val="20"/>
      </w:rPr>
      <w:t>¹Trabalho</w:t>
    </w:r>
    <w:proofErr w:type="gramEnd"/>
    <w:r w:rsidR="00564B08" w:rsidRPr="008C13D8">
      <w:rPr>
        <w:rFonts w:ascii="Times New Roman" w:hAnsi="Times New Roman" w:cs="Times New Roman"/>
        <w:sz w:val="20"/>
        <w:szCs w:val="20"/>
      </w:rPr>
      <w:t xml:space="preserve"> apresentado</w:t>
    </w:r>
    <w:r w:rsidR="00564B08">
      <w:rPr>
        <w:rFonts w:ascii="Times New Roman" w:hAnsi="Times New Roman" w:cs="Times New Roman"/>
        <w:sz w:val="20"/>
        <w:szCs w:val="20"/>
      </w:rPr>
      <w:t xml:space="preserve"> à disciplina </w:t>
    </w:r>
    <w:r>
      <w:rPr>
        <w:rFonts w:ascii="Times New Roman" w:hAnsi="Times New Roman" w:cs="Times New Roman"/>
        <w:sz w:val="20"/>
        <w:szCs w:val="20"/>
      </w:rPr>
      <w:t>Processo Constitucional</w:t>
    </w:r>
    <w:r w:rsidR="00564B08" w:rsidRPr="008C13D8">
      <w:rPr>
        <w:rFonts w:ascii="Times New Roman" w:hAnsi="Times New Roman" w:cs="Times New Roman"/>
        <w:sz w:val="20"/>
        <w:szCs w:val="20"/>
      </w:rPr>
      <w:t xml:space="preserve">, da Unidade de </w:t>
    </w:r>
    <w:r>
      <w:rPr>
        <w:rFonts w:ascii="Times New Roman" w:hAnsi="Times New Roman" w:cs="Times New Roman"/>
        <w:sz w:val="20"/>
        <w:szCs w:val="20"/>
      </w:rPr>
      <w:t>Ensino Superior Dom Bosco.</w:t>
    </w:r>
  </w:p>
  <w:p w:rsidR="00E14538" w:rsidRDefault="00564B08" w:rsidP="00564B08">
    <w:pPr>
      <w:pStyle w:val="Rodap"/>
      <w:rPr>
        <w:rFonts w:ascii="Times New Roman" w:hAnsi="Times New Roman" w:cs="Times New Roman"/>
        <w:sz w:val="20"/>
        <w:szCs w:val="20"/>
      </w:rPr>
    </w:pPr>
    <w:proofErr w:type="gramStart"/>
    <w:r>
      <w:rPr>
        <w:rFonts w:ascii="Times New Roman" w:hAnsi="Times New Roman" w:cs="Times New Roman"/>
        <w:sz w:val="20"/>
        <w:szCs w:val="20"/>
      </w:rPr>
      <w:t>²</w:t>
    </w:r>
    <w:proofErr w:type="gramEnd"/>
    <w:r w:rsidR="00E14538">
      <w:rPr>
        <w:rFonts w:ascii="Times New Roman" w:hAnsi="Times New Roman" w:cs="Times New Roman"/>
        <w:sz w:val="20"/>
        <w:szCs w:val="20"/>
      </w:rPr>
      <w:t xml:space="preserve"> João Pedro, Lucas Brito, Mariana </w:t>
    </w:r>
    <w:proofErr w:type="spellStart"/>
    <w:r w:rsidR="00E14538">
      <w:rPr>
        <w:rFonts w:ascii="Times New Roman" w:hAnsi="Times New Roman" w:cs="Times New Roman"/>
        <w:sz w:val="20"/>
        <w:szCs w:val="20"/>
      </w:rPr>
      <w:t>Weba</w:t>
    </w:r>
    <w:proofErr w:type="spellEnd"/>
    <w:r w:rsidR="00E14538">
      <w:rPr>
        <w:rFonts w:ascii="Times New Roman" w:hAnsi="Times New Roman" w:cs="Times New Roman"/>
        <w:sz w:val="20"/>
        <w:szCs w:val="20"/>
      </w:rPr>
      <w:t xml:space="preserve">, Karoline Costa, Lavínia Assunção, Adriano de Sousa, </w:t>
    </w:r>
    <w:proofErr w:type="spellStart"/>
    <w:r w:rsidR="00E14538">
      <w:rPr>
        <w:rFonts w:ascii="Times New Roman" w:hAnsi="Times New Roman" w:cs="Times New Roman"/>
        <w:sz w:val="20"/>
        <w:szCs w:val="20"/>
      </w:rPr>
      <w:t>Kattarina</w:t>
    </w:r>
    <w:proofErr w:type="spellEnd"/>
    <w:r w:rsidR="00E14538">
      <w:rPr>
        <w:rFonts w:ascii="Times New Roman" w:hAnsi="Times New Roman" w:cs="Times New Roman"/>
        <w:sz w:val="20"/>
        <w:szCs w:val="20"/>
      </w:rPr>
      <w:t xml:space="preserve"> Lobo.</w:t>
    </w:r>
  </w:p>
  <w:p w:rsidR="00564B08" w:rsidRPr="008C13D8" w:rsidRDefault="00E14538" w:rsidP="00564B08">
    <w:pPr>
      <w:pStyle w:val="Rodap"/>
      <w:rPr>
        <w:rFonts w:ascii="Times New Roman" w:hAnsi="Times New Roman" w:cs="Times New Roman"/>
        <w:sz w:val="20"/>
        <w:szCs w:val="20"/>
      </w:rPr>
    </w:pPr>
    <w:proofErr w:type="gramStart"/>
    <w:r>
      <w:rPr>
        <w:rFonts w:ascii="Times New Roman" w:hAnsi="Times New Roman" w:cs="Times New Roman"/>
        <w:sz w:val="20"/>
        <w:szCs w:val="20"/>
      </w:rPr>
      <w:t>³Professor</w:t>
    </w:r>
    <w:proofErr w:type="gramEnd"/>
    <w:r>
      <w:rPr>
        <w:rFonts w:ascii="Times New Roman" w:hAnsi="Times New Roman" w:cs="Times New Roman"/>
        <w:sz w:val="20"/>
        <w:szCs w:val="20"/>
      </w:rPr>
      <w:t xml:space="preserve"> Mestre Orientador.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FE" w:rsidRDefault="00FB5BFE" w:rsidP="00DD1EC3">
      <w:pPr>
        <w:spacing w:after="0" w:line="240" w:lineRule="auto"/>
      </w:pPr>
      <w:r>
        <w:separator/>
      </w:r>
    </w:p>
  </w:footnote>
  <w:footnote w:type="continuationSeparator" w:id="0">
    <w:p w:rsidR="00FB5BFE" w:rsidRDefault="00FB5BFE" w:rsidP="00DD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88426"/>
      <w:docPartObj>
        <w:docPartGallery w:val="Page Numbers (Top of Page)"/>
        <w:docPartUnique/>
      </w:docPartObj>
    </w:sdtPr>
    <w:sdtEndPr/>
    <w:sdtContent>
      <w:p w:rsidR="00564B08" w:rsidRDefault="00564B08">
        <w:pPr>
          <w:pStyle w:val="Cabealho"/>
          <w:jc w:val="right"/>
        </w:pPr>
        <w:r>
          <w:fldChar w:fldCharType="begin"/>
        </w:r>
        <w:r>
          <w:instrText>PAGE   \* MERGEFORMAT</w:instrText>
        </w:r>
        <w:r>
          <w:fldChar w:fldCharType="separate"/>
        </w:r>
        <w:r w:rsidR="00C601DE">
          <w:rPr>
            <w:noProof/>
          </w:rPr>
          <w:t>3</w:t>
        </w:r>
        <w:r>
          <w:fldChar w:fldCharType="end"/>
        </w:r>
      </w:p>
    </w:sdtContent>
  </w:sdt>
  <w:p w:rsidR="00564B08" w:rsidRDefault="00564B0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52153"/>
      <w:docPartObj>
        <w:docPartGallery w:val="Page Numbers (Top of Page)"/>
        <w:docPartUnique/>
      </w:docPartObj>
    </w:sdtPr>
    <w:sdtEndPr/>
    <w:sdtContent>
      <w:p w:rsidR="00564B08" w:rsidRDefault="00564B08">
        <w:pPr>
          <w:pStyle w:val="Cabealho"/>
          <w:jc w:val="right"/>
        </w:pPr>
        <w:r>
          <w:fldChar w:fldCharType="begin"/>
        </w:r>
        <w:r>
          <w:instrText>PAGE   \* MERGEFORMAT</w:instrText>
        </w:r>
        <w:r>
          <w:fldChar w:fldCharType="separate"/>
        </w:r>
        <w:r w:rsidR="00C601DE">
          <w:rPr>
            <w:noProof/>
          </w:rPr>
          <w:t>1</w:t>
        </w:r>
        <w:r>
          <w:fldChar w:fldCharType="end"/>
        </w:r>
      </w:p>
    </w:sdtContent>
  </w:sdt>
  <w:p w:rsidR="00564B08" w:rsidRDefault="00564B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B4"/>
    <w:rsid w:val="00023D08"/>
    <w:rsid w:val="000278D8"/>
    <w:rsid w:val="000D3B45"/>
    <w:rsid w:val="000D3F1B"/>
    <w:rsid w:val="000E0E03"/>
    <w:rsid w:val="000F51FD"/>
    <w:rsid w:val="000F609B"/>
    <w:rsid w:val="00176068"/>
    <w:rsid w:val="001A5F87"/>
    <w:rsid w:val="002F5E96"/>
    <w:rsid w:val="00304C44"/>
    <w:rsid w:val="003051E5"/>
    <w:rsid w:val="003305B4"/>
    <w:rsid w:val="00395A93"/>
    <w:rsid w:val="003D0347"/>
    <w:rsid w:val="00501919"/>
    <w:rsid w:val="00510BCD"/>
    <w:rsid w:val="00521E7A"/>
    <w:rsid w:val="00564B08"/>
    <w:rsid w:val="005A7AB7"/>
    <w:rsid w:val="005E4FD3"/>
    <w:rsid w:val="00630114"/>
    <w:rsid w:val="007858E9"/>
    <w:rsid w:val="00821E71"/>
    <w:rsid w:val="00833164"/>
    <w:rsid w:val="0087391B"/>
    <w:rsid w:val="00874A3C"/>
    <w:rsid w:val="00975F21"/>
    <w:rsid w:val="00990269"/>
    <w:rsid w:val="009C552B"/>
    <w:rsid w:val="009C5EE8"/>
    <w:rsid w:val="009D4A22"/>
    <w:rsid w:val="009D529C"/>
    <w:rsid w:val="00A03A21"/>
    <w:rsid w:val="00A449BB"/>
    <w:rsid w:val="00A44C92"/>
    <w:rsid w:val="00A66E25"/>
    <w:rsid w:val="00C204D2"/>
    <w:rsid w:val="00C5531C"/>
    <w:rsid w:val="00C601DE"/>
    <w:rsid w:val="00CB5CC6"/>
    <w:rsid w:val="00CE5DA0"/>
    <w:rsid w:val="00CE7484"/>
    <w:rsid w:val="00D20980"/>
    <w:rsid w:val="00DB2090"/>
    <w:rsid w:val="00DD1EC3"/>
    <w:rsid w:val="00DF47EF"/>
    <w:rsid w:val="00E14538"/>
    <w:rsid w:val="00E30BE9"/>
    <w:rsid w:val="00E820E0"/>
    <w:rsid w:val="00EB54CB"/>
    <w:rsid w:val="00EC0540"/>
    <w:rsid w:val="00EC6538"/>
    <w:rsid w:val="00F43BA6"/>
    <w:rsid w:val="00FA424B"/>
    <w:rsid w:val="00FA681B"/>
    <w:rsid w:val="00FA7928"/>
    <w:rsid w:val="00FB5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1E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1EC3"/>
  </w:style>
  <w:style w:type="paragraph" w:styleId="Rodap">
    <w:name w:val="footer"/>
    <w:basedOn w:val="Normal"/>
    <w:link w:val="RodapChar"/>
    <w:uiPriority w:val="99"/>
    <w:unhideWhenUsed/>
    <w:rsid w:val="00DD1EC3"/>
    <w:pPr>
      <w:tabs>
        <w:tab w:val="center" w:pos="4252"/>
        <w:tab w:val="right" w:pos="8504"/>
      </w:tabs>
      <w:spacing w:after="0" w:line="240" w:lineRule="auto"/>
    </w:pPr>
  </w:style>
  <w:style w:type="character" w:customStyle="1" w:styleId="RodapChar">
    <w:name w:val="Rodapé Char"/>
    <w:basedOn w:val="Fontepargpadro"/>
    <w:link w:val="Rodap"/>
    <w:uiPriority w:val="99"/>
    <w:rsid w:val="00DD1EC3"/>
  </w:style>
  <w:style w:type="character" w:styleId="Hyperlink">
    <w:name w:val="Hyperlink"/>
    <w:basedOn w:val="Fontepargpadro"/>
    <w:uiPriority w:val="99"/>
    <w:unhideWhenUsed/>
    <w:rsid w:val="00DD1EC3"/>
    <w:rPr>
      <w:color w:val="0563C1" w:themeColor="hyperlink"/>
      <w:u w:val="single"/>
    </w:rPr>
  </w:style>
  <w:style w:type="table" w:styleId="Tabelacomgrade">
    <w:name w:val="Table Grid"/>
    <w:basedOn w:val="Tabelanormal"/>
    <w:uiPriority w:val="59"/>
    <w:rsid w:val="003051E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5F21"/>
    <w:pPr>
      <w:spacing w:before="100" w:beforeAutospacing="1" w:after="100" w:afterAutospacing="1" w:line="240" w:lineRule="auto"/>
    </w:pPr>
    <w:rPr>
      <w:rFonts w:ascii="Times New Roman" w:eastAsia="Times New Roman" w:hAnsi="Times New Roman" w:cs="Times New Roman"/>
      <w:sz w:val="24"/>
      <w:szCs w:val="24"/>
      <w:lang w:val="en-US" w:eastAsia="pt-BR"/>
    </w:rPr>
  </w:style>
  <w:style w:type="paragraph" w:styleId="Textodebalo">
    <w:name w:val="Balloon Text"/>
    <w:basedOn w:val="Normal"/>
    <w:link w:val="TextodebaloChar"/>
    <w:uiPriority w:val="99"/>
    <w:semiHidden/>
    <w:unhideWhenUsed/>
    <w:rsid w:val="00DF4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4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1E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1EC3"/>
  </w:style>
  <w:style w:type="paragraph" w:styleId="Rodap">
    <w:name w:val="footer"/>
    <w:basedOn w:val="Normal"/>
    <w:link w:val="RodapChar"/>
    <w:uiPriority w:val="99"/>
    <w:unhideWhenUsed/>
    <w:rsid w:val="00DD1EC3"/>
    <w:pPr>
      <w:tabs>
        <w:tab w:val="center" w:pos="4252"/>
        <w:tab w:val="right" w:pos="8504"/>
      </w:tabs>
      <w:spacing w:after="0" w:line="240" w:lineRule="auto"/>
    </w:pPr>
  </w:style>
  <w:style w:type="character" w:customStyle="1" w:styleId="RodapChar">
    <w:name w:val="Rodapé Char"/>
    <w:basedOn w:val="Fontepargpadro"/>
    <w:link w:val="Rodap"/>
    <w:uiPriority w:val="99"/>
    <w:rsid w:val="00DD1EC3"/>
  </w:style>
  <w:style w:type="character" w:styleId="Hyperlink">
    <w:name w:val="Hyperlink"/>
    <w:basedOn w:val="Fontepargpadro"/>
    <w:uiPriority w:val="99"/>
    <w:unhideWhenUsed/>
    <w:rsid w:val="00DD1EC3"/>
    <w:rPr>
      <w:color w:val="0563C1" w:themeColor="hyperlink"/>
      <w:u w:val="single"/>
    </w:rPr>
  </w:style>
  <w:style w:type="table" w:styleId="Tabelacomgrade">
    <w:name w:val="Table Grid"/>
    <w:basedOn w:val="Tabelanormal"/>
    <w:uiPriority w:val="59"/>
    <w:rsid w:val="003051E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5F21"/>
    <w:pPr>
      <w:spacing w:before="100" w:beforeAutospacing="1" w:after="100" w:afterAutospacing="1" w:line="240" w:lineRule="auto"/>
    </w:pPr>
    <w:rPr>
      <w:rFonts w:ascii="Times New Roman" w:eastAsia="Times New Roman" w:hAnsi="Times New Roman" w:cs="Times New Roman"/>
      <w:sz w:val="24"/>
      <w:szCs w:val="24"/>
      <w:lang w:val="en-US" w:eastAsia="pt-BR"/>
    </w:rPr>
  </w:style>
  <w:style w:type="paragraph" w:styleId="Textodebalo">
    <w:name w:val="Balloon Text"/>
    <w:basedOn w:val="Normal"/>
    <w:link w:val="TextodebaloChar"/>
    <w:uiPriority w:val="99"/>
    <w:semiHidden/>
    <w:unhideWhenUsed/>
    <w:rsid w:val="00DF47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4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pedi.org.br/manaus/arquivos/anais/Joaquim_Shiraishi_Neto.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12755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Oliveira da Silva</dc:creator>
  <cp:lastModifiedBy>Lucas</cp:lastModifiedBy>
  <cp:revision>2</cp:revision>
  <cp:lastPrinted>2015-10-26T13:54:00Z</cp:lastPrinted>
  <dcterms:created xsi:type="dcterms:W3CDTF">2018-06-20T15:05:00Z</dcterms:created>
  <dcterms:modified xsi:type="dcterms:W3CDTF">2018-06-20T15:05:00Z</dcterms:modified>
</cp:coreProperties>
</file>