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0"/>
        <w:jc w:val="center"/>
      </w:pPr>
      <w:r>
        <w:t>DIREITOS E DEVERES DAS CRIANÇAS SOB A LUZ DO ESTATUTO DA CRIANÇA E DO ADOLESCENTE</w:t>
      </w:r>
    </w:p>
    <w:p>
      <w:pPr>
        <w:ind w:firstLine="0"/>
        <w:jc w:val="both"/>
      </w:pPr>
    </w:p>
    <w:p>
      <w:pPr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Larissa de Jesus Lima Araújo</w:t>
      </w:r>
      <w:r>
        <w:rPr>
          <w:rStyle w:val="ncoradanotaderodap"/>
          <w:sz w:val="20"/>
          <w:szCs w:val="20"/>
        </w:rPr>
        <w:footnoteReference w:id="1"/>
      </w:r>
    </w:p>
    <w:p>
      <w:pPr>
        <w:ind w:firstLine="0"/>
        <w:jc w:val="both"/>
      </w:pPr>
    </w:p>
    <w:p>
      <w:pPr>
        <w:ind w:firstLine="0"/>
      </w:pPr>
    </w:p>
    <w:p>
      <w:pPr>
        <w:jc w:val="both"/>
      </w:pPr>
      <w:r>
        <w:t xml:space="preserve"> Por definição legal, o Conselho Tutelar é encarregado pela sociedade de zelar pelo cumprimento dos direitos da criança e do adolescente, sendo criada por lei e implementada pelo Poder Público que deve ser mantido, apenas renovando seus integrantes, conforme estabelece o art. 131 do ECA. Partindo desse pressuposto e analisando o caso em questão, o Conselho Tutelar agiu e maneira correta, pois a criança em questão teve seus direitos violados, estava em situação de risco (trabalho infantil).</w:t>
      </w:r>
    </w:p>
    <w:p>
      <w:pPr>
        <w:jc w:val="both"/>
      </w:pPr>
      <w:r>
        <w:t xml:space="preserve">Cabe ressaltar que, conforme o art. 1ª do ECA que considera criança pessoa até 12 anos e a Constituição Federal dispõe no art. 7ª, XXXIII, que proíbe qualquer trabalho para menor de 16 anos. Ou seja, Armandinho ia para as ruas aos feriados e finais de semana vender pipoca com seu pai. Além de que, o garoto estava em situação irregular na escola, e no seu tempo livre cuidava do irmão, sendo privado do seu lazer, que é um direito assegurado, conforme art. 53 </w:t>
      </w:r>
      <w:bookmarkStart w:id="0" w:name="_GoBack"/>
      <w:bookmarkEnd w:id="0"/>
      <w:r>
        <w:t xml:space="preserve">ECA. </w:t>
      </w:r>
    </w:p>
    <w:p>
      <w:pPr>
        <w:jc w:val="both"/>
      </w:pPr>
      <w:r>
        <w:t xml:space="preserve">Deste modo, quando a criança s encontra em situação de risco tem que haver uma interferência do Conselho Tutelar, tendo em vista o caráter emergencial da situação, tendo como principal objetivo o atendimento de modo que a solução das situações de violação dos direitos infanto-juvenil e zelar pela plena efetivação dos direitos conferidos pela lei e Constituição Federal. Cabe salientar que as medidas impostas estão correlacionadas no art. 101 do ECA, não bastando apenas a </w:t>
      </w:r>
      <w:proofErr w:type="spellStart"/>
      <w:r>
        <w:t>plicação</w:t>
      </w:r>
      <w:proofErr w:type="spellEnd"/>
      <w:r>
        <w:t xml:space="preserve"> dessas medidas, mas também zelar para que estes zelem o atendimento com eficácia. </w:t>
      </w:r>
    </w:p>
    <w:p>
      <w:pPr>
        <w:pStyle w:val="PargrafodaLista"/>
        <w:ind w:left="0"/>
        <w:jc w:val="both"/>
      </w:pPr>
    </w:p>
    <w:p>
      <w:pPr>
        <w:pStyle w:val="PargrafodaLista"/>
        <w:spacing w:after="1134"/>
        <w:ind w:left="0"/>
        <w:jc w:val="both"/>
      </w:pPr>
      <w:r>
        <w:rPr>
          <w:color w:val="333333"/>
        </w:rPr>
        <w:t>Sempre que o Conselho Tutelar receber a notícia da prática, em tese, de crime contra criança ou adolescente, deve levar o caso imediatamente ao Ministério Público, segundo o art. 136, inciso IV, do ECA, sem prejuízo de se aplicar, desde logo, medidas de proteção à criança ou adolescente vítima, bem como realizar um trabalho de orientação aos seus pais ou responsável. (PERDENEIRAS, 2004).</w:t>
      </w:r>
    </w:p>
    <w:p>
      <w:pPr>
        <w:pStyle w:val="PargrafodaLista"/>
        <w:spacing w:after="1134"/>
        <w:ind w:left="0" w:firstLine="0"/>
        <w:jc w:val="both"/>
      </w:pPr>
    </w:p>
    <w:p>
      <w:pPr>
        <w:pStyle w:val="PargrafodaLista"/>
        <w:spacing w:after="1134"/>
        <w:ind w:left="0" w:firstLine="1191"/>
        <w:jc w:val="both"/>
      </w:pPr>
      <w:r>
        <w:rPr>
          <w:color w:val="333333"/>
        </w:rPr>
        <w:lastRenderedPageBreak/>
        <w:t xml:space="preserve">O Conselho Tutelar não é órgão de segurança pública, e não cabe a realização do trabalho de investigação policial, substituindo o papel da polícia judiciária (polícia civil). O que pode fazer é auxiliar a autoridade policial no acionamento de determinados serviços municipais que podem intervir desde logo (como psicólogos e assistentes sociais). Isso significa que, o Conselho Tutelar, no primeiro momento, deveria acionar seus profissionais, e apurar a situação de risco do menor, não afastando de imediato do seio familiar (CONSELHO TUTELAR SANTO ANTONIO DO MONTE, 2011). </w:t>
      </w:r>
    </w:p>
    <w:p>
      <w:pPr>
        <w:pStyle w:val="PargrafodaLista"/>
        <w:spacing w:after="1134"/>
        <w:ind w:left="0" w:firstLine="1191"/>
        <w:jc w:val="both"/>
      </w:pPr>
    </w:p>
    <w:p>
      <w:pPr>
        <w:pStyle w:val="PargrafodaLista"/>
        <w:spacing w:after="1134"/>
        <w:ind w:left="0" w:firstLine="1191"/>
        <w:jc w:val="both"/>
      </w:pPr>
      <w:r>
        <w:rPr>
          <w:color w:val="333333"/>
        </w:rPr>
        <w:t xml:space="preserve">O Conselho Tutelar </w:t>
      </w:r>
      <w:r>
        <w:rPr>
          <w:rStyle w:val="nfase"/>
          <w:i w:val="0"/>
          <w:iCs w:val="0"/>
          <w:color w:val="333333"/>
        </w:rPr>
        <w:t xml:space="preserve">continua </w:t>
      </w:r>
      <w:r>
        <w:rPr>
          <w:color w:val="333333"/>
        </w:rPr>
        <w:t xml:space="preserve">tendo a atribuição de aplicar a medida de proteção de encaminhamento da criança ou adolescente para programa de acolhimento institucional (art. 136, inciso I e art. 101, inciso VII, do ECA). Porém o Conselho Tutelar </w:t>
      </w:r>
      <w:r>
        <w:rPr>
          <w:rStyle w:val="nfase"/>
          <w:i w:val="0"/>
          <w:iCs w:val="0"/>
          <w:color w:val="333333"/>
        </w:rPr>
        <w:t>não pode fazer</w:t>
      </w:r>
      <w:r>
        <w:rPr>
          <w:color w:val="333333"/>
        </w:rPr>
        <w:t xml:space="preserve"> é promover, por simples decisão administrativa, o </w:t>
      </w:r>
      <w:r>
        <w:rPr>
          <w:rStyle w:val="nfase"/>
          <w:i w:val="0"/>
          <w:iCs w:val="0"/>
          <w:color w:val="333333"/>
        </w:rPr>
        <w:t xml:space="preserve">afastamento </w:t>
      </w:r>
      <w:r>
        <w:rPr>
          <w:color w:val="333333"/>
        </w:rPr>
        <w:t xml:space="preserve">da criança ou adolescente do convívio familiar como medida ao acolhimento institucional. O afastamento de criança ou adolescente do convívio familiar, salvo a ocorrência de "flagrante” ou outra situação </w:t>
      </w:r>
      <w:r>
        <w:rPr>
          <w:rStyle w:val="nfase"/>
          <w:i w:val="0"/>
          <w:iCs w:val="0"/>
          <w:color w:val="333333"/>
        </w:rPr>
        <w:t xml:space="preserve">extrema </w:t>
      </w:r>
      <w:r>
        <w:rPr>
          <w:color w:val="333333"/>
        </w:rPr>
        <w:t xml:space="preserve">e </w:t>
      </w:r>
      <w:r>
        <w:rPr>
          <w:rStyle w:val="nfase"/>
          <w:i w:val="0"/>
          <w:iCs w:val="0"/>
          <w:color w:val="333333"/>
        </w:rPr>
        <w:t xml:space="preserve">excepcional </w:t>
      </w:r>
      <w:r>
        <w:rPr>
          <w:color w:val="333333"/>
        </w:rPr>
        <w:t xml:space="preserve">que justifique plenamente a medida (cf. art. 101, §2º, do ECA), deve </w:t>
      </w:r>
      <w:r>
        <w:rPr>
          <w:rStyle w:val="nfase"/>
          <w:i w:val="0"/>
          <w:iCs w:val="0"/>
          <w:color w:val="333333"/>
        </w:rPr>
        <w:t xml:space="preserve">acontecer por meio </w:t>
      </w:r>
      <w:r>
        <w:rPr>
          <w:color w:val="333333"/>
        </w:rPr>
        <w:t xml:space="preserve">de </w:t>
      </w:r>
      <w:r>
        <w:rPr>
          <w:rStyle w:val="nfase"/>
          <w:i w:val="0"/>
          <w:iCs w:val="0"/>
          <w:color w:val="333333"/>
        </w:rPr>
        <w:t>ordem judicial expressa e fundamentada</w:t>
      </w:r>
      <w:r>
        <w:rPr>
          <w:color w:val="333333"/>
        </w:rPr>
        <w:t xml:space="preserve">, no qual seja assegurado aos pais ou responsável o regular exercício do contraditório e da ampla defesa (cf. </w:t>
      </w:r>
      <w:proofErr w:type="spellStart"/>
      <w:r>
        <w:rPr>
          <w:color w:val="333333"/>
        </w:rPr>
        <w:t>arts</w:t>
      </w:r>
      <w:proofErr w:type="spellEnd"/>
      <w:r>
        <w:rPr>
          <w:color w:val="333333"/>
        </w:rPr>
        <w:t>. 101, §2º c/c 153, par. único, do ECA).</w:t>
      </w:r>
      <w:r>
        <w:t xml:space="preserve">  (PERDENEIRAS. 2004)</w:t>
      </w:r>
    </w:p>
    <w:p>
      <w:pPr>
        <w:pStyle w:val="PargrafodaLista"/>
        <w:spacing w:after="1134"/>
        <w:ind w:left="0" w:firstLine="119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b/>
          <w:color w:val="222222"/>
        </w:rPr>
        <w:t xml:space="preserve"> </w:t>
      </w:r>
      <w:r>
        <w:rPr>
          <w:color w:val="222222"/>
        </w:rPr>
        <w:t xml:space="preserve">A doutrina da proteção integral é violada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medida que ocorre a transgressão dos direitos fundamentais à criança e ao adolescente. Por sua vez, o acesso a tais direitos é objeto de discussão quando há exposição a riscos evidentes de violência, crueldade, negligência e opressão decorrentes do não cumprimento pelos pais, </w:t>
      </w:r>
      <w:proofErr w:type="gramStart"/>
      <w:r>
        <w:rPr>
          <w:color w:val="222222"/>
        </w:rPr>
        <w:t>responsáveis</w:t>
      </w:r>
      <w:proofErr w:type="gramEnd"/>
      <w:r>
        <w:rPr>
          <w:color w:val="222222"/>
        </w:rPr>
        <w:t xml:space="preserve"> ou seja, aqueles que assim como o Estado e a sociedade possuem o dever de cuidado. A Constituição Federal expressa no seu dispositivo do art.227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</w:p>
    <w:p>
      <w:pPr>
        <w:pStyle w:val="PargrafodaLista"/>
        <w:spacing w:after="1134"/>
        <w:ind w:left="0" w:firstLine="1191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>
      <w:pPr>
        <w:pStyle w:val="PargrafodaLista"/>
        <w:spacing w:after="1134"/>
        <w:ind w:left="2268" w:firstLine="0"/>
        <w:jc w:val="both"/>
      </w:pPr>
      <w:r>
        <w:rPr>
          <w:color w:val="000000"/>
          <w:sz w:val="20"/>
          <w:szCs w:val="20"/>
          <w:shd w:val="clear" w:color="auto" w:fill="FFFFFF"/>
        </w:rPr>
        <w:t>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>
      <w:pPr>
        <w:spacing w:line="240" w:lineRule="auto"/>
        <w:ind w:left="2268" w:firstLine="0"/>
        <w:rPr>
          <w:sz w:val="20"/>
          <w:szCs w:val="20"/>
        </w:rPr>
      </w:pPr>
    </w:p>
    <w:p>
      <w:pPr>
        <w:spacing w:line="240" w:lineRule="auto"/>
      </w:pPr>
    </w:p>
    <w:p>
      <w:pPr>
        <w:jc w:val="both"/>
      </w:pPr>
      <w:r>
        <w:t xml:space="preserve">O convívio familiar constitui em um fator essencial para a permanência do vínculo afetivo. Se não há esse contato permanente entre os entes familiares, </w:t>
      </w:r>
      <w:proofErr w:type="gramStart"/>
      <w:r>
        <w:t>e</w:t>
      </w:r>
      <w:proofErr w:type="gramEnd"/>
      <w:r>
        <w:t xml:space="preserve"> por conseguinte o acompanhamento da criança verificar-se-á que a criança se encontrará em um estado de vulnerabilidade, o qual infringirá o princípio da prevenção especial defendida pelo Estado de evitar as práticas de negligência contra a criança e </w:t>
      </w:r>
      <w:proofErr w:type="spellStart"/>
      <w:r>
        <w:t>o</w:t>
      </w:r>
      <w:proofErr w:type="spellEnd"/>
      <w:r>
        <w:t xml:space="preserve"> adolescente. </w:t>
      </w:r>
    </w:p>
    <w:p>
      <w:pPr>
        <w:jc w:val="both"/>
      </w:pPr>
      <w:r>
        <w:t>Segundo o artigo 98 do Estatuto da Criança e do Adolescente (ECA), são aplicáveis medidas de proteção à criança e ao adolescente sempre que os direitos protegidos por tal instrumento forem violados ou ameaçados por falta, omissão ou abuso dos pais ou responsável. Constando no artigo 136 do mesmo instrumento que é atribuição do Conselho Tutelar atender as crianças e adolescentes nas hipóteses previstas no artigo 98, de modo a aplicar as medidas previstas no artigo 101, I a VII.</w:t>
      </w:r>
    </w:p>
    <w:p>
      <w:pPr>
        <w:jc w:val="both"/>
      </w:pPr>
      <w:r>
        <w:t xml:space="preserve">Embora o acolhimento institucional seja uma das medidas cabíveis elencadas no art. 101, só poderá ser realizada mediante autorização judicial (art. 93, parágrafo único da </w:t>
      </w:r>
      <w:r>
        <w:rPr>
          <w:color w:val="000000"/>
        </w:rPr>
        <w:t>Lei 12.010/2009); mediante guia de acolhimento expedida pelo juiz (</w:t>
      </w:r>
      <w:r>
        <w:rPr>
          <w:rFonts w:ascii="Arial" w:hAnsi="Arial" w:cs="Arial"/>
          <w:color w:val="000000"/>
        </w:rPr>
        <w:t>§</w:t>
      </w:r>
      <w:r>
        <w:rPr>
          <w:color w:val="000000"/>
        </w:rPr>
        <w:t>4º, art.101),</w:t>
      </w:r>
      <w:r>
        <w:t xml:space="preserve"> e de forma provisória e excepcional (</w:t>
      </w:r>
      <w:r>
        <w:rPr>
          <w:color w:val="000000"/>
        </w:rPr>
        <w:t>§ 1º, art. 34, Lei 12.010/2009)</w:t>
      </w:r>
      <w:r>
        <w:t xml:space="preserve">, ou seja, quando houver emergência, implicando com isso, no afastamento da criança do convívio familiar e suspensão do poder familiar. </w:t>
      </w:r>
    </w:p>
    <w:p>
      <w:pPr>
        <w:jc w:val="both"/>
      </w:pPr>
      <w:r>
        <w:t>Ademais, o inciso III (</w:t>
      </w:r>
      <w:r>
        <w:rPr>
          <w:color w:val="000000"/>
        </w:rPr>
        <w:t>§</w:t>
      </w:r>
      <w:r>
        <w:t xml:space="preserve"> 3º, do art. 90 Lei 12.010/09) para que ocorra o acolhimento familiar ou institucional serão considerados os índices de sucesso na reintegração familiar. E ainda, no art. 92 desta mesma Lei consta que as entidades as quais desenvolvem o acolhimento familiar ou institucional deverão adotar o princípio da preservação dos vínculos familiares e promoção da reintegração familiar, e o da integração em família substituta, quando esgotados os recursos de manutenção da família natural ou extensa. Sendo assim, no presente caso não ocorreu a preservação dos vínculos familiares uma vez que a família só foi informada do </w:t>
      </w:r>
      <w:proofErr w:type="spellStart"/>
      <w:r>
        <w:t>abrigamento</w:t>
      </w:r>
      <w:proofErr w:type="spellEnd"/>
      <w:r>
        <w:t xml:space="preserve"> vinte e cinco dias depois do ocorrido.</w:t>
      </w:r>
    </w:p>
    <w:p>
      <w:pPr>
        <w:jc w:val="both"/>
      </w:pPr>
      <w:r>
        <w:t xml:space="preserve">Tem que observar o princípio da intervenção mínima o qual traz que </w:t>
      </w:r>
      <w:r>
        <w:rPr>
          <w:color w:val="000000"/>
        </w:rPr>
        <w:t>a intervenção deve ser exercida exclusivamente pelas autoridades e instituições cuja ação seja indispensável à efetiva promoção dos direitos e à proteção da criança e do adolescente (VII, art. 100);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assim como o princípio da proporcionalidade e atualidade, a intervenção deve ser a necessária e adequada à situação de perigo em que a criança ou o adolescente se encontram no momento em que a decisão é tomada (VIII, art. 100).</w:t>
      </w:r>
    </w:p>
    <w:p>
      <w:pPr>
        <w:jc w:val="both"/>
      </w:pPr>
      <w:r>
        <w:lastRenderedPageBreak/>
        <w:t>Expõe o artigo 93 da Lei 12.010/09, que as entidades de acolhimento institucional poderão, em caráter excepcional e de urgência, acolher crianças e adolescentes sem prévia determinação de autoridade competente, fazendo comunicação do fato em até 24 (vinte e quatro) horas ao Juiz da Infância e da Juventude, sob pena de responsabilidade. Portanto, o conselheiro tutelar não agiu conforme prescreve o ECA.</w:t>
      </w:r>
    </w:p>
    <w:p>
      <w:pPr>
        <w:jc w:val="both"/>
        <w:rPr>
          <w:iCs/>
          <w:color w:val="000000" w:themeColor="text1"/>
          <w:shd w:val="clear" w:color="auto" w:fill="FFFFFF"/>
        </w:rPr>
      </w:pPr>
      <w:r>
        <w:rPr>
          <w:color w:val="222222"/>
        </w:rPr>
        <w:t>O direito da criança e do adolescente se fundamenta no melhor interesse do menor com o objetivo de alcançar a proteção deste sujeito de direitos quando se encontra em risco de violação. Assim, conforme descreve o princípio da prioridade absoluta n</w:t>
      </w:r>
      <w:r>
        <w:rPr>
          <w:color w:val="3A382C"/>
          <w:shd w:val="clear" w:color="auto" w:fill="FFFFFF"/>
        </w:rPr>
        <w:t>o art. 4º da Lei 8.069/90 temos que</w:t>
      </w:r>
      <w:r>
        <w:rPr>
          <w:rStyle w:val="apple-converted-space"/>
          <w:color w:val="3A382C"/>
          <w:shd w:val="clear" w:color="auto" w:fill="FFFFFF"/>
        </w:rPr>
        <w:t> </w:t>
      </w:r>
      <w:r>
        <w:rPr>
          <w:iCs/>
          <w:color w:val="3A382C"/>
          <w:shd w:val="clear" w:color="auto" w:fill="FFFFFF"/>
        </w:rPr>
        <w:t>é dever da família, comunidade, da sociedade em geral e do Poder Público assegurar</w:t>
      </w:r>
      <w:r>
        <w:rPr>
          <w:iCs/>
          <w:color w:val="000000" w:themeColor="text1"/>
          <w:shd w:val="clear" w:color="auto" w:fill="FFFFFF"/>
        </w:rPr>
        <w:t>,</w:t>
      </w:r>
      <w:r>
        <w:rPr>
          <w:rStyle w:val="apple-converted-space"/>
          <w:iCs/>
          <w:color w:val="000000" w:themeColor="text1"/>
          <w:shd w:val="clear" w:color="auto" w:fill="FFFFFF"/>
        </w:rPr>
        <w:t> </w:t>
      </w:r>
      <w:r>
        <w:rPr>
          <w:bCs/>
          <w:iCs/>
          <w:color w:val="000000" w:themeColor="text1"/>
          <w:shd w:val="clear" w:color="auto" w:fill="FFFFFF"/>
        </w:rPr>
        <w:t>com absoluta prioridade</w:t>
      </w:r>
      <w:r>
        <w:rPr>
          <w:iCs/>
          <w:color w:val="000000" w:themeColor="text1"/>
          <w:shd w:val="clear" w:color="auto" w:fill="FFFFFF"/>
        </w:rPr>
        <w:t>, a</w:t>
      </w:r>
      <w:r>
        <w:rPr>
          <w:rStyle w:val="apple-converted-space"/>
          <w:iCs/>
          <w:color w:val="000000" w:themeColor="text1"/>
          <w:shd w:val="clear" w:color="auto" w:fill="FFFFFF"/>
        </w:rPr>
        <w:t> </w:t>
      </w:r>
      <w:r>
        <w:rPr>
          <w:bCs/>
          <w:iCs/>
          <w:color w:val="000000" w:themeColor="text1"/>
          <w:shd w:val="clear" w:color="auto" w:fill="FFFFFF"/>
        </w:rPr>
        <w:t>efetivação</w:t>
      </w:r>
      <w:r>
        <w:rPr>
          <w:rStyle w:val="apple-converted-space"/>
          <w:iCs/>
          <w:color w:val="000000" w:themeColor="text1"/>
          <w:shd w:val="clear" w:color="auto" w:fill="FFFFFF"/>
        </w:rPr>
        <w:t> </w:t>
      </w:r>
      <w:r>
        <w:rPr>
          <w:iCs/>
          <w:color w:val="000000" w:themeColor="text1"/>
          <w:shd w:val="clear" w:color="auto" w:fill="FFFFFF"/>
        </w:rPr>
        <w:t>dos direitos referentes à vida, à saúde, à alimentação, à educação, ao esporte, ao lazer, à profissionalização, à cultura, à dignidade, ao respeito, à liberdade e à convivência familiar e comunitária.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Nesse sentido, </w:t>
      </w:r>
      <w:proofErr w:type="gramStart"/>
      <w:r>
        <w:rPr>
          <w:color w:val="000000" w:themeColor="text1"/>
        </w:rPr>
        <w:t>pontua  Daniel</w:t>
      </w:r>
      <w:proofErr w:type="gramEnd"/>
      <w:r>
        <w:rPr>
          <w:color w:val="000000" w:themeColor="text1"/>
        </w:rPr>
        <w:t xml:space="preserve"> Hugo d´</w:t>
      </w:r>
      <w:proofErr w:type="spellStart"/>
      <w:r>
        <w:rPr>
          <w:color w:val="000000" w:themeColor="text1"/>
        </w:rPr>
        <w:t>Antonio</w:t>
      </w:r>
      <w:proofErr w:type="spellEnd"/>
      <w:r>
        <w:rPr>
          <w:color w:val="000000" w:themeColor="text1"/>
        </w:rPr>
        <w:t xml:space="preserve"> ( 2009, p.08)  que " uma política integral sobre a menoridade deve necessariamente, harmonizar-se com a política familiar, já que a família constitui elemento básico formativo, onde se deve preparar a personalidade do menor. É por meio do trabalho conjunto entre o eixo familiar </w:t>
      </w:r>
      <w:proofErr w:type="gramStart"/>
      <w:r>
        <w:rPr>
          <w:color w:val="000000" w:themeColor="text1"/>
        </w:rPr>
        <w:t>e  direcionamento</w:t>
      </w:r>
      <w:proofErr w:type="gramEnd"/>
      <w:r>
        <w:rPr>
          <w:color w:val="000000" w:themeColor="text1"/>
        </w:rPr>
        <w:t xml:space="preserve"> jurídico da proteção integral que será concretizado o melhor interesse do menor. </w:t>
      </w:r>
    </w:p>
    <w:p>
      <w:pPr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Convém aferir a conduta praticada pelo Conselho Tutelar, a qual foi pautada na proteção à criança que </w:t>
      </w:r>
      <w:proofErr w:type="gramStart"/>
      <w:r>
        <w:rPr>
          <w:color w:val="000000" w:themeColor="text1"/>
        </w:rPr>
        <w:t>encontrava-se</w:t>
      </w:r>
      <w:proofErr w:type="gramEnd"/>
      <w:r>
        <w:rPr>
          <w:color w:val="000000" w:themeColor="text1"/>
        </w:rPr>
        <w:t xml:space="preserve"> em situação de risco. O Conselho Tutelar possui como função " zelar pelo cumprimento dos direitos da criança e adolescente", de acordo com o art.131 do ECA. Deverá portanto, cumprir a legislação, aplicando medidas de proteção quando seus direitos forem ameaçados ou violados "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color w:val="000000" w:themeColor="text1"/>
        </w:rPr>
        <w:t xml:space="preserve">por falta, omissão ou abuso dos pais ou responsável ", conforme disposto no art. </w:t>
      </w:r>
      <w:proofErr w:type="gramStart"/>
      <w:r>
        <w:rPr>
          <w:color w:val="000000" w:themeColor="text1"/>
        </w:rPr>
        <w:t>98,I</w:t>
      </w:r>
      <w:proofErr w:type="gramEnd"/>
      <w:r>
        <w:rPr>
          <w:color w:val="000000" w:themeColor="text1"/>
        </w:rPr>
        <w:t xml:space="preserve"> do ECA</w:t>
      </w:r>
      <w:r>
        <w:rPr>
          <w:rFonts w:ascii="Arial" w:hAnsi="Arial" w:cs="Arial"/>
          <w:color w:val="000000" w:themeColor="text1"/>
        </w:rPr>
        <w:t>.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 </w:t>
      </w:r>
      <w:proofErr w:type="spellStart"/>
      <w:r>
        <w:rPr>
          <w:color w:val="000000" w:themeColor="text1"/>
        </w:rPr>
        <w:t>abrigamento</w:t>
      </w:r>
      <w:proofErr w:type="spellEnd"/>
      <w:r>
        <w:rPr>
          <w:color w:val="000000" w:themeColor="text1"/>
        </w:rPr>
        <w:t xml:space="preserve"> das crianças não deve ser mantido, em defesa da prevalência familiar. De acordo com a Constituição Federal, no art.226, a família é a base da sociedade e possui total proteção do Estado, defendendo assim que o núcleo familiar é o ambiente no qual desenvolve-se as relações pelo afeto, permitindo o desenvolvimento harmonioso das pessoas que nele estão incluídas.     </w:t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Desse modo, dispõe no art.101 que a autoridade competente   poderá encaminhar as </w:t>
      </w:r>
      <w:proofErr w:type="gramStart"/>
      <w:r>
        <w:rPr>
          <w:color w:val="000000" w:themeColor="text1"/>
        </w:rPr>
        <w:t>crianças  aos</w:t>
      </w:r>
      <w:proofErr w:type="gramEnd"/>
      <w:r>
        <w:rPr>
          <w:color w:val="000000" w:themeColor="text1"/>
        </w:rPr>
        <w:t xml:space="preserve"> pais ou responsável, mediante termo de responsabilidade e realizará a orientação, apoio e acompanhamento temporários. Desse modo, após a inserção em acolhimento familiar, que caracteriza por ser uma medida excepcional e transitória, haverá a reintegração familiar a partir da elaboração do plano individual, no </w:t>
      </w:r>
      <w:r>
        <w:rPr>
          <w:color w:val="000000" w:themeColor="text1"/>
        </w:rPr>
        <w:lastRenderedPageBreak/>
        <w:t xml:space="preserve">qual deverá constar </w:t>
      </w:r>
      <w:proofErr w:type="gramStart"/>
      <w:r>
        <w:rPr>
          <w:color w:val="000000" w:themeColor="text1"/>
        </w:rPr>
        <w:t>o  "</w:t>
      </w:r>
      <w:proofErr w:type="gramEnd"/>
      <w:r>
        <w:rPr>
          <w:color w:val="000000" w:themeColor="text1"/>
        </w:rPr>
        <w:t xml:space="preserve">compromisso assumido pelos pais ou responsáveis, os resultados da avaliação interdisciplinar e </w:t>
      </w:r>
      <w:r>
        <w:rPr>
          <w:color w:val="000000" w:themeColor="text1"/>
          <w:shd w:val="clear" w:color="auto" w:fill="FFFFFF"/>
        </w:rPr>
        <w:t xml:space="preserve">a previsão das atividades a serem desenvolvidas com a criança ou com o adolescente acolhido e seus pais ou responsável", de acordo com o </w:t>
      </w:r>
      <w:r>
        <w:rPr>
          <w:color w:val="000000" w:themeColor="text1"/>
          <w:shd w:val="clear" w:color="auto" w:fill="FFFFFF"/>
          <w:vertAlign w:val="subscript"/>
        </w:rPr>
        <w:t xml:space="preserve">§ </w:t>
      </w:r>
      <w:r>
        <w:rPr>
          <w:color w:val="000000" w:themeColor="text1"/>
        </w:rPr>
        <w:t>6º, art.101 do ECA.</w:t>
      </w:r>
    </w:p>
    <w:p>
      <w:pPr>
        <w:shd w:val="clear" w:color="auto" w:fill="FFFFFF"/>
        <w:jc w:val="both"/>
      </w:pPr>
      <w:r>
        <w:rPr>
          <w:color w:val="000000" w:themeColor="text1"/>
        </w:rPr>
        <w:t>Segundo o art. 101 poderá ser aplicada às crianças as medidas de: encaminhamento aos pais ou responsável, mediante termo de responsabilidade; e inclusão em serviços e programas oficiais ou comunitários de proteção, apoio e promoção da família, da criança e do adolescente.</w:t>
      </w: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</w:pPr>
    </w:p>
    <w:p>
      <w:pPr>
        <w:ind w:firstLine="0"/>
        <w:jc w:val="center"/>
      </w:pPr>
      <w:r>
        <w:rPr>
          <w:b/>
        </w:rPr>
        <w:lastRenderedPageBreak/>
        <w:t>REFERÊNCIAS BIBLIOGRÁFICAS</w:t>
      </w:r>
    </w:p>
    <w:p>
      <w:pPr>
        <w:ind w:firstLine="0"/>
        <w:jc w:val="both"/>
      </w:pPr>
    </w:p>
    <w:p>
      <w:pPr>
        <w:ind w:firstLine="0"/>
        <w:jc w:val="both"/>
      </w:pPr>
      <w:r>
        <w:t xml:space="preserve">CONSELHO TUTELAR SANTO ANTONIO DO MONTE – MINAS GERAIS: Conhecendo: Conselho Tutelar e dos Direitos da Criança e do Adolescente. Mandato, 2011. </w:t>
      </w:r>
    </w:p>
    <w:p>
      <w:pPr>
        <w:ind w:firstLine="0"/>
        <w:jc w:val="both"/>
      </w:pPr>
    </w:p>
    <w:p>
      <w:pPr>
        <w:ind w:firstLine="0"/>
        <w:jc w:val="both"/>
      </w:pPr>
      <w:r>
        <w:t xml:space="preserve">PEDERNEIRAS, Mariana Corrêa. O trabalho Infantil como causa de evasão escolar. Universidade do Vale do Itajaí – UNIVALI. São José, 2004. </w:t>
      </w:r>
    </w:p>
    <w:p>
      <w:pPr>
        <w:shd w:val="clear" w:color="auto" w:fill="FFFFFF"/>
        <w:spacing w:line="240" w:lineRule="auto"/>
        <w:ind w:firstLine="0"/>
      </w:pPr>
      <w:r>
        <w:rPr>
          <w:rFonts w:eastAsia="Times New Roman"/>
          <w:color w:val="000000"/>
          <w:lang w:eastAsia="pt-BR"/>
        </w:rPr>
        <w:t xml:space="preserve">BRASIL. </w:t>
      </w:r>
      <w:r>
        <w:rPr>
          <w:rFonts w:eastAsia="Times New Roman"/>
          <w:b/>
          <w:color w:val="000000"/>
          <w:lang w:eastAsia="pt-BR"/>
        </w:rPr>
        <w:t>Constituição Federal</w:t>
      </w:r>
      <w:r>
        <w:rPr>
          <w:rFonts w:eastAsia="Times New Roman"/>
          <w:color w:val="000000"/>
          <w:lang w:eastAsia="pt-BR"/>
        </w:rPr>
        <w:t>. Promulgada em 1988.</w:t>
      </w:r>
    </w:p>
    <w:p>
      <w:pPr>
        <w:shd w:val="clear" w:color="auto" w:fill="FFFFFF"/>
        <w:spacing w:line="240" w:lineRule="auto"/>
        <w:ind w:firstLine="0"/>
        <w:rPr>
          <w:rFonts w:eastAsia="Times New Roman"/>
          <w:color w:val="000000"/>
          <w:lang w:eastAsia="pt-BR"/>
        </w:rPr>
      </w:pPr>
    </w:p>
    <w:p>
      <w:pPr>
        <w:shd w:val="clear" w:color="auto" w:fill="FFFFFF"/>
        <w:spacing w:line="240" w:lineRule="auto"/>
        <w:ind w:firstLine="0"/>
      </w:pPr>
      <w:r>
        <w:t xml:space="preserve">BRASIL. Estatuto da criança e do adolescente: Lei federal nº 8069, de 13 de julho de 1990. Rio de Janeiro: Imprensa Oficial, 2002. </w:t>
      </w:r>
      <w:r>
        <w:rPr>
          <w:b/>
          <w:color w:val="3A382C"/>
        </w:rPr>
        <w:t xml:space="preserve"> </w:t>
      </w:r>
    </w:p>
    <w:p>
      <w:pPr>
        <w:shd w:val="clear" w:color="auto" w:fill="FFFFFF"/>
        <w:spacing w:line="240" w:lineRule="auto"/>
        <w:ind w:firstLine="0"/>
        <w:rPr>
          <w:b/>
          <w:color w:val="3A382C"/>
        </w:rPr>
      </w:pPr>
    </w:p>
    <w:p>
      <w:pPr>
        <w:shd w:val="clear" w:color="auto" w:fill="FFFFFF"/>
        <w:spacing w:line="240" w:lineRule="auto"/>
        <w:ind w:firstLine="0"/>
        <w:jc w:val="both"/>
      </w:pPr>
      <w:r>
        <w:rPr>
          <w:rFonts w:eastAsia="Times New Roman"/>
          <w:color w:val="000000"/>
          <w:lang w:eastAsia="pt-BR"/>
        </w:rPr>
        <w:t> D´ANTONIO, Daniel Hugo. </w:t>
      </w:r>
      <w:proofErr w:type="spellStart"/>
      <w:r>
        <w:rPr>
          <w:rFonts w:eastAsia="Times New Roman"/>
          <w:iCs/>
          <w:color w:val="000000"/>
          <w:lang w:eastAsia="pt-BR"/>
        </w:rPr>
        <w:t>Derecho</w:t>
      </w:r>
      <w:proofErr w:type="spellEnd"/>
      <w:r>
        <w:rPr>
          <w:rFonts w:eastAsia="Times New Roman"/>
          <w:iCs/>
          <w:color w:val="000000"/>
          <w:lang w:eastAsia="pt-BR"/>
        </w:rPr>
        <w:t> de menores</w:t>
      </w:r>
      <w:r>
        <w:rPr>
          <w:rFonts w:eastAsia="Times New Roman"/>
          <w:color w:val="000000"/>
          <w:lang w:eastAsia="pt-BR"/>
        </w:rPr>
        <w:t>, p. 9 </w:t>
      </w:r>
      <w:r>
        <w:rPr>
          <w:rFonts w:eastAsia="Times New Roman"/>
          <w:iCs/>
          <w:color w:val="000000"/>
          <w:lang w:eastAsia="pt-BR"/>
        </w:rPr>
        <w:t>APUD </w:t>
      </w:r>
      <w:r>
        <w:rPr>
          <w:rFonts w:eastAsia="Times New Roman"/>
          <w:color w:val="000000"/>
          <w:lang w:eastAsia="pt-BR"/>
        </w:rPr>
        <w:t>ELIAS, Roberto João. Comentários ao Estatuto da Criança e do Adolescente. Editora Saraiva, 2009, p. 8.</w:t>
      </w:r>
    </w:p>
    <w:sectPr>
      <w:footerReference w:type="default" r:id="rId8"/>
      <w:pgSz w:w="11906" w:h="16838"/>
      <w:pgMar w:top="1417" w:right="1701" w:bottom="1417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denotaderodap"/>
        <w:ind w:firstLine="0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Aluna do 8° período noturno do curso de Direito, da UNDB.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5BD"/>
    <w:multiLevelType w:val="multilevel"/>
    <w:tmpl w:val="88AA4BA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E0BAE"/>
    <w:multiLevelType w:val="multilevel"/>
    <w:tmpl w:val="88C2F7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D602948"/>
    <w:multiLevelType w:val="multilevel"/>
    <w:tmpl w:val="E7949A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D774D5"/>
    <w:multiLevelType w:val="multilevel"/>
    <w:tmpl w:val="E60271B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C06556"/>
    <w:multiLevelType w:val="multilevel"/>
    <w:tmpl w:val="CBAC26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0A01DC8"/>
    <w:multiLevelType w:val="multilevel"/>
    <w:tmpl w:val="83A60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B3343A"/>
    <w:multiLevelType w:val="multilevel"/>
    <w:tmpl w:val="A0FC6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ACEE8-0658-4B40-AED6-CADBAEB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1134"/>
    </w:pPr>
    <w:rPr>
      <w:rFonts w:ascii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Refdenotaderodap4">
    <w:name w:val="Ref. de nota de rodapé4"/>
    <w:qFormat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highlightbrs">
    <w:name w:val="highlightbrs"/>
    <w:basedOn w:val="Fontepargpadro"/>
    <w:qFormat/>
  </w:style>
  <w:style w:type="character" w:customStyle="1" w:styleId="Pr-formataoHTMLChar">
    <w:name w:val="Pré-formatação HTML Char"/>
    <w:basedOn w:val="Fontepargpadro"/>
    <w:uiPriority w:val="99"/>
    <w:qFormat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styleId="nfase">
    <w:name w:val="Emphasis"/>
    <w:qFormat/>
    <w:rPr>
      <w:i/>
      <w:iCs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  <w:b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link w:val="TextodenotaderodapChar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line="240" w:lineRule="auto"/>
    </w:pPr>
  </w:style>
  <w:style w:type="paragraph" w:styleId="Pr-formataoHTML">
    <w:name w:val="HTML Preformatted"/>
    <w:basedOn w:val="Normal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Arial" w:eastAsia="Calibri" w:hAnsi="Arial"/>
      <w:color w:val="000000"/>
      <w:sz w:val="24"/>
    </w:r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1684-FE1B-4EAA-A87E-609DCB2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001/2010 – ADE/SIPIA-CT/AL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001/2010 – ADE/SIPIA-CT/AL</dc:title>
  <dc:subject/>
  <dc:creator>.</dc:creator>
  <dc:description/>
  <cp:lastModifiedBy>LARISSA DE JESUS LIMA</cp:lastModifiedBy>
  <cp:revision>3</cp:revision>
  <cp:lastPrinted>2016-10-14T18:28:00Z</cp:lastPrinted>
  <dcterms:created xsi:type="dcterms:W3CDTF">2018-06-19T15:42:00Z</dcterms:created>
  <dcterms:modified xsi:type="dcterms:W3CDTF">2018-06-19T15:44:00Z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