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08" w:rsidRDefault="00105F9A" w:rsidP="00E2663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PAPER FINAL</w:t>
      </w:r>
    </w:p>
    <w:p w:rsidR="00E26639" w:rsidRPr="00E26639" w:rsidRDefault="00E26639" w:rsidP="00E26639">
      <w:pPr>
        <w:spacing w:after="0" w:line="360" w:lineRule="auto"/>
        <w:jc w:val="center"/>
        <w:rPr>
          <w:rFonts w:ascii="Times New Roman" w:eastAsia="Times New Roman" w:hAnsi="Times New Roman" w:cs="Times New Roman"/>
          <w:b/>
          <w:sz w:val="24"/>
        </w:rPr>
      </w:pPr>
    </w:p>
    <w:p w:rsidR="00AC5CDB" w:rsidRDefault="00FF2908" w:rsidP="00DF0CA7">
      <w:pPr>
        <w:spacing w:after="0" w:line="360" w:lineRule="auto"/>
        <w:jc w:val="center"/>
        <w:rPr>
          <w:rFonts w:ascii="Times New Roman" w:eastAsia="Times New Roman" w:hAnsi="Times New Roman" w:cs="Times New Roman"/>
          <w:sz w:val="24"/>
        </w:rPr>
      </w:pPr>
      <w:r w:rsidRPr="00105F9A">
        <w:rPr>
          <w:rFonts w:ascii="Times New Roman" w:eastAsia="Times New Roman" w:hAnsi="Times New Roman" w:cs="Times New Roman"/>
          <w:b/>
          <w:sz w:val="24"/>
        </w:rPr>
        <w:t>A Constitucionalidade e aplicabilidade da Lei Maria da Penha nas relações homoafetivas.</w:t>
      </w:r>
      <w:r w:rsidR="00AC5CDB" w:rsidRPr="00277904">
        <w:rPr>
          <w:rStyle w:val="Refdenotaderodap"/>
          <w:rFonts w:ascii="Times New Roman" w:hAnsi="Times New Roman" w:cs="Times New Roman"/>
          <w:color w:val="000000" w:themeColor="text1"/>
          <w:sz w:val="24"/>
          <w:szCs w:val="24"/>
        </w:rPr>
        <w:footnoteReference w:id="1"/>
      </w:r>
    </w:p>
    <w:p w:rsidR="00FF2908" w:rsidRPr="00FF2908" w:rsidRDefault="00FF2908" w:rsidP="00DF0CA7">
      <w:pPr>
        <w:tabs>
          <w:tab w:val="left" w:pos="7575"/>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AC5CDB" w:rsidRPr="00277904" w:rsidRDefault="00FF2908" w:rsidP="00FF2908">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Maria Clara P. C. Ferreira; Maria Laura A. Bonfim</w:t>
      </w:r>
      <w:r w:rsidR="00AC5CDB" w:rsidRPr="00277904">
        <w:rPr>
          <w:rFonts w:ascii="Times New Roman" w:hAnsi="Times New Roman" w:cs="Times New Roman"/>
          <w:color w:val="000000" w:themeColor="text1"/>
          <w:sz w:val="24"/>
          <w:szCs w:val="24"/>
        </w:rPr>
        <w:t>²</w:t>
      </w:r>
    </w:p>
    <w:p w:rsidR="00AC5CDB" w:rsidRDefault="00105F9A" w:rsidP="00FF2908">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FF2908">
        <w:rPr>
          <w:rFonts w:ascii="Times New Roman" w:hAnsi="Times New Roman" w:cs="Times New Roman"/>
          <w:color w:val="000000" w:themeColor="text1"/>
          <w:sz w:val="24"/>
          <w:szCs w:val="24"/>
        </w:rPr>
        <w:t>ua</w:t>
      </w:r>
      <w:r>
        <w:rPr>
          <w:rFonts w:ascii="Times New Roman" w:hAnsi="Times New Roman" w:cs="Times New Roman"/>
          <w:color w:val="000000" w:themeColor="text1"/>
          <w:sz w:val="24"/>
          <w:szCs w:val="24"/>
        </w:rPr>
        <w:t>n</w:t>
      </w:r>
      <w:r w:rsidR="00FF2908">
        <w:rPr>
          <w:rFonts w:ascii="Times New Roman" w:hAnsi="Times New Roman" w:cs="Times New Roman"/>
          <w:color w:val="000000" w:themeColor="text1"/>
          <w:sz w:val="24"/>
          <w:szCs w:val="24"/>
        </w:rPr>
        <w:t>ny Soeiro</w:t>
      </w:r>
      <w:r w:rsidR="00AC5CDB" w:rsidRPr="00277904">
        <w:rPr>
          <w:rFonts w:ascii="Times New Roman" w:hAnsi="Times New Roman" w:cs="Times New Roman"/>
          <w:color w:val="000000" w:themeColor="text1"/>
          <w:sz w:val="24"/>
          <w:szCs w:val="24"/>
        </w:rPr>
        <w:t>³</w:t>
      </w:r>
    </w:p>
    <w:p w:rsidR="00FF2908" w:rsidRDefault="00FF2908" w:rsidP="00FF2908">
      <w:pPr>
        <w:spacing w:after="0" w:line="240" w:lineRule="auto"/>
        <w:jc w:val="right"/>
        <w:rPr>
          <w:rFonts w:ascii="Times New Roman" w:hAnsi="Times New Roman" w:cs="Times New Roman"/>
          <w:color w:val="000000" w:themeColor="text1"/>
          <w:sz w:val="24"/>
          <w:szCs w:val="24"/>
        </w:rPr>
      </w:pPr>
    </w:p>
    <w:p w:rsidR="00105F9A" w:rsidRDefault="00105F9A" w:rsidP="00FF2908">
      <w:pPr>
        <w:spacing w:after="0" w:line="240" w:lineRule="auto"/>
        <w:jc w:val="right"/>
        <w:rPr>
          <w:rFonts w:ascii="Times New Roman" w:hAnsi="Times New Roman" w:cs="Times New Roman"/>
          <w:color w:val="000000" w:themeColor="text1"/>
          <w:sz w:val="24"/>
          <w:szCs w:val="24"/>
        </w:rPr>
      </w:pPr>
    </w:p>
    <w:p w:rsidR="00FF2908" w:rsidRDefault="00FF2908" w:rsidP="00FF2908">
      <w:pPr>
        <w:spacing w:after="0" w:line="360" w:lineRule="auto"/>
        <w:jc w:val="center"/>
        <w:rPr>
          <w:rFonts w:ascii="Times New Roman" w:hAnsi="Times New Roman" w:cs="Times New Roman"/>
          <w:b/>
          <w:color w:val="000000" w:themeColor="text1"/>
          <w:sz w:val="24"/>
          <w:szCs w:val="24"/>
        </w:rPr>
      </w:pPr>
      <w:bookmarkStart w:id="0" w:name="_GoBack"/>
      <w:r>
        <w:rPr>
          <w:rFonts w:ascii="Times New Roman" w:hAnsi="Times New Roman" w:cs="Times New Roman"/>
          <w:b/>
          <w:color w:val="000000" w:themeColor="text1"/>
          <w:sz w:val="24"/>
          <w:szCs w:val="24"/>
        </w:rPr>
        <w:t>RESUMO</w:t>
      </w:r>
    </w:p>
    <w:p w:rsidR="00FF2908" w:rsidRDefault="00FF2908" w:rsidP="00FF2908">
      <w:pPr>
        <w:spacing w:after="0" w:line="360" w:lineRule="auto"/>
        <w:jc w:val="center"/>
        <w:rPr>
          <w:rFonts w:ascii="Times New Roman" w:hAnsi="Times New Roman" w:cs="Times New Roman"/>
          <w:b/>
          <w:color w:val="000000" w:themeColor="text1"/>
          <w:sz w:val="24"/>
          <w:szCs w:val="24"/>
        </w:rPr>
      </w:pPr>
    </w:p>
    <w:p w:rsidR="00FF2908" w:rsidRDefault="00FF2908" w:rsidP="00FF2908">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O conceito de Família sofreu inúmeras mudanças com o passar dos anos. Antigamente, o matrimonio era a única forma de se constituir uma família, por ter um caráter indissolúvel, as entidades familiares eram severas e sem vínculo afetivo, em linhas gerais, só se constituia familia através do casamento entre pessoas de sexo oposto com a finalidade de reprodução, concentração de bens e sem muito interesse na afetividade, porém, tal pensamento encontra-se ultrapassado na contemporaneidade, os conceitos e costumes encontram-se alargados, e essa exclusividade no conceito de família foi sendo afastada à medida em que outros núcleos familiares foram surgindo e sendo reconhecidos constitucionalmente. Temos hoje família formada não só por pessoas de sexo oposto, mas também por indivíduos do mesmo sexo e diante disso surgiu um impasse que é assegurar os mesmos direitos existentes para as relações heteroafetivas, como por exemplo, aplicação da Lei Maria da Penha, as relações homoafetivas</w:t>
      </w:r>
      <w:r w:rsidR="00DF0CA7">
        <w:rPr>
          <w:rFonts w:ascii="Times New Roman" w:eastAsia="Times New Roman" w:hAnsi="Times New Roman" w:cs="Times New Roman"/>
          <w:sz w:val="24"/>
        </w:rPr>
        <w:t xml:space="preserve"> entre homens</w:t>
      </w:r>
      <w:r>
        <w:rPr>
          <w:rFonts w:ascii="Times New Roman" w:eastAsia="Times New Roman" w:hAnsi="Times New Roman" w:cs="Times New Roman"/>
          <w:sz w:val="24"/>
        </w:rPr>
        <w:t xml:space="preserve">. Desse modo, o presente trabalho se propõe a sopesar as dificuldades, no que tange o direito à proteção, enfrentadas pelos homoafetivos no ambito heterossexista. </w:t>
      </w:r>
    </w:p>
    <w:p w:rsidR="00FF2908" w:rsidRDefault="00FF2908" w:rsidP="00FF2908">
      <w:pPr>
        <w:spacing w:after="0" w:line="360" w:lineRule="auto"/>
        <w:jc w:val="both"/>
        <w:rPr>
          <w:rFonts w:ascii="Times New Roman" w:eastAsia="Times New Roman" w:hAnsi="Times New Roman" w:cs="Times New Roman"/>
          <w:sz w:val="24"/>
        </w:rPr>
      </w:pPr>
      <w:r w:rsidRPr="00FF2908">
        <w:rPr>
          <w:rFonts w:ascii="Times New Roman" w:eastAsia="Times New Roman" w:hAnsi="Times New Roman" w:cs="Times New Roman"/>
          <w:b/>
          <w:sz w:val="24"/>
        </w:rPr>
        <w:t>P</w:t>
      </w:r>
      <w:r>
        <w:rPr>
          <w:rFonts w:ascii="Times New Roman" w:eastAsia="Times New Roman" w:hAnsi="Times New Roman" w:cs="Times New Roman"/>
          <w:b/>
          <w:sz w:val="24"/>
        </w:rPr>
        <w:t>a</w:t>
      </w:r>
      <w:r w:rsidRPr="00FF2908">
        <w:rPr>
          <w:rFonts w:ascii="Times New Roman" w:eastAsia="Times New Roman" w:hAnsi="Times New Roman" w:cs="Times New Roman"/>
          <w:b/>
          <w:sz w:val="24"/>
        </w:rPr>
        <w:t>lavras-chave: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Família. Lei Marial da Penha. Núcleos Familiares. Relações Homoafetivas. </w:t>
      </w:r>
    </w:p>
    <w:p w:rsidR="00FF2908" w:rsidRDefault="00FF2908" w:rsidP="00FF2908">
      <w:pPr>
        <w:spacing w:after="0" w:line="360" w:lineRule="auto"/>
        <w:jc w:val="both"/>
        <w:rPr>
          <w:rFonts w:ascii="Times New Roman" w:eastAsia="Times New Roman" w:hAnsi="Times New Roman" w:cs="Times New Roman"/>
          <w:sz w:val="24"/>
        </w:rPr>
      </w:pPr>
    </w:p>
    <w:p w:rsidR="00FF2908" w:rsidRDefault="00FF2908" w:rsidP="00FF290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INTRODUÇÃO</w:t>
      </w:r>
    </w:p>
    <w:p w:rsidR="00105F9A" w:rsidRDefault="00105F9A" w:rsidP="00105F9A">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Na atual conjuntura social, tem-se uma pluralidade de conceitos sobre o que é família e como ela se apresenta. No passado, as famílias que se apresentavam, só eram consideradas válidas se seguissem um padrão legal, se fossem casados pelos laços matrimoniais, se ambos os cônjuges fossem de sexos opostos, havia também grande </w:t>
      </w:r>
      <w:r>
        <w:rPr>
          <w:rFonts w:ascii="Times New Roman" w:eastAsia="Times New Roman" w:hAnsi="Times New Roman" w:cs="Times New Roman"/>
          <w:sz w:val="24"/>
        </w:rPr>
        <w:lastRenderedPageBreak/>
        <w:t>hierarquia entre os sexos, e possuía um caráter patriarcal. Porém, tal conceito alterou-se e os relacionamentos homossexuais, considerados uniões homoafetivas, aos poucos foram se tornando visíveis.</w:t>
      </w:r>
    </w:p>
    <w:p w:rsidR="00105F9A" w:rsidRDefault="00105F9A" w:rsidP="00105F9A">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Apesar, de não se ver ainda, leis direcionadas à essas minorias excluídas, não quer dizer que as mesmas, não sejam sujeitos de direitos. Ou seja, nada impede que estes sujeitos, diante de situações quotidianas, não possam extrair das leis, efeitos jurídicos. O julgador silente, pode e deve ser suprido pelo direito a justiça, a igualdade, aos princípios básicos constitucionais para a resolução da lide, que perpassa desse conflito entre particulares</w:t>
      </w:r>
      <w:r w:rsidR="00DF0CA7">
        <w:rPr>
          <w:rFonts w:ascii="Times New Roman" w:eastAsia="Times New Roman" w:hAnsi="Times New Roman" w:cs="Times New Roman"/>
          <w:sz w:val="24"/>
        </w:rPr>
        <w:t>.</w:t>
      </w:r>
    </w:p>
    <w:p w:rsidR="00DF0CA7" w:rsidRDefault="00DF0CA7" w:rsidP="00DF0CA7">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Tendo em vista a dificuldade de reconhecimento e proteção das minorias no Brasil, torna-se necessário expor tal problemática, contribuindo para a compreensão dessa questão no meio social. O estudo sobre o tema proposto é de profunda relevância intelectual e prática visto que não é pacífico o entendimento doutrinário e jurisprudencial acerca dessa matéria e há uma carência de estudos específicos que abrangem tais divergências no meio acadêmico. </w:t>
      </w:r>
    </w:p>
    <w:bookmarkEnd w:id="0"/>
    <w:p w:rsidR="00FF2908" w:rsidRDefault="00FF2908" w:rsidP="00FF2908">
      <w:pPr>
        <w:spacing w:after="0" w:line="360" w:lineRule="auto"/>
        <w:jc w:val="both"/>
        <w:rPr>
          <w:rFonts w:ascii="Times New Roman" w:eastAsia="Times New Roman" w:hAnsi="Times New Roman" w:cs="Times New Roman"/>
          <w:b/>
          <w:sz w:val="24"/>
        </w:rPr>
      </w:pPr>
    </w:p>
    <w:p w:rsidR="00FF2908" w:rsidRDefault="00FF2908" w:rsidP="00FF290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FUNDAMENTAÇÃO TEÓRICA</w:t>
      </w:r>
    </w:p>
    <w:p w:rsidR="00CC293F" w:rsidRDefault="00CC293F" w:rsidP="00FF2908">
      <w:pPr>
        <w:spacing w:after="0" w:line="360" w:lineRule="auto"/>
        <w:jc w:val="both"/>
        <w:rPr>
          <w:rFonts w:ascii="Times New Roman" w:eastAsia="Times New Roman" w:hAnsi="Times New Roman" w:cs="Times New Roman"/>
          <w:b/>
          <w:sz w:val="24"/>
        </w:rPr>
      </w:pPr>
    </w:p>
    <w:p w:rsidR="00FF2908" w:rsidRDefault="00FF2908" w:rsidP="00FF290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 O conceito de Família</w:t>
      </w:r>
      <w:r w:rsidR="00351C69">
        <w:rPr>
          <w:rFonts w:ascii="Times New Roman" w:eastAsia="Times New Roman" w:hAnsi="Times New Roman" w:cs="Times New Roman"/>
          <w:b/>
          <w:sz w:val="24"/>
        </w:rPr>
        <w:t xml:space="preserve"> </w:t>
      </w:r>
      <w:r w:rsidR="00DF0CA7">
        <w:rPr>
          <w:rFonts w:ascii="Times New Roman" w:eastAsia="Times New Roman" w:hAnsi="Times New Roman" w:cs="Times New Roman"/>
          <w:b/>
          <w:sz w:val="24"/>
        </w:rPr>
        <w:t xml:space="preserve">e suas adaptações </w:t>
      </w:r>
      <w:r w:rsidR="00351C69">
        <w:rPr>
          <w:rFonts w:ascii="Times New Roman" w:eastAsia="Times New Roman" w:hAnsi="Times New Roman" w:cs="Times New Roman"/>
          <w:b/>
          <w:sz w:val="24"/>
        </w:rPr>
        <w:t>ao longo dos anos</w:t>
      </w:r>
      <w:r>
        <w:rPr>
          <w:rFonts w:ascii="Times New Roman" w:eastAsia="Times New Roman" w:hAnsi="Times New Roman" w:cs="Times New Roman"/>
          <w:b/>
          <w:sz w:val="24"/>
        </w:rPr>
        <w:t>.</w:t>
      </w:r>
    </w:p>
    <w:p w:rsidR="00FF2908" w:rsidRDefault="00FF2908" w:rsidP="00FF2908">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 xml:space="preserve">O instituto Família sofreu mudanças radicais com o passar dos anos, a ideia que se tem atualmente de família é completamente dissociada da que se tinha tempos atrás, haja vista que estamos em constante desenvolvimento social e jurídico sobre o tema. </w:t>
      </w:r>
    </w:p>
    <w:p w:rsidR="00FF2908" w:rsidRDefault="00351C69" w:rsidP="00351C69">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As famílias que se apresentavam, só eram consideradas válidas se seguissem um padrão legal, se fossem casados pelos laços matrimoniais, se ambos os cônjuges fossem de sexos opostos, havia também grande hierarquia entre os sexos, e possuía um caráter patriarcal, ou seja, o</w:t>
      </w:r>
      <w:r w:rsidR="00FF2908">
        <w:rPr>
          <w:rFonts w:ascii="Times New Roman" w:eastAsia="Times New Roman" w:hAnsi="Times New Roman" w:cs="Times New Roman"/>
          <w:sz w:val="24"/>
        </w:rPr>
        <w:t xml:space="preserve"> Estado ente</w:t>
      </w:r>
      <w:r>
        <w:rPr>
          <w:rFonts w:ascii="Times New Roman" w:eastAsia="Times New Roman" w:hAnsi="Times New Roman" w:cs="Times New Roman"/>
          <w:sz w:val="24"/>
        </w:rPr>
        <w:t>n</w:t>
      </w:r>
      <w:r w:rsidR="00FF2908">
        <w:rPr>
          <w:rFonts w:ascii="Times New Roman" w:eastAsia="Times New Roman" w:hAnsi="Times New Roman" w:cs="Times New Roman"/>
          <w:sz w:val="24"/>
        </w:rPr>
        <w:t>dia, que a família apenas surgia a partir do casamento entre homem e mulher, não havia o que se falar em nenhum outro meio de constituição familiar, o conjunto de pessoas unidos sem tal convenção não eram considerados família e, em razão disso, não mereciam a proteção estatal. No Código de 1916, a família era fundada sob o aspecto matrimonializado, patriarcal, hierarquizado,</w:t>
      </w:r>
      <w:r>
        <w:rPr>
          <w:rFonts w:ascii="Times New Roman" w:eastAsia="Times New Roman" w:hAnsi="Times New Roman" w:cs="Times New Roman"/>
          <w:sz w:val="24"/>
        </w:rPr>
        <w:t xml:space="preserve"> heteroparental, biológico, com</w:t>
      </w:r>
      <w:r w:rsidR="00FF2908">
        <w:rPr>
          <w:rFonts w:ascii="Times New Roman" w:eastAsia="Times New Roman" w:hAnsi="Times New Roman" w:cs="Times New Roman"/>
          <w:sz w:val="24"/>
        </w:rPr>
        <w:t xml:space="preserve"> função de produção e reprodução e caráter institucional. (ÁVILA, 2005)</w:t>
      </w:r>
    </w:p>
    <w:p w:rsidR="00351C69" w:rsidRDefault="00351C69" w:rsidP="00DF0CA7">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 xml:space="preserve">Com o passar dos anos e das evoluções sofridas pela sociedade, o modelo familiar, sob forte influencia dos ideais de democracia, igualdade e dignidade da pessoa humana, mudou completamente. Com o advento da Constituição Federal de 1988, a família </w:t>
      </w:r>
      <w:r>
        <w:rPr>
          <w:rFonts w:ascii="Times New Roman" w:eastAsia="Times New Roman" w:hAnsi="Times New Roman" w:cs="Times New Roman"/>
          <w:sz w:val="24"/>
        </w:rPr>
        <w:lastRenderedPageBreak/>
        <w:t>passou a ser mais democrática, o modelo patriarcal foi superado, sendo empregado um modelo igualitário, onde todos os membros devem ter suas necessidades atendidas e a busca da felicidade de cada indivíduo passou a ser essencial no ambiente familiar, em outras palavras, a família tornou-se pluralizada, democrática, igualitária substancialmente, hétero ou homoparental, biológica ou socioafetiva, com unidade socioafetiva e caráter instrumental. (ÁVILA, 2005)</w:t>
      </w:r>
    </w:p>
    <w:p w:rsidR="00351C69" w:rsidRDefault="00351C69" w:rsidP="00351C69">
      <w:pPr>
        <w:tabs>
          <w:tab w:val="left" w:pos="1136"/>
        </w:tabs>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É possível ver o instutito Família ser resguardado pela Constituição Federal de 1988, em seu artigo 226, parágrafos 3° e 4. De acordo com o artigo 226 "A família, base da sociedade, tem especial proteção do Estado", §3° "Para efeito da proteção do Estado, é reconhecida a união estável entre o homem e a mulher como entidade familiar, devendo a lei facilitar sua conversão em casamento", §4° "Entende-se, também, como entidade familiar a comunidade formada por qualquer dos pais e seus descendentes." Porém, o ordenamento jurídico não se limitou a legitimar somente a relação entre homem e mulher como Família, ele também abarcou a união homoafetiva como sendo uma constituição de entidade familiar.</w:t>
      </w:r>
    </w:p>
    <w:p w:rsidR="004E27AA" w:rsidRDefault="00351C69" w:rsidP="00351C69">
      <w:pPr>
        <w:tabs>
          <w:tab w:val="left" w:pos="1136"/>
        </w:tabs>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 xml:space="preserve">O reconhecimento de uniões entre pessoas do mesmo sexo no Brasil como entidade familiar, por analogia à união estável, foi declarado possível pelo Supremo Tribunal Federal em 5 de maio de 2011 no julgamento conjunto da Ação Direta de Inconstitucionalidade (ADI) n.º 4277 e da Arguição de Descumprimento de Preceito Fundamental (ADPF) n.º 132. </w:t>
      </w:r>
    </w:p>
    <w:p w:rsidR="004E27AA" w:rsidRPr="004E27AA" w:rsidRDefault="004E27AA" w:rsidP="00D51973">
      <w:pPr>
        <w:tabs>
          <w:tab w:val="left" w:pos="1136"/>
        </w:tabs>
        <w:spacing w:after="0" w:line="240" w:lineRule="auto"/>
        <w:ind w:left="2268"/>
        <w:jc w:val="both"/>
        <w:rPr>
          <w:rFonts w:ascii="Times New Roman" w:hAnsi="Times New Roman" w:cs="Times New Roman"/>
          <w:sz w:val="20"/>
          <w:szCs w:val="20"/>
        </w:rPr>
      </w:pPr>
      <w:r w:rsidRPr="004E27AA">
        <w:rPr>
          <w:rFonts w:ascii="Times New Roman" w:hAnsi="Times New Roman" w:cs="Times New Roman"/>
          <w:sz w:val="20"/>
          <w:szCs w:val="20"/>
        </w:rPr>
        <w:t>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julgamento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ADPF</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132</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ocorreu</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entre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os</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dias</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4</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5</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maio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2011.</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ação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foi</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julgada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conjuntamente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com</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ADI</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4277,</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reconhecendo</w:t>
      </w:r>
      <w:r w:rsidRPr="004E27AA">
        <w:rPr>
          <w:rFonts w:ascii="Cambria Math" w:hAnsi="Cambria Math" w:cs="Cambria Math"/>
          <w:sz w:val="20"/>
          <w:szCs w:val="20"/>
        </w:rPr>
        <w:t>‐</w:t>
      </w:r>
      <w:r w:rsidRPr="004E27AA">
        <w:rPr>
          <w:rFonts w:ascii="Times New Roman" w:hAnsi="Times New Roman" w:cs="Times New Roman"/>
          <w:sz w:val="20"/>
          <w:szCs w:val="20"/>
        </w:rPr>
        <w:t>se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por</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unanimidade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constitucionalidade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da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união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estável</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entre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casais</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do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mesmo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sexo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conferindo</w:t>
      </w:r>
      <w:r w:rsidRPr="004E27AA">
        <w:rPr>
          <w:rFonts w:ascii="Cambria Math" w:hAnsi="Cambria Math" w:cs="Cambria Math"/>
          <w:sz w:val="20"/>
          <w:szCs w:val="20"/>
        </w:rPr>
        <w:t>‐</w:t>
      </w:r>
      <w:r w:rsidRPr="004E27AA">
        <w:rPr>
          <w:rFonts w:ascii="Times New Roman" w:hAnsi="Times New Roman" w:cs="Times New Roman"/>
          <w:sz w:val="20"/>
          <w:szCs w:val="20"/>
        </w:rPr>
        <w:t>se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interpretação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conforme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Constituição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Federal</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para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excluir</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qualquer</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significado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do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artigo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1.723</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Código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Civil</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que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impeça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reconhecimento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desta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união. No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julgamento,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pontuou</w:t>
      </w:r>
      <w:r w:rsidRPr="004E27AA">
        <w:rPr>
          <w:rFonts w:ascii="Cambria Math" w:hAnsi="Cambria Math" w:cs="Cambria Math"/>
          <w:sz w:val="20"/>
          <w:szCs w:val="20"/>
        </w:rPr>
        <w:t>‐</w:t>
      </w:r>
      <w:r w:rsidRPr="004E27AA">
        <w:rPr>
          <w:rFonts w:ascii="Times New Roman" w:hAnsi="Times New Roman" w:cs="Times New Roman"/>
          <w:sz w:val="20"/>
          <w:szCs w:val="20"/>
        </w:rPr>
        <w:t>se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que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sexo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da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pessoa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não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deve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ser</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usado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como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fator</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desigualação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jurídica</w:t>
      </w:r>
      <w:r>
        <w:rPr>
          <w:rFonts w:ascii="MS Mincho" w:eastAsia="MS Mincho" w:hAnsi="MS Mincho" w:cs="MS Mincho"/>
          <w:sz w:val="20"/>
          <w:szCs w:val="20"/>
        </w:rPr>
        <w:t xml:space="preserve"> </w:t>
      </w:r>
      <w:r w:rsidRPr="004E27AA">
        <w:rPr>
          <w:rFonts w:ascii="Times New Roman" w:hAnsi="Times New Roman" w:cs="Times New Roman"/>
          <w:sz w:val="20"/>
          <w:szCs w:val="20"/>
        </w:rPr>
        <w:t>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que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expressão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“família”,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utilizada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pela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Constituição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Federal,</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não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se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limita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formação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casais</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heteroafetivos,</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devendo</w:t>
      </w:r>
      <w:r w:rsidRPr="004E27AA">
        <w:rPr>
          <w:rFonts w:ascii="Cambria Math" w:hAnsi="Cambria Math" w:cs="Cambria Math"/>
          <w:sz w:val="20"/>
          <w:szCs w:val="20"/>
        </w:rPr>
        <w:t>‐</w:t>
      </w:r>
      <w:r w:rsidRPr="004E27AA">
        <w:rPr>
          <w:rFonts w:ascii="Times New Roman" w:hAnsi="Times New Roman" w:cs="Times New Roman"/>
          <w:sz w:val="20"/>
          <w:szCs w:val="20"/>
        </w:rPr>
        <w:t>se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reconhecer</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união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homoafetiva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como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família</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segundo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as</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mesmas</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regras</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e</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consequências</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da</w:t>
      </w:r>
      <w:r>
        <w:rPr>
          <w:rFonts w:ascii="MS Mincho" w:eastAsia="MS Mincho" w:hAnsi="MS Mincho" w:cs="MS Mincho"/>
          <w:sz w:val="20"/>
          <w:szCs w:val="20"/>
        </w:rPr>
        <w:t xml:space="preserve"> </w:t>
      </w:r>
      <w:r w:rsidRPr="004E27AA">
        <w:rPr>
          <w:rFonts w:ascii="Times New Roman" w:hAnsi="Times New Roman" w:cs="Times New Roman"/>
          <w:sz w:val="20"/>
          <w:szCs w:val="20"/>
        </w:rPr>
        <w:t>união</w:t>
      </w:r>
      <w:r w:rsidRPr="004E27AA">
        <w:rPr>
          <w:rFonts w:ascii="MS Mincho" w:eastAsia="MS Mincho" w:hAnsi="MS Mincho" w:cs="MS Mincho" w:hint="eastAsia"/>
          <w:sz w:val="20"/>
          <w:szCs w:val="20"/>
        </w:rPr>
        <w:t> </w:t>
      </w:r>
      <w:r w:rsidRPr="004E27AA">
        <w:rPr>
          <w:rFonts w:ascii="Times New Roman" w:hAnsi="Times New Roman" w:cs="Times New Roman"/>
          <w:sz w:val="20"/>
          <w:szCs w:val="20"/>
        </w:rPr>
        <w:t xml:space="preserve"> heteroafetiva.</w:t>
      </w:r>
      <w:r>
        <w:rPr>
          <w:rFonts w:ascii="Times New Roman" w:hAnsi="Times New Roman" w:cs="Times New Roman"/>
          <w:sz w:val="20"/>
          <w:szCs w:val="20"/>
        </w:rPr>
        <w:t xml:space="preserve"> (REL. Min. Ayres Britto)</w:t>
      </w:r>
    </w:p>
    <w:p w:rsidR="004E27AA" w:rsidRPr="004E27AA" w:rsidRDefault="004E27AA" w:rsidP="004E27AA">
      <w:pPr>
        <w:tabs>
          <w:tab w:val="left" w:pos="1136"/>
        </w:tabs>
        <w:spacing w:after="0" w:line="240" w:lineRule="auto"/>
        <w:ind w:left="2268"/>
        <w:jc w:val="both"/>
        <w:rPr>
          <w:rFonts w:ascii="Times New Roman" w:eastAsia="Times New Roman" w:hAnsi="Times New Roman" w:cs="Times New Roman"/>
          <w:sz w:val="20"/>
          <w:szCs w:val="20"/>
        </w:rPr>
      </w:pPr>
    </w:p>
    <w:p w:rsidR="00351C69" w:rsidRDefault="00351C69" w:rsidP="00351C69">
      <w:pPr>
        <w:tabs>
          <w:tab w:val="left" w:pos="1136"/>
        </w:tabs>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 xml:space="preserve">Desta forma, no Brasil, são reconhecidos às uniões estáveis homoafetivas todos os direitos conferidos às uniões estáveis entre um homem e uma mulher, ou seja, perante a lei não há distinção alguma entre um ente familiar e outro. </w:t>
      </w:r>
    </w:p>
    <w:p w:rsidR="00351C69" w:rsidRDefault="00351C69" w:rsidP="00351C69">
      <w:pPr>
        <w:tabs>
          <w:tab w:val="left" w:pos="1136"/>
        </w:tabs>
        <w:spacing w:after="0" w:line="360" w:lineRule="auto"/>
        <w:ind w:firstLine="1136"/>
        <w:jc w:val="both"/>
        <w:rPr>
          <w:rFonts w:ascii="Times New Roman" w:eastAsia="Times New Roman" w:hAnsi="Times New Roman" w:cs="Times New Roman"/>
          <w:sz w:val="24"/>
        </w:rPr>
      </w:pPr>
    </w:p>
    <w:p w:rsidR="00351C69" w:rsidRDefault="00351C69" w:rsidP="00351C69">
      <w:pPr>
        <w:tabs>
          <w:tab w:val="left" w:pos="1136"/>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2.2 Lei Maria da Penha</w:t>
      </w:r>
      <w:r w:rsidR="00CC293F">
        <w:rPr>
          <w:rFonts w:ascii="Times New Roman" w:eastAsia="Times New Roman" w:hAnsi="Times New Roman" w:cs="Times New Roman"/>
          <w:b/>
          <w:sz w:val="24"/>
        </w:rPr>
        <w:t xml:space="preserve"> e suas aplicações. </w:t>
      </w:r>
    </w:p>
    <w:p w:rsidR="00CC293F" w:rsidRDefault="00CC293F" w:rsidP="00CC293F">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 xml:space="preserve">São inúmeros os fatores que exercem influencia sobre a formação de personalidade de cada ser humano, entretanto pode-se afirmar que a Família é o maior de </w:t>
      </w:r>
      <w:r>
        <w:rPr>
          <w:rFonts w:ascii="Times New Roman" w:eastAsia="Times New Roman" w:hAnsi="Times New Roman" w:cs="Times New Roman"/>
          <w:sz w:val="24"/>
        </w:rPr>
        <w:lastRenderedPageBreak/>
        <w:t xml:space="preserve">todos eles, ou seja, entende-se que o instituto Família não é considerado, tão somente, um instituto de forma biológica mas, primeiramente, um agrupamento demarcado por características culturais e sociais gigantescas, com o objetivo de formação de personalidade de seus entes. </w:t>
      </w:r>
    </w:p>
    <w:p w:rsidR="00DF0CA7" w:rsidRPr="00DF0CA7" w:rsidRDefault="00DF0CA7" w:rsidP="00CC293F">
      <w:pPr>
        <w:spacing w:after="0" w:line="360" w:lineRule="auto"/>
        <w:ind w:firstLine="1136"/>
        <w:jc w:val="both"/>
        <w:rPr>
          <w:rFonts w:ascii="Times New Roman" w:eastAsia="Times New Roman" w:hAnsi="Times New Roman" w:cs="Times New Roman"/>
          <w:sz w:val="24"/>
          <w:szCs w:val="24"/>
        </w:rPr>
      </w:pPr>
      <w:r>
        <w:rPr>
          <w:rFonts w:ascii="Times New Roman" w:hAnsi="Times New Roman" w:cs="Times New Roman"/>
          <w:spacing w:val="2"/>
          <w:sz w:val="24"/>
          <w:szCs w:val="24"/>
          <w:shd w:val="clear" w:color="auto" w:fill="FFFFFF"/>
        </w:rPr>
        <w:t>A</w:t>
      </w:r>
      <w:r w:rsidRPr="00DF0CA7">
        <w:rPr>
          <w:rFonts w:ascii="Times New Roman" w:hAnsi="Times New Roman" w:cs="Times New Roman"/>
          <w:spacing w:val="2"/>
          <w:sz w:val="24"/>
          <w:szCs w:val="24"/>
          <w:shd w:val="clear" w:color="auto" w:fill="FFFFFF"/>
        </w:rPr>
        <w:t xml:space="preserve"> Lei</w:t>
      </w:r>
      <w:r w:rsidRPr="00DF0CA7">
        <w:rPr>
          <w:rStyle w:val="apple-converted-space"/>
          <w:rFonts w:ascii="Times New Roman" w:hAnsi="Times New Roman" w:cs="Times New Roman"/>
          <w:spacing w:val="2"/>
          <w:sz w:val="24"/>
          <w:szCs w:val="24"/>
          <w:shd w:val="clear" w:color="auto" w:fill="FFFFFF"/>
        </w:rPr>
        <w:t> </w:t>
      </w:r>
      <w:r w:rsidRPr="00DF0CA7">
        <w:rPr>
          <w:rFonts w:ascii="Times New Roman" w:hAnsi="Times New Roman" w:cs="Times New Roman"/>
          <w:spacing w:val="2"/>
          <w:sz w:val="24"/>
          <w:szCs w:val="24"/>
          <w:bdr w:val="none" w:sz="0" w:space="0" w:color="auto" w:frame="1"/>
          <w:shd w:val="clear" w:color="auto" w:fill="FFFFFF"/>
        </w:rPr>
        <w:t>11.340</w:t>
      </w:r>
      <w:r w:rsidRPr="00DF0CA7">
        <w:rPr>
          <w:rStyle w:val="apple-converted-space"/>
          <w:rFonts w:ascii="Times New Roman" w:hAnsi="Times New Roman" w:cs="Times New Roman"/>
          <w:spacing w:val="2"/>
          <w:sz w:val="24"/>
          <w:szCs w:val="24"/>
          <w:shd w:val="clear" w:color="auto" w:fill="FFFFFF"/>
        </w:rPr>
        <w:t> </w:t>
      </w:r>
      <w:r w:rsidRPr="00DF0CA7">
        <w:rPr>
          <w:rFonts w:ascii="Times New Roman" w:hAnsi="Times New Roman" w:cs="Times New Roman"/>
          <w:spacing w:val="2"/>
          <w:sz w:val="24"/>
          <w:szCs w:val="24"/>
          <w:shd w:val="clear" w:color="auto" w:fill="FFFFFF"/>
        </w:rPr>
        <w:t>/2006 (</w:t>
      </w:r>
      <w:r>
        <w:rPr>
          <w:rFonts w:ascii="Times New Roman" w:hAnsi="Times New Roman" w:cs="Times New Roman"/>
          <w:spacing w:val="2"/>
          <w:sz w:val="24"/>
          <w:szCs w:val="24"/>
          <w:bdr w:val="none" w:sz="0" w:space="0" w:color="auto" w:frame="1"/>
          <w:shd w:val="clear" w:color="auto" w:fill="FFFFFF"/>
        </w:rPr>
        <w:t>L</w:t>
      </w:r>
      <w:r w:rsidRPr="00DF0CA7">
        <w:rPr>
          <w:rFonts w:ascii="Times New Roman" w:hAnsi="Times New Roman" w:cs="Times New Roman"/>
          <w:spacing w:val="2"/>
          <w:sz w:val="24"/>
          <w:szCs w:val="24"/>
          <w:bdr w:val="none" w:sz="0" w:space="0" w:color="auto" w:frame="1"/>
          <w:shd w:val="clear" w:color="auto" w:fill="FFFFFF"/>
        </w:rPr>
        <w:t>ei Maria da Penha</w:t>
      </w:r>
      <w:r w:rsidRPr="00DF0CA7">
        <w:rPr>
          <w:rFonts w:ascii="Times New Roman" w:hAnsi="Times New Roman" w:cs="Times New Roman"/>
          <w:spacing w:val="2"/>
          <w:sz w:val="24"/>
          <w:szCs w:val="24"/>
          <w:shd w:val="clear" w:color="auto" w:fill="FFFFFF"/>
        </w:rPr>
        <w:t xml:space="preserve">) criou mecanismos para </w:t>
      </w:r>
      <w:r>
        <w:rPr>
          <w:rFonts w:ascii="Times New Roman" w:hAnsi="Times New Roman" w:cs="Times New Roman"/>
          <w:spacing w:val="2"/>
          <w:sz w:val="24"/>
          <w:szCs w:val="24"/>
          <w:shd w:val="clear" w:color="auto" w:fill="FFFFFF"/>
        </w:rPr>
        <w:t>inibir</w:t>
      </w:r>
      <w:r w:rsidRPr="00DF0CA7">
        <w:rPr>
          <w:rFonts w:ascii="Times New Roman" w:hAnsi="Times New Roman" w:cs="Times New Roman"/>
          <w:spacing w:val="2"/>
          <w:sz w:val="24"/>
          <w:szCs w:val="24"/>
          <w:shd w:val="clear" w:color="auto" w:fill="FFFFFF"/>
        </w:rPr>
        <w:t xml:space="preserve"> a violência doméstica, familiar ou no âm</w:t>
      </w:r>
      <w:r>
        <w:rPr>
          <w:rFonts w:ascii="Times New Roman" w:hAnsi="Times New Roman" w:cs="Times New Roman"/>
          <w:spacing w:val="2"/>
          <w:sz w:val="24"/>
          <w:szCs w:val="24"/>
          <w:shd w:val="clear" w:color="auto" w:fill="FFFFFF"/>
        </w:rPr>
        <w:t>bito de relacionamentos íntimos. Apontou-se</w:t>
      </w:r>
      <w:r w:rsidRPr="00DF0CA7">
        <w:rPr>
          <w:rFonts w:ascii="Times New Roman" w:hAnsi="Times New Roman" w:cs="Times New Roman"/>
          <w:spacing w:val="2"/>
          <w:sz w:val="24"/>
          <w:szCs w:val="24"/>
          <w:shd w:val="clear" w:color="auto" w:fill="FFFFFF"/>
        </w:rPr>
        <w:t xml:space="preserve"> como sujeito passivo dessa violência a mulher. A preocupação central da lei, como se</w:t>
      </w:r>
      <w:r>
        <w:rPr>
          <w:rFonts w:ascii="Times New Roman" w:hAnsi="Times New Roman" w:cs="Times New Roman"/>
          <w:spacing w:val="2"/>
          <w:sz w:val="24"/>
          <w:szCs w:val="24"/>
          <w:shd w:val="clear" w:color="auto" w:fill="FFFFFF"/>
        </w:rPr>
        <w:t xml:space="preserve"> vê, não foi disciplinar </w:t>
      </w:r>
      <w:r w:rsidRPr="00DF0CA7">
        <w:rPr>
          <w:rFonts w:ascii="Times New Roman" w:hAnsi="Times New Roman" w:cs="Times New Roman"/>
          <w:spacing w:val="2"/>
          <w:sz w:val="24"/>
          <w:szCs w:val="24"/>
          <w:shd w:val="clear" w:color="auto" w:fill="FFFFFF"/>
        </w:rPr>
        <w:t xml:space="preserve">a violência doméstica, que tem como sujeito passivo qualquer pessoa. Buscou-se especificamente a tutela da mulher, não por razão de sexo, </w:t>
      </w:r>
      <w:r>
        <w:rPr>
          <w:rFonts w:ascii="Times New Roman" w:hAnsi="Times New Roman" w:cs="Times New Roman"/>
          <w:spacing w:val="2"/>
          <w:sz w:val="24"/>
          <w:szCs w:val="24"/>
          <w:shd w:val="clear" w:color="auto" w:fill="FFFFFF"/>
        </w:rPr>
        <w:t xml:space="preserve">mas </w:t>
      </w:r>
      <w:r w:rsidRPr="00DF0CA7">
        <w:rPr>
          <w:rFonts w:ascii="Times New Roman" w:hAnsi="Times New Roman" w:cs="Times New Roman"/>
          <w:spacing w:val="2"/>
          <w:sz w:val="24"/>
          <w:szCs w:val="24"/>
          <w:shd w:val="clear" w:color="auto" w:fill="FFFFFF"/>
        </w:rPr>
        <w:t>em virtude do gênero.</w:t>
      </w:r>
      <w:r w:rsidR="00CF5D83">
        <w:rPr>
          <w:rFonts w:ascii="Times New Roman" w:hAnsi="Times New Roman" w:cs="Times New Roman"/>
          <w:spacing w:val="2"/>
          <w:sz w:val="24"/>
          <w:szCs w:val="24"/>
          <w:shd w:val="clear" w:color="auto" w:fill="FFFFFF"/>
        </w:rPr>
        <w:t xml:space="preserve"> S</w:t>
      </w:r>
      <w:r w:rsidR="00CF5D83" w:rsidRPr="00CF5D83">
        <w:rPr>
          <w:rFonts w:ascii="Times New Roman" w:hAnsi="Times New Roman" w:cs="Times New Roman"/>
          <w:spacing w:val="2"/>
          <w:sz w:val="24"/>
          <w:szCs w:val="24"/>
          <w:shd w:val="clear" w:color="auto" w:fill="FFFFFF"/>
        </w:rPr>
        <w:t>exualmente falando a diferença entre o homem e a mulher é a seguinte: o homem faz a mulher engravidar; a mulher menstrua, faz a gestação e amamenta. Fisicamente falando essa é a diferença. Fora disso, qualquer out</w:t>
      </w:r>
      <w:r w:rsidR="00CF5D83">
        <w:rPr>
          <w:rFonts w:ascii="Times New Roman" w:hAnsi="Times New Roman" w:cs="Times New Roman"/>
          <w:spacing w:val="2"/>
          <w:sz w:val="24"/>
          <w:szCs w:val="24"/>
          <w:shd w:val="clear" w:color="auto" w:fill="FFFFFF"/>
        </w:rPr>
        <w:t xml:space="preserve">ro tipo de distinção é cultural. Cada sociedade forma </w:t>
      </w:r>
      <w:r w:rsidR="00CF5D83" w:rsidRPr="00CF5D83">
        <w:rPr>
          <w:rFonts w:ascii="Times New Roman" w:hAnsi="Times New Roman" w:cs="Times New Roman"/>
          <w:spacing w:val="2"/>
          <w:sz w:val="24"/>
          <w:szCs w:val="24"/>
          <w:shd w:val="clear" w:color="auto" w:fill="FFFFFF"/>
        </w:rPr>
        <w:t>uma identidade para a mulher e para o homem. O modo como a sociedade vê o papel de cada um, com total independência frente ao sexo, é o que define o gênero. Todas as diferenças não decorrentes da biologia e "impostas pela sociedade" são diferenças de gênero</w:t>
      </w:r>
      <w:r w:rsidR="00C74D87">
        <w:rPr>
          <w:rFonts w:ascii="Times New Roman" w:hAnsi="Times New Roman" w:cs="Times New Roman"/>
          <w:spacing w:val="2"/>
          <w:sz w:val="24"/>
          <w:szCs w:val="24"/>
          <w:shd w:val="clear" w:color="auto" w:fill="FFFFFF"/>
        </w:rPr>
        <w:t>. (DIAS, 2015)</w:t>
      </w:r>
    </w:p>
    <w:p w:rsidR="00CC293F" w:rsidRDefault="00CF5D83" w:rsidP="00CC293F">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r w:rsidR="00CC293F">
        <w:rPr>
          <w:rFonts w:ascii="Times New Roman" w:eastAsia="Times New Roman" w:hAnsi="Times New Roman" w:cs="Times New Roman"/>
          <w:sz w:val="24"/>
        </w:rPr>
        <w:t>Lei</w:t>
      </w:r>
      <w:r w:rsidR="00DF0CA7">
        <w:rPr>
          <w:rFonts w:ascii="Times New Roman" w:eastAsia="Times New Roman" w:hAnsi="Times New Roman" w:cs="Times New Roman"/>
          <w:sz w:val="24"/>
        </w:rPr>
        <w:t xml:space="preserve"> Maria da Penha, foi incorporado</w:t>
      </w:r>
      <w:r w:rsidR="00CC293F">
        <w:rPr>
          <w:rFonts w:ascii="Times New Roman" w:eastAsia="Times New Roman" w:hAnsi="Times New Roman" w:cs="Times New Roman"/>
          <w:sz w:val="24"/>
        </w:rPr>
        <w:t xml:space="preserve"> ao ordenamento ju</w:t>
      </w:r>
      <w:r>
        <w:rPr>
          <w:rFonts w:ascii="Times New Roman" w:eastAsia="Times New Roman" w:hAnsi="Times New Roman" w:cs="Times New Roman"/>
          <w:sz w:val="24"/>
        </w:rPr>
        <w:t>rídico com a finalidade de preve</w:t>
      </w:r>
      <w:r w:rsidR="00CC293F">
        <w:rPr>
          <w:rFonts w:ascii="Times New Roman" w:eastAsia="Times New Roman" w:hAnsi="Times New Roman" w:cs="Times New Roman"/>
          <w:sz w:val="24"/>
        </w:rPr>
        <w:t>nir e reprimir a violência contra a mulher no âmbito das relaç</w:t>
      </w:r>
      <w:r>
        <w:rPr>
          <w:rFonts w:ascii="Times New Roman" w:eastAsia="Times New Roman" w:hAnsi="Times New Roman" w:cs="Times New Roman"/>
          <w:sz w:val="24"/>
        </w:rPr>
        <w:t>ões domésticas e familiares, sem</w:t>
      </w:r>
      <w:r w:rsidR="00CC293F">
        <w:rPr>
          <w:rFonts w:ascii="Times New Roman" w:eastAsia="Times New Roman" w:hAnsi="Times New Roman" w:cs="Times New Roman"/>
          <w:sz w:val="24"/>
        </w:rPr>
        <w:t xml:space="preserve"> fazer distinção de raça, orientação sexual e cultura. Diante disso, a Lei em seu artigo 5°, busca definir o que seja violência doméstica: "qualquer ação ou omissão baseada no gênero que lhe cause morte, lesão, sofrimento físico, sexual ou psicológico e dano moral ou patrimônial", ou seja, a violência passa a ser doméstica quando praticada no âmibito doméstico, familiar e em qualquer relação íntima de afeto, independente da orientação sexual das partes. Por esta razão, a parceira da vítima, no que diz respeito às relaçoes homoafetivas, pode ser responsabilizada pela pratica de violência no âmbito familiar, nos dizeres de Maria Berenice Dias "(...)as lésbicas, os transgêneros, os transexuais e as travestis que tenham identidade com o sexo feminino. A agressão contra elas no âmbito familiar também constitui violência doméstica" (DIAS, 2015)</w:t>
      </w:r>
    </w:p>
    <w:p w:rsidR="00CC293F" w:rsidRDefault="00CC293F" w:rsidP="00CC293F">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 xml:space="preserve">É importante salientar que a Lei Maria da Penha se tornou referência no combate à violência, seja ela física ou simbólica, contra a mulher e sua efetividade se confirma nos diversos julgados acontecidos no decorrer dos anos. Tal Lei veio para assegurar a mulher uma vida livre de qualquer tipo de violência. A repercussão, aplicabilidade e efetividade da Lei </w:t>
      </w:r>
      <w:r>
        <w:rPr>
          <w:rFonts w:ascii="Times New Roman" w:eastAsia="Times New Roman" w:hAnsi="Times New Roman" w:cs="Times New Roman"/>
          <w:sz w:val="24"/>
        </w:rPr>
        <w:lastRenderedPageBreak/>
        <w:t>11.340/2006 é tão grande, que nos dias atuais, passa a ser analisada a possibilidade de sua aplicação nas relações homoativas não só entre mulhere</w:t>
      </w:r>
      <w:r w:rsidR="00CF5D83">
        <w:rPr>
          <w:rFonts w:ascii="Times New Roman" w:eastAsia="Times New Roman" w:hAnsi="Times New Roman" w:cs="Times New Roman"/>
          <w:sz w:val="24"/>
        </w:rPr>
        <w:t>s, mas também entre os homens.</w:t>
      </w:r>
    </w:p>
    <w:p w:rsidR="00CF5D83" w:rsidRPr="00CF5D83" w:rsidRDefault="00CF5D83" w:rsidP="00CC293F">
      <w:pPr>
        <w:spacing w:after="0" w:line="360" w:lineRule="auto"/>
        <w:ind w:firstLine="1136"/>
        <w:jc w:val="both"/>
        <w:rPr>
          <w:rFonts w:ascii="Times New Roman" w:eastAsia="Times New Roman" w:hAnsi="Times New Roman" w:cs="Times New Roman"/>
          <w:sz w:val="24"/>
          <w:szCs w:val="24"/>
        </w:rPr>
      </w:pPr>
      <w:r>
        <w:rPr>
          <w:rFonts w:ascii="Times New Roman" w:hAnsi="Times New Roman" w:cs="Times New Roman"/>
          <w:spacing w:val="2"/>
          <w:sz w:val="24"/>
          <w:szCs w:val="24"/>
          <w:shd w:val="clear" w:color="auto" w:fill="FFFFFF"/>
        </w:rPr>
        <w:t>D</w:t>
      </w:r>
      <w:r w:rsidRPr="00CF5D83">
        <w:rPr>
          <w:rFonts w:ascii="Times New Roman" w:hAnsi="Times New Roman" w:cs="Times New Roman"/>
          <w:spacing w:val="2"/>
          <w:sz w:val="24"/>
          <w:szCs w:val="24"/>
          <w:shd w:val="clear" w:color="auto" w:fill="FFFFFF"/>
        </w:rPr>
        <w:t>iante de tudo quanto foi exposto, p</w:t>
      </w:r>
      <w:r>
        <w:rPr>
          <w:rFonts w:ascii="Times New Roman" w:hAnsi="Times New Roman" w:cs="Times New Roman"/>
          <w:spacing w:val="2"/>
          <w:sz w:val="24"/>
          <w:szCs w:val="24"/>
          <w:shd w:val="clear" w:color="auto" w:fill="FFFFFF"/>
        </w:rPr>
        <w:t xml:space="preserve">arece-nos acertado afirmar que </w:t>
      </w:r>
      <w:r w:rsidRPr="00CF5D83">
        <w:rPr>
          <w:rFonts w:ascii="Times New Roman" w:hAnsi="Times New Roman" w:cs="Times New Roman"/>
          <w:spacing w:val="2"/>
          <w:sz w:val="24"/>
          <w:szCs w:val="24"/>
          <w:shd w:val="clear" w:color="auto" w:fill="FFFFFF"/>
        </w:rPr>
        <w:t>as medidas protetivas da</w:t>
      </w:r>
      <w:r w:rsidRPr="00CF5D83">
        <w:rPr>
          <w:rStyle w:val="apple-converted-space"/>
          <w:rFonts w:ascii="Times New Roman" w:hAnsi="Times New Roman" w:cs="Times New Roman"/>
          <w:spacing w:val="2"/>
          <w:sz w:val="24"/>
          <w:szCs w:val="24"/>
          <w:shd w:val="clear" w:color="auto" w:fill="FFFFFF"/>
        </w:rPr>
        <w:t> </w:t>
      </w:r>
      <w:r>
        <w:rPr>
          <w:rFonts w:ascii="Times New Roman" w:hAnsi="Times New Roman" w:cs="Times New Roman"/>
          <w:spacing w:val="2"/>
          <w:sz w:val="24"/>
          <w:szCs w:val="24"/>
          <w:bdr w:val="none" w:sz="0" w:space="0" w:color="auto" w:frame="1"/>
          <w:shd w:val="clear" w:color="auto" w:fill="FFFFFF"/>
        </w:rPr>
        <w:t>L</w:t>
      </w:r>
      <w:r w:rsidRPr="00CF5D83">
        <w:rPr>
          <w:rFonts w:ascii="Times New Roman" w:hAnsi="Times New Roman" w:cs="Times New Roman"/>
          <w:spacing w:val="2"/>
          <w:sz w:val="24"/>
          <w:szCs w:val="24"/>
          <w:bdr w:val="none" w:sz="0" w:space="0" w:color="auto" w:frame="1"/>
          <w:shd w:val="clear" w:color="auto" w:fill="FFFFFF"/>
        </w:rPr>
        <w:t>ei Maria da Penha</w:t>
      </w:r>
      <w:r w:rsidRPr="00CF5D83">
        <w:rPr>
          <w:rStyle w:val="apple-converted-space"/>
          <w:rFonts w:ascii="Times New Roman" w:hAnsi="Times New Roman" w:cs="Times New Roman"/>
          <w:spacing w:val="2"/>
          <w:sz w:val="24"/>
          <w:szCs w:val="24"/>
          <w:shd w:val="clear" w:color="auto" w:fill="FFFFFF"/>
        </w:rPr>
        <w:t> </w:t>
      </w:r>
      <w:r>
        <w:rPr>
          <w:rFonts w:ascii="Times New Roman" w:hAnsi="Times New Roman" w:cs="Times New Roman"/>
          <w:spacing w:val="2"/>
          <w:sz w:val="24"/>
          <w:szCs w:val="24"/>
          <w:shd w:val="clear" w:color="auto" w:fill="FFFFFF"/>
        </w:rPr>
        <w:t>podem e devem</w:t>
      </w:r>
      <w:r w:rsidRPr="00CF5D83">
        <w:rPr>
          <w:rFonts w:ascii="Times New Roman" w:hAnsi="Times New Roman" w:cs="Times New Roman"/>
          <w:spacing w:val="2"/>
          <w:sz w:val="24"/>
          <w:szCs w:val="24"/>
          <w:shd w:val="clear" w:color="auto" w:fill="FFFFFF"/>
        </w:rPr>
        <w:t xml:space="preserve"> ser aplicadas em f</w:t>
      </w:r>
      <w:r>
        <w:rPr>
          <w:rFonts w:ascii="Times New Roman" w:hAnsi="Times New Roman" w:cs="Times New Roman"/>
          <w:spacing w:val="2"/>
          <w:sz w:val="24"/>
          <w:szCs w:val="24"/>
          <w:shd w:val="clear" w:color="auto" w:fill="FFFFFF"/>
        </w:rPr>
        <w:t xml:space="preserve">avor de qualquer pessoa, </w:t>
      </w:r>
      <w:r w:rsidRPr="00CF5D83">
        <w:rPr>
          <w:rFonts w:ascii="Times New Roman" w:hAnsi="Times New Roman" w:cs="Times New Roman"/>
          <w:spacing w:val="2"/>
          <w:sz w:val="24"/>
          <w:szCs w:val="24"/>
          <w:shd w:val="clear" w:color="auto" w:fill="FFFFFF"/>
        </w:rPr>
        <w:t>desde que</w:t>
      </w:r>
      <w:r>
        <w:rPr>
          <w:rFonts w:ascii="Times New Roman" w:hAnsi="Times New Roman" w:cs="Times New Roman"/>
          <w:spacing w:val="2"/>
          <w:sz w:val="24"/>
          <w:szCs w:val="24"/>
          <w:shd w:val="clear" w:color="auto" w:fill="FFFFFF"/>
        </w:rPr>
        <w:t xml:space="preserve"> seja</w:t>
      </w:r>
      <w:r w:rsidRPr="00CF5D83">
        <w:rPr>
          <w:rFonts w:ascii="Times New Roman" w:hAnsi="Times New Roman" w:cs="Times New Roman"/>
          <w:spacing w:val="2"/>
          <w:sz w:val="24"/>
          <w:szCs w:val="24"/>
          <w:shd w:val="clear" w:color="auto" w:fill="FFFFFF"/>
        </w:rPr>
        <w:t xml:space="preserve"> comprovado que a violência teve ocorrência dentro de um contexto doméstico, famil</w:t>
      </w:r>
      <w:r>
        <w:rPr>
          <w:rFonts w:ascii="Times New Roman" w:hAnsi="Times New Roman" w:cs="Times New Roman"/>
          <w:spacing w:val="2"/>
          <w:sz w:val="24"/>
          <w:szCs w:val="24"/>
          <w:shd w:val="clear" w:color="auto" w:fill="FFFFFF"/>
        </w:rPr>
        <w:t>iar ou de relacionamento íntimo</w:t>
      </w:r>
      <w:r w:rsidRPr="00CF5D83">
        <w:rPr>
          <w:rFonts w:ascii="Times New Roman" w:hAnsi="Times New Roman" w:cs="Times New Roman"/>
          <w:spacing w:val="2"/>
          <w:sz w:val="24"/>
          <w:szCs w:val="24"/>
          <w:shd w:val="clear" w:color="auto" w:fill="FFFFFF"/>
        </w:rPr>
        <w:t>. Não importa se a vítima é transexual, homem,</w:t>
      </w:r>
      <w:r>
        <w:rPr>
          <w:rFonts w:ascii="Times New Roman" w:hAnsi="Times New Roman" w:cs="Times New Roman"/>
          <w:spacing w:val="2"/>
          <w:sz w:val="24"/>
          <w:szCs w:val="24"/>
          <w:shd w:val="clear" w:color="auto" w:fill="FFFFFF"/>
        </w:rPr>
        <w:t xml:space="preserve"> travesti</w:t>
      </w:r>
      <w:r w:rsidRPr="00CF5D83">
        <w:rPr>
          <w:rFonts w:ascii="Times New Roman" w:hAnsi="Times New Roman" w:cs="Times New Roman"/>
          <w:spacing w:val="2"/>
          <w:sz w:val="24"/>
          <w:szCs w:val="24"/>
          <w:shd w:val="clear" w:color="auto" w:fill="FFFFFF"/>
        </w:rPr>
        <w:t>. Tais medidas foram primeiramente pensadas par</w:t>
      </w:r>
      <w:r>
        <w:rPr>
          <w:rFonts w:ascii="Times New Roman" w:hAnsi="Times New Roman" w:cs="Times New Roman"/>
          <w:spacing w:val="2"/>
          <w:sz w:val="24"/>
          <w:szCs w:val="24"/>
          <w:shd w:val="clear" w:color="auto" w:fill="FFFFFF"/>
        </w:rPr>
        <w:t xml:space="preserve">a favorecer a mulher </w:t>
      </w:r>
      <w:r w:rsidRPr="00CF5D83">
        <w:rPr>
          <w:rFonts w:ascii="Times New Roman" w:hAnsi="Times New Roman" w:cs="Times New Roman"/>
          <w:spacing w:val="2"/>
          <w:sz w:val="24"/>
          <w:szCs w:val="24"/>
          <w:shd w:val="clear" w:color="auto" w:fill="FFFFFF"/>
        </w:rPr>
        <w:t>dentro d</w:t>
      </w:r>
      <w:r>
        <w:rPr>
          <w:rFonts w:ascii="Times New Roman" w:hAnsi="Times New Roman" w:cs="Times New Roman"/>
          <w:spacing w:val="2"/>
          <w:sz w:val="24"/>
          <w:szCs w:val="24"/>
          <w:shd w:val="clear" w:color="auto" w:fill="FFFFFF"/>
        </w:rPr>
        <w:t>e uma situação de subordinação. Ou seja, t</w:t>
      </w:r>
      <w:r w:rsidRPr="00CF5D83">
        <w:rPr>
          <w:rFonts w:ascii="Times New Roman" w:hAnsi="Times New Roman" w:cs="Times New Roman"/>
          <w:spacing w:val="2"/>
          <w:sz w:val="24"/>
          <w:szCs w:val="24"/>
          <w:shd w:val="clear" w:color="auto" w:fill="FFFFFF"/>
        </w:rPr>
        <w:t>odas as vezes que es</w:t>
      </w:r>
      <w:r>
        <w:rPr>
          <w:rFonts w:ascii="Times New Roman" w:hAnsi="Times New Roman" w:cs="Times New Roman"/>
          <w:spacing w:val="2"/>
          <w:sz w:val="24"/>
          <w:szCs w:val="24"/>
          <w:shd w:val="clear" w:color="auto" w:fill="FFFFFF"/>
        </w:rPr>
        <w:t xml:space="preserve">sas circunstâncias de submissão, violência para impor um ato de vontade acontecerem dentro do </w:t>
      </w:r>
      <w:r w:rsidRPr="00CF5D83">
        <w:rPr>
          <w:rFonts w:ascii="Times New Roman" w:hAnsi="Times New Roman" w:cs="Times New Roman"/>
          <w:spacing w:val="2"/>
          <w:sz w:val="24"/>
          <w:szCs w:val="24"/>
          <w:shd w:val="clear" w:color="auto" w:fill="FFFFFF"/>
        </w:rPr>
        <w:t>âmbito doméstico, famili</w:t>
      </w:r>
      <w:r>
        <w:rPr>
          <w:rFonts w:ascii="Times New Roman" w:hAnsi="Times New Roman" w:cs="Times New Roman"/>
          <w:spacing w:val="2"/>
          <w:sz w:val="24"/>
          <w:szCs w:val="24"/>
          <w:shd w:val="clear" w:color="auto" w:fill="FFFFFF"/>
        </w:rPr>
        <w:t xml:space="preserve">ar ou de relacionamento íntimo, </w:t>
      </w:r>
      <w:r w:rsidRPr="00CF5D83">
        <w:rPr>
          <w:rFonts w:ascii="Times New Roman" w:hAnsi="Times New Roman" w:cs="Times New Roman"/>
          <w:spacing w:val="2"/>
          <w:sz w:val="24"/>
          <w:szCs w:val="24"/>
          <w:shd w:val="clear" w:color="auto" w:fill="FFFFFF"/>
        </w:rPr>
        <w:t>nada impede que o Judiciário, fazendo bom uso da</w:t>
      </w:r>
      <w:r w:rsidRPr="00CF5D83">
        <w:rPr>
          <w:rStyle w:val="apple-converted-space"/>
          <w:rFonts w:ascii="Times New Roman" w:hAnsi="Times New Roman" w:cs="Times New Roman"/>
          <w:spacing w:val="2"/>
          <w:sz w:val="24"/>
          <w:szCs w:val="24"/>
          <w:shd w:val="clear" w:color="auto" w:fill="FFFFFF"/>
        </w:rPr>
        <w:t> </w:t>
      </w:r>
      <w:r>
        <w:rPr>
          <w:rFonts w:ascii="Times New Roman" w:hAnsi="Times New Roman" w:cs="Times New Roman"/>
          <w:spacing w:val="2"/>
          <w:sz w:val="24"/>
          <w:szCs w:val="24"/>
          <w:bdr w:val="none" w:sz="0" w:space="0" w:color="auto" w:frame="1"/>
          <w:shd w:val="clear" w:color="auto" w:fill="FFFFFF"/>
        </w:rPr>
        <w:t>L</w:t>
      </w:r>
      <w:r w:rsidRPr="00CF5D83">
        <w:rPr>
          <w:rFonts w:ascii="Times New Roman" w:hAnsi="Times New Roman" w:cs="Times New Roman"/>
          <w:spacing w:val="2"/>
          <w:sz w:val="24"/>
          <w:szCs w:val="24"/>
          <w:bdr w:val="none" w:sz="0" w:space="0" w:color="auto" w:frame="1"/>
          <w:shd w:val="clear" w:color="auto" w:fill="FFFFFF"/>
        </w:rPr>
        <w:t>ei Maria da Penha</w:t>
      </w:r>
      <w:r w:rsidRPr="00CF5D83">
        <w:rPr>
          <w:rStyle w:val="apple-converted-space"/>
          <w:rFonts w:ascii="Times New Roman" w:hAnsi="Times New Roman" w:cs="Times New Roman"/>
          <w:spacing w:val="2"/>
          <w:sz w:val="24"/>
          <w:szCs w:val="24"/>
          <w:shd w:val="clear" w:color="auto" w:fill="FFFFFF"/>
        </w:rPr>
        <w:t> </w:t>
      </w:r>
      <w:r w:rsidRPr="00CF5D83">
        <w:rPr>
          <w:rFonts w:ascii="Times New Roman" w:hAnsi="Times New Roman" w:cs="Times New Roman"/>
          <w:spacing w:val="2"/>
          <w:sz w:val="24"/>
          <w:szCs w:val="24"/>
          <w:shd w:val="clear" w:color="auto" w:fill="FFFFFF"/>
        </w:rPr>
        <w:t>, venha em socorro de quem está ameaçado ou foi lesado em seus direitos. Onde existem as mesmas circunstâncias fáticas deve incidir o mesmo direito.</w:t>
      </w:r>
      <w:r w:rsidR="00C74D87">
        <w:rPr>
          <w:rFonts w:ascii="Times New Roman" w:hAnsi="Times New Roman" w:cs="Times New Roman"/>
          <w:spacing w:val="2"/>
          <w:sz w:val="24"/>
          <w:szCs w:val="24"/>
          <w:shd w:val="clear" w:color="auto" w:fill="FFFFFF"/>
        </w:rPr>
        <w:t xml:space="preserve"> (RIOS, 2011)</w:t>
      </w:r>
    </w:p>
    <w:p w:rsidR="00CC293F" w:rsidRDefault="00CC293F" w:rsidP="00CC293F">
      <w:pPr>
        <w:tabs>
          <w:tab w:val="left" w:pos="1136"/>
        </w:tabs>
        <w:spacing w:after="0" w:line="360" w:lineRule="auto"/>
        <w:ind w:firstLine="1134"/>
        <w:jc w:val="both"/>
        <w:rPr>
          <w:rFonts w:ascii="Times New Roman" w:eastAsia="Times New Roman" w:hAnsi="Times New Roman" w:cs="Times New Roman"/>
          <w:b/>
          <w:sz w:val="24"/>
        </w:rPr>
      </w:pPr>
    </w:p>
    <w:p w:rsidR="00B26E5F" w:rsidRDefault="00CC293F" w:rsidP="00105F9A">
      <w:pPr>
        <w:tabs>
          <w:tab w:val="left" w:pos="1136"/>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2.3 A aplicabilidade da Lei Maria da Penha nos conflitos das relações homoafetivas entre homens </w:t>
      </w:r>
    </w:p>
    <w:p w:rsidR="00D33ECC" w:rsidRPr="008F44A2" w:rsidRDefault="00D33ECC" w:rsidP="00D33ECC">
      <w:pPr>
        <w:pStyle w:val="SemEspaamento"/>
        <w:tabs>
          <w:tab w:val="left" w:pos="142"/>
        </w:tabs>
        <w:spacing w:line="360" w:lineRule="auto"/>
        <w:ind w:firstLine="1134"/>
        <w:jc w:val="both"/>
        <w:rPr>
          <w:rFonts w:ascii="Times New Roman" w:hAnsi="Times New Roman"/>
          <w:sz w:val="24"/>
          <w:szCs w:val="24"/>
        </w:rPr>
      </w:pPr>
      <w:r>
        <w:rPr>
          <w:rFonts w:ascii="Times New Roman" w:hAnsi="Times New Roman"/>
          <w:sz w:val="24"/>
          <w:szCs w:val="24"/>
        </w:rPr>
        <w:t>Durante muito tempo, o homssexual foi considerado algo repussivo, intolerante, um desrespeito a moral e aos bons costumes. Baseada numa ideia arcaica, dogmática-religiosa, de que a relação só poderia existir se fosse entre sexos opostos, a fim de que os casais viessem a popular a Terra, portanto, o casamento só era legítimo se fosse entre casais de sexos opostos para que houvesse a procriação, introduzida pela igreja. (DIAS</w:t>
      </w:r>
      <w:r w:rsidRPr="008F44A2">
        <w:rPr>
          <w:rFonts w:ascii="Times New Roman" w:hAnsi="Times New Roman"/>
          <w:sz w:val="24"/>
          <w:szCs w:val="24"/>
        </w:rPr>
        <w:t xml:space="preserve">, 2006) </w:t>
      </w:r>
    </w:p>
    <w:p w:rsidR="00D33ECC" w:rsidRDefault="00D33ECC" w:rsidP="00D33ECC">
      <w:pPr>
        <w:pStyle w:val="SemEspaamento"/>
        <w:tabs>
          <w:tab w:val="left" w:pos="142"/>
        </w:tabs>
        <w:spacing w:line="360" w:lineRule="auto"/>
        <w:ind w:firstLine="1134"/>
        <w:jc w:val="both"/>
        <w:rPr>
          <w:rFonts w:ascii="Times New Roman" w:hAnsi="Times New Roman"/>
          <w:sz w:val="24"/>
          <w:szCs w:val="24"/>
        </w:rPr>
      </w:pPr>
      <w:r>
        <w:rPr>
          <w:rFonts w:ascii="Times New Roman" w:hAnsi="Times New Roman"/>
          <w:sz w:val="24"/>
          <w:szCs w:val="24"/>
        </w:rPr>
        <w:t>Porém, nesse ínterim, pouco a pouco as relações homoafetivas passaram a ter mais visibilidade. Hoje, o legislador precisa suprir as demandas de casos, que impliquem  a violência doméstica em relação a esse novo modelo, que são as relações homoafetivas entre homens. Atualmente, existem diversos julgados, que entendem ser constitucional a aplicação da Lei Maria da Penha nas relações homoafeitvas entre casais homens. Como, por exemplo, o julgado do Juiz de direito da Comarca de Rio Pardo, no RS Osmar de Aguiar Pacheco, que reconheceu e concedeu uma medida protetiva a um homem que estava sendo vítima de de ameças de seu ex-companheiro, onde fundamentou sua decisão nos princípios da igualdade e vulnerabilidade do mesmo. Que dipõe que:</w:t>
      </w:r>
    </w:p>
    <w:p w:rsidR="00D33ECC" w:rsidRDefault="00D33ECC" w:rsidP="00D33ECC">
      <w:pPr>
        <w:pStyle w:val="NormalWeb"/>
        <w:shd w:val="clear" w:color="auto" w:fill="FFFFFF"/>
        <w:spacing w:before="0" w:beforeAutospacing="0" w:after="288" w:afterAutospacing="0"/>
        <w:ind w:left="2268"/>
        <w:jc w:val="both"/>
        <w:rPr>
          <w:sz w:val="20"/>
          <w:szCs w:val="20"/>
        </w:rPr>
      </w:pPr>
      <w:r w:rsidRPr="001313A5">
        <w:rPr>
          <w:sz w:val="20"/>
          <w:szCs w:val="20"/>
        </w:rPr>
        <w:t xml:space="preserve">“todo aquele em situação vulnerável, ou seja, enfraquecido, pode ser vitimado. Ao lado do Estado Democrático de Direito, há, e sempre existirá, parcela de indivíduos que busca impor, porque lhe interessa, a lei da barbárie, a lei do mais forte. E isso o Direito não pode permitir!... em situações iguais, as garantias legais devem valer para todos, além da Constituição vedar qualquer discriminação. Isso faz com que </w:t>
      </w:r>
      <w:r w:rsidRPr="001313A5">
        <w:rPr>
          <w:sz w:val="20"/>
          <w:szCs w:val="20"/>
        </w:rPr>
        <w:lastRenderedPageBreak/>
        <w:t>a</w:t>
      </w:r>
      <w:r w:rsidRPr="001313A5">
        <w:rPr>
          <w:rStyle w:val="apple-converted-space"/>
          <w:sz w:val="20"/>
          <w:szCs w:val="20"/>
        </w:rPr>
        <w:t> </w:t>
      </w:r>
      <w:hyperlink r:id="rId6" w:history="1">
        <w:r w:rsidRPr="001313A5">
          <w:rPr>
            <w:rStyle w:val="Hyperlink"/>
            <w:sz w:val="20"/>
            <w:szCs w:val="20"/>
          </w:rPr>
          <w:t>união homoafetiva</w:t>
        </w:r>
      </w:hyperlink>
      <w:r w:rsidRPr="001313A5">
        <w:rPr>
          <w:rStyle w:val="apple-converted-space"/>
          <w:sz w:val="20"/>
          <w:szCs w:val="20"/>
        </w:rPr>
        <w:t> </w:t>
      </w:r>
      <w:r w:rsidRPr="001313A5">
        <w:rPr>
          <w:sz w:val="20"/>
          <w:szCs w:val="20"/>
        </w:rPr>
        <w:t>seja reconhecida como fenômeno social, merecedor não só de respeito como de proteção efetiva com os instrumentos contidos na legislação”</w:t>
      </w:r>
      <w:r>
        <w:rPr>
          <w:sz w:val="20"/>
          <w:szCs w:val="20"/>
        </w:rPr>
        <w:t>.</w:t>
      </w:r>
    </w:p>
    <w:p w:rsidR="00D33ECC" w:rsidRDefault="00D33ECC" w:rsidP="00D33ECC">
      <w:pPr>
        <w:pStyle w:val="NormalWeb"/>
        <w:shd w:val="clear" w:color="auto" w:fill="FFFFFF"/>
        <w:spacing w:before="0" w:beforeAutospacing="0" w:after="288" w:afterAutospacing="0" w:line="360" w:lineRule="auto"/>
        <w:ind w:firstLine="1134"/>
        <w:jc w:val="both"/>
      </w:pPr>
      <w:r>
        <w:t>Assim, como bem ressalta a autora Maria Berenice (2015), a Lei Maria da Penha serve para proteger o direito de família, e nesse contexto, serve também as uniões homoafetivas, que estão intrínsecos ao conceito de família. Dessa forma, o parágrafo único, do art. 5º da Constituição Federal de 88, reafirma que a orientação sexual nada interfere, quando se fala em situações de violência familiar ou doméstica.</w:t>
      </w:r>
    </w:p>
    <w:p w:rsidR="00D33ECC" w:rsidRPr="00277EC5" w:rsidRDefault="00D33ECC" w:rsidP="00D33ECC">
      <w:pPr>
        <w:pStyle w:val="NormalWeb"/>
        <w:shd w:val="clear" w:color="auto" w:fill="FFFFFF"/>
        <w:spacing w:before="0" w:beforeAutospacing="0" w:after="288" w:afterAutospacing="0" w:line="360" w:lineRule="auto"/>
        <w:ind w:firstLine="1134"/>
        <w:jc w:val="both"/>
      </w:pPr>
      <w:r>
        <w:t xml:space="preserve">De acordo com a juíza Tarcila Maria de Campos, um caso que chegou a sua análise, sobre um casal homossexual, em que um deles estava sofrendo ameaças e violência doméstica pelo </w:t>
      </w:r>
      <w:r w:rsidRPr="00277EC5">
        <w:t>companheiro, na cidade de Óbitos, no Estado do Pará, ela entendeu que:</w:t>
      </w:r>
    </w:p>
    <w:p w:rsidR="00D33ECC" w:rsidRDefault="00277EC5" w:rsidP="00277EC5">
      <w:pPr>
        <w:shd w:val="clear" w:color="auto" w:fill="FFFFFF"/>
        <w:spacing w:line="240" w:lineRule="auto"/>
        <w:ind w:left="2268"/>
        <w:jc w:val="both"/>
        <w:rPr>
          <w:rFonts w:ascii="Times New Roman" w:hAnsi="Times New Roman" w:cs="Times New Roman"/>
          <w:spacing w:val="-5"/>
          <w:sz w:val="20"/>
          <w:szCs w:val="20"/>
          <w:shd w:val="clear" w:color="auto" w:fill="FFFFFF"/>
        </w:rPr>
      </w:pPr>
      <w:r w:rsidRPr="00277EC5">
        <w:rPr>
          <w:rFonts w:ascii="Times New Roman" w:hAnsi="Times New Roman" w:cs="Times New Roman"/>
          <w:spacing w:val="-5"/>
          <w:sz w:val="20"/>
          <w:szCs w:val="20"/>
          <w:shd w:val="clear" w:color="auto" w:fill="FFFFFF"/>
        </w:rPr>
        <w:t>"A lei trata do combate à violência que ocorre no ambiente doméstico e protege inclusive os filhos, indistintamente do sexo. Por analogia, podemos interpretar que ela se estende ao homem, visto que, a partir do momento que o Supremo Tribunal de Justiça ampara o casamento homoafetivo, o entendimento de violência doméstica também passa a ter um sentido ampliado. Partimos, então, do conceito de isonomia, quando a lei deve valer para todos. A lei não deve ser interpretada isoladamente, mas dentro de um ordenamento social e jurídico, que dá proteção às uniões, indistintamente da sua configuração. Assim, o combate à violência doméstica pode ser aplicado a homens, quando vítimas desta violência, num tratamento igualitário, como manda a constituição”.(Lei Maria da Penha protege gay ameaçado pelo ex no Pará)</w:t>
      </w:r>
    </w:p>
    <w:p w:rsidR="00277EC5" w:rsidRDefault="00277EC5" w:rsidP="00277EC5">
      <w:pPr>
        <w:shd w:val="clear" w:color="auto" w:fill="FFFFFF"/>
        <w:spacing w:line="360" w:lineRule="auto"/>
        <w:ind w:firstLine="1134"/>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Em tal decisão, a juíza da respectiva comarca de Óbitos, Tarcila Maria de Campos, concluiu e determinou que o tal agressor fosse retirado do lar onde convivia com a vítima e proibiu que o </w:t>
      </w:r>
      <w:r w:rsidR="00155E69">
        <w:rPr>
          <w:rFonts w:ascii="Times New Roman" w:hAnsi="Times New Roman" w:cs="Times New Roman"/>
          <w:spacing w:val="-5"/>
          <w:sz w:val="24"/>
          <w:szCs w:val="24"/>
          <w:shd w:val="clear" w:color="auto" w:fill="FFFFFF"/>
        </w:rPr>
        <w:t>acusado se aproximasse do ofendido, de testemunhas e familiares, limitando a distância em 200 metros entre todos.</w:t>
      </w:r>
    </w:p>
    <w:p w:rsidR="00336E59" w:rsidRPr="00336E59" w:rsidRDefault="00336E59" w:rsidP="00336E59">
      <w:pPr>
        <w:pStyle w:val="NormalWeb"/>
        <w:shd w:val="clear" w:color="auto" w:fill="FFFFFF"/>
        <w:spacing w:before="0" w:beforeAutospacing="0" w:after="288" w:afterAutospacing="0" w:line="360" w:lineRule="auto"/>
        <w:ind w:firstLine="840"/>
        <w:jc w:val="both"/>
        <w:rPr>
          <w:color w:val="333333"/>
        </w:rPr>
      </w:pPr>
      <w:r>
        <w:rPr>
          <w:spacing w:val="-5"/>
          <w:shd w:val="clear" w:color="auto" w:fill="FFFFFF"/>
        </w:rPr>
        <w:t xml:space="preserve">Outro entendimento foi o do juiz </w:t>
      </w:r>
      <w:r w:rsidRPr="00336E59">
        <w:rPr>
          <w:color w:val="333333"/>
        </w:rPr>
        <w:t>o Juiz</w:t>
      </w:r>
      <w:r w:rsidRPr="00336E59">
        <w:rPr>
          <w:rStyle w:val="apple-converted-space"/>
          <w:rFonts w:eastAsiaTheme="majorEastAsia"/>
          <w:color w:val="333333"/>
        </w:rPr>
        <w:t> </w:t>
      </w:r>
      <w:r w:rsidRPr="00336E59">
        <w:rPr>
          <w:rStyle w:val="Forte"/>
          <w:rFonts w:eastAsiaTheme="majorEastAsia"/>
          <w:b w:val="0"/>
          <w:color w:val="333333"/>
        </w:rPr>
        <w:t>Osmar de Aguiar Pacheco</w:t>
      </w:r>
      <w:r>
        <w:rPr>
          <w:color w:val="333333"/>
        </w:rPr>
        <w:t xml:space="preserve">, do fórum </w:t>
      </w:r>
      <w:r w:rsidRPr="00336E59">
        <w:rPr>
          <w:color w:val="333333"/>
        </w:rPr>
        <w:t xml:space="preserve">de Rio Pardo, RS, </w:t>
      </w:r>
      <w:r>
        <w:rPr>
          <w:color w:val="333333"/>
        </w:rPr>
        <w:t>em que determinou</w:t>
      </w:r>
      <w:r w:rsidRPr="00336E59">
        <w:rPr>
          <w:color w:val="333333"/>
        </w:rPr>
        <w:t xml:space="preserve"> uma medida protetiva a um homem que alegou estar sendo ameaçado por s</w:t>
      </w:r>
      <w:r>
        <w:rPr>
          <w:color w:val="333333"/>
        </w:rPr>
        <w:t>eu ex-companheiro, fundamentou sua sentença</w:t>
      </w:r>
      <w:r w:rsidRPr="00336E59">
        <w:rPr>
          <w:color w:val="333333"/>
        </w:rPr>
        <w:t xml:space="preserve"> no princípio da igualdade</w:t>
      </w:r>
      <w:r>
        <w:rPr>
          <w:color w:val="333333"/>
        </w:rPr>
        <w:t xml:space="preserve"> entre os sexos e a </w:t>
      </w:r>
      <w:r w:rsidRPr="00336E59">
        <w:rPr>
          <w:color w:val="333333"/>
        </w:rPr>
        <w:t>vulnerabilida</w:t>
      </w:r>
      <w:r>
        <w:rPr>
          <w:color w:val="333333"/>
        </w:rPr>
        <w:t>de da vítima. Tal decisão expõe</w:t>
      </w:r>
      <w:r w:rsidRPr="00336E59">
        <w:rPr>
          <w:color w:val="333333"/>
        </w:rPr>
        <w:t>:</w:t>
      </w:r>
    </w:p>
    <w:p w:rsidR="00336E59" w:rsidRPr="00336E59" w:rsidRDefault="00336E59" w:rsidP="00336E59">
      <w:pPr>
        <w:pStyle w:val="NormalWeb"/>
        <w:shd w:val="clear" w:color="auto" w:fill="FFFFFF"/>
        <w:spacing w:before="0" w:beforeAutospacing="0" w:after="288" w:afterAutospacing="0"/>
        <w:ind w:left="2268"/>
        <w:jc w:val="both"/>
        <w:rPr>
          <w:color w:val="333333"/>
          <w:sz w:val="20"/>
          <w:szCs w:val="20"/>
        </w:rPr>
      </w:pPr>
      <w:r w:rsidRPr="00336E59">
        <w:rPr>
          <w:color w:val="333333"/>
          <w:sz w:val="20"/>
          <w:szCs w:val="20"/>
        </w:rPr>
        <w:t>[...] todo aquele em situação vulnerável, ou seja, enfraquecido, pode ser vitimado. Ao lado do Estado Democrático de Direito, há, e sempre existirá, parcela de indivíduos que busca impor, porque lhe interessa, a lei da barbárie, a lei do mais forte. E isso o Direito não pode permitir!... em situações iguais, as garantias legais devem valer para todos, além da Constituição vedar qualquer discriminação. Isso faz com que a</w:t>
      </w:r>
      <w:r w:rsidRPr="00336E59">
        <w:rPr>
          <w:rStyle w:val="apple-converted-space"/>
          <w:rFonts w:eastAsiaTheme="majorEastAsia"/>
          <w:color w:val="333333"/>
          <w:sz w:val="20"/>
          <w:szCs w:val="20"/>
        </w:rPr>
        <w:t> </w:t>
      </w:r>
      <w:hyperlink r:id="rId7" w:history="1">
        <w:r w:rsidRPr="00336E59">
          <w:rPr>
            <w:rStyle w:val="Hyperlink"/>
            <w:rFonts w:eastAsiaTheme="majorEastAsia"/>
            <w:color w:val="0C6BD1"/>
            <w:sz w:val="20"/>
            <w:szCs w:val="20"/>
          </w:rPr>
          <w:t>união homoafetiva</w:t>
        </w:r>
      </w:hyperlink>
      <w:r w:rsidRPr="00336E59">
        <w:rPr>
          <w:rStyle w:val="apple-converted-space"/>
          <w:rFonts w:eastAsiaTheme="majorEastAsia"/>
          <w:color w:val="333333"/>
          <w:sz w:val="20"/>
          <w:szCs w:val="20"/>
        </w:rPr>
        <w:t> </w:t>
      </w:r>
      <w:r w:rsidRPr="00336E59">
        <w:rPr>
          <w:color w:val="333333"/>
          <w:sz w:val="20"/>
          <w:szCs w:val="20"/>
        </w:rPr>
        <w:t>seja reconhecida como fenômeno social, merecedor não só de respeito como de proteção efetiva com os instrumentos contidos na legislação [...]</w:t>
      </w:r>
    </w:p>
    <w:p w:rsidR="00336E59" w:rsidRDefault="00336E59" w:rsidP="00277EC5">
      <w:pPr>
        <w:shd w:val="clear" w:color="auto" w:fill="FFFFFF"/>
        <w:spacing w:line="360" w:lineRule="auto"/>
        <w:ind w:firstLine="1134"/>
        <w:jc w:val="both"/>
        <w:rPr>
          <w:rFonts w:ascii="Times New Roman" w:hAnsi="Times New Roman" w:cs="Times New Roman"/>
          <w:spacing w:val="-5"/>
          <w:sz w:val="24"/>
          <w:szCs w:val="24"/>
          <w:shd w:val="clear" w:color="auto" w:fill="FFFFFF"/>
        </w:rPr>
      </w:pPr>
    </w:p>
    <w:p w:rsidR="00272C04" w:rsidRDefault="00272C04" w:rsidP="00277EC5">
      <w:pPr>
        <w:shd w:val="clear" w:color="auto" w:fill="FFFFFF"/>
        <w:spacing w:line="360" w:lineRule="auto"/>
        <w:ind w:firstLine="1134"/>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lastRenderedPageBreak/>
        <w:t>Ademais a autora Maria Berenice (2010), dispõe que:</w:t>
      </w:r>
    </w:p>
    <w:p w:rsidR="00D51973" w:rsidRDefault="00272C04" w:rsidP="00FB1B9E">
      <w:pPr>
        <w:shd w:val="clear" w:color="auto" w:fill="FFFFFF"/>
        <w:spacing w:line="240" w:lineRule="auto"/>
        <w:ind w:left="2268"/>
        <w:jc w:val="both"/>
        <w:rPr>
          <w:rStyle w:val="Forte"/>
          <w:rFonts w:ascii="Times New Roman" w:hAnsi="Times New Roman" w:cs="Times New Roman"/>
          <w:b w:val="0"/>
          <w:color w:val="333333"/>
          <w:sz w:val="20"/>
          <w:szCs w:val="20"/>
          <w:shd w:val="clear" w:color="auto" w:fill="FFFFFF"/>
        </w:rPr>
      </w:pPr>
      <w:r w:rsidRPr="00272C04">
        <w:rPr>
          <w:rFonts w:ascii="Times New Roman" w:hAnsi="Times New Roman" w:cs="Times New Roman"/>
          <w:color w:val="333333"/>
          <w:sz w:val="20"/>
          <w:szCs w:val="20"/>
          <w:shd w:val="clear" w:color="auto" w:fill="FFFFFF"/>
        </w:rPr>
        <w:t>[...] Lésbicas, transexuais, travestis e transgêneros, quem tenham identidade social com o sexo feminino estão ao abrigo da Lei Maria da Penha. A agressão contra elas no âmbito familiar constitui violência doméstica. Ainda que parte da doutrina encontre dificuldade em conceder-lhes o abrigo da Lei, descabe deixar à margem da proteção legal aqueles que se reconhecem como mulher. Felizmente, assim já vem entendendo a jurisprudência [...]</w:t>
      </w:r>
      <w:r>
        <w:rPr>
          <w:rFonts w:ascii="Times New Roman" w:hAnsi="Times New Roman" w:cs="Times New Roman"/>
          <w:color w:val="333333"/>
          <w:sz w:val="20"/>
          <w:szCs w:val="20"/>
          <w:shd w:val="clear" w:color="auto" w:fill="FFFFFF"/>
        </w:rPr>
        <w:t xml:space="preserve"> (</w:t>
      </w:r>
      <w:r w:rsidRPr="00272C04">
        <w:rPr>
          <w:rStyle w:val="Forte"/>
          <w:rFonts w:ascii="Times New Roman" w:hAnsi="Times New Roman" w:cs="Times New Roman"/>
          <w:b w:val="0"/>
          <w:color w:val="333333"/>
          <w:sz w:val="20"/>
          <w:szCs w:val="20"/>
          <w:shd w:val="clear" w:color="auto" w:fill="FFFFFF"/>
        </w:rPr>
        <w:t>A Lei Maria da Penha na Justiça. A efetividade da Lei 11.340/2006 de combate à violência doméstica e familiar contra a mulher</w:t>
      </w:r>
      <w:r w:rsidR="00FB1B9E">
        <w:rPr>
          <w:rStyle w:val="Forte"/>
          <w:rFonts w:ascii="Times New Roman" w:hAnsi="Times New Roman" w:cs="Times New Roman"/>
          <w:b w:val="0"/>
          <w:color w:val="333333"/>
          <w:sz w:val="20"/>
          <w:szCs w:val="20"/>
          <w:shd w:val="clear" w:color="auto" w:fill="FFFFFF"/>
        </w:rPr>
        <w:t>, 2010)</w:t>
      </w:r>
    </w:p>
    <w:p w:rsidR="00D51973" w:rsidRPr="00B171E0" w:rsidRDefault="00FB1B9E" w:rsidP="00B171E0">
      <w:pPr>
        <w:shd w:val="clear" w:color="auto" w:fill="FFFFFF"/>
        <w:spacing w:line="360" w:lineRule="auto"/>
        <w:ind w:left="708" w:firstLine="1134"/>
        <w:jc w:val="both"/>
        <w:rPr>
          <w:rFonts w:ascii="Times New Roman" w:hAnsi="Times New Roman" w:cs="Times New Roman"/>
          <w:b/>
          <w:spacing w:val="-5"/>
          <w:sz w:val="24"/>
          <w:szCs w:val="24"/>
          <w:shd w:val="clear" w:color="auto" w:fill="FFFFFF"/>
        </w:rPr>
      </w:pPr>
      <w:r>
        <w:rPr>
          <w:rStyle w:val="Forte"/>
          <w:rFonts w:ascii="Times New Roman" w:hAnsi="Times New Roman" w:cs="Times New Roman"/>
          <w:b w:val="0"/>
          <w:color w:val="333333"/>
          <w:sz w:val="24"/>
          <w:szCs w:val="24"/>
          <w:shd w:val="clear" w:color="auto" w:fill="FFFFFF"/>
        </w:rPr>
        <w:t xml:space="preserve">Portanto, o que se busca aqui é a igualdade entre os indivíduos, não importando sua orientação sexual para que a aplicação da Lei aria da Penha seja validada. </w:t>
      </w:r>
      <w:r w:rsidR="00B171E0">
        <w:rPr>
          <w:rStyle w:val="Forte"/>
          <w:rFonts w:ascii="Times New Roman" w:hAnsi="Times New Roman" w:cs="Times New Roman"/>
          <w:b w:val="0"/>
          <w:color w:val="333333"/>
          <w:sz w:val="24"/>
          <w:szCs w:val="24"/>
          <w:shd w:val="clear" w:color="auto" w:fill="FFFFFF"/>
        </w:rPr>
        <w:t>Pois, o mais determinante é prevenir e punir a violência doméstica, garantindo um lar saudável para conviver.</w:t>
      </w:r>
    </w:p>
    <w:p w:rsidR="00B26E5F" w:rsidRDefault="00B26E5F" w:rsidP="00B26E5F">
      <w:pPr>
        <w:pStyle w:val="PargrafodaLista"/>
        <w:spacing w:after="0" w:line="360" w:lineRule="auto"/>
        <w:ind w:left="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5 CONCLUSÃO</w:t>
      </w:r>
    </w:p>
    <w:p w:rsidR="00336E59" w:rsidRDefault="001D37D9" w:rsidP="00336E59">
      <w:pPr>
        <w:spacing w:after="0" w:line="360" w:lineRule="auto"/>
        <w:ind w:firstLine="1134"/>
        <w:jc w:val="both"/>
        <w:rPr>
          <w:rFonts w:ascii="Times New Roman" w:eastAsia="Times New Roman" w:hAnsi="Times New Roman" w:cs="Times New Roman"/>
          <w:color w:val="000000"/>
          <w:sz w:val="24"/>
          <w:szCs w:val="24"/>
          <w:lang w:eastAsia="pt-BR"/>
        </w:rPr>
      </w:pPr>
      <w:r w:rsidRPr="004A0A0F">
        <w:rPr>
          <w:rFonts w:ascii="Times New Roman" w:hAnsi="Times New Roman" w:cs="Times New Roman"/>
          <w:color w:val="000000"/>
          <w:sz w:val="24"/>
          <w:szCs w:val="24"/>
          <w:shd w:val="clear" w:color="auto" w:fill="FFFFFF"/>
        </w:rPr>
        <w:t>Em linhas gera</w:t>
      </w:r>
      <w:r>
        <w:rPr>
          <w:rFonts w:ascii="Times New Roman" w:hAnsi="Times New Roman" w:cs="Times New Roman"/>
          <w:color w:val="000000"/>
          <w:sz w:val="24"/>
          <w:szCs w:val="24"/>
          <w:shd w:val="clear" w:color="auto" w:fill="FFFFFF"/>
        </w:rPr>
        <w:t>is, a aplicação da Lei Maria da Penha nas relações homoafetivas entre homens é</w:t>
      </w:r>
      <w:r w:rsidRPr="004A0A0F">
        <w:rPr>
          <w:rFonts w:ascii="Times New Roman" w:hAnsi="Times New Roman" w:cs="Times New Roman"/>
          <w:color w:val="000000" w:themeColor="text1"/>
          <w:sz w:val="24"/>
          <w:szCs w:val="24"/>
          <w:shd w:val="clear" w:color="auto" w:fill="FFFFFF"/>
        </w:rPr>
        <w:t xml:space="preserve"> de sum</w:t>
      </w:r>
      <w:r>
        <w:rPr>
          <w:rFonts w:ascii="Times New Roman" w:hAnsi="Times New Roman" w:cs="Times New Roman"/>
          <w:color w:val="000000" w:themeColor="text1"/>
          <w:sz w:val="24"/>
          <w:szCs w:val="24"/>
          <w:shd w:val="clear" w:color="auto" w:fill="FFFFFF"/>
        </w:rPr>
        <w:t>a importância para a garantia de que a identidade de gênero seja levada em consideração e respeitada</w:t>
      </w:r>
      <w:r w:rsidRPr="004A0A0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independente do sexo de cada indivíduo. Mesmo que a Lei, a prioristicamente, tenha sido criada para casais heterossexuais, </w:t>
      </w:r>
      <w:r w:rsidRPr="004A0A0F">
        <w:rPr>
          <w:rFonts w:ascii="Times New Roman" w:hAnsi="Times New Roman" w:cs="Times New Roman"/>
          <w:color w:val="000000" w:themeColor="text1"/>
          <w:sz w:val="24"/>
          <w:szCs w:val="24"/>
          <w:shd w:val="clear" w:color="auto" w:fill="FFFFFF"/>
        </w:rPr>
        <w:t>seu principal objetivo é</w:t>
      </w:r>
      <w:r w:rsidRPr="004A0A0F">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a proteção contra ameaças e violências no âmbito doméstico</w:t>
      </w:r>
      <w:r w:rsidRPr="004A0A0F">
        <w:rPr>
          <w:rFonts w:ascii="Times New Roman" w:eastAsia="Times New Roman" w:hAnsi="Times New Roman" w:cs="Times New Roman"/>
          <w:color w:val="000000"/>
          <w:sz w:val="24"/>
          <w:szCs w:val="24"/>
          <w:lang w:eastAsia="pt-BR"/>
        </w:rPr>
        <w:t>.</w:t>
      </w:r>
    </w:p>
    <w:p w:rsidR="00272C04" w:rsidRPr="00D51973" w:rsidRDefault="00D51973" w:rsidP="00EC2154">
      <w:pPr>
        <w:shd w:val="clear" w:color="auto" w:fill="FFFFFF"/>
        <w:spacing w:after="288" w:line="360" w:lineRule="auto"/>
        <w:ind w:firstLine="840"/>
        <w:jc w:val="both"/>
        <w:rPr>
          <w:rFonts w:ascii="Times New Roman" w:eastAsia="Times New Roman" w:hAnsi="Times New Roman" w:cs="Times New Roman"/>
          <w:sz w:val="24"/>
          <w:szCs w:val="24"/>
          <w:lang w:eastAsia="pt-BR"/>
        </w:rPr>
      </w:pPr>
      <w:r w:rsidRPr="00D51973">
        <w:rPr>
          <w:rFonts w:ascii="Times New Roman" w:eastAsia="Times New Roman" w:hAnsi="Times New Roman" w:cs="Times New Roman"/>
          <w:sz w:val="24"/>
          <w:szCs w:val="24"/>
          <w:lang w:eastAsia="pt-BR"/>
        </w:rPr>
        <w:t>Além disso</w:t>
      </w:r>
      <w:r w:rsidR="001D37D9" w:rsidRPr="00D51973">
        <w:rPr>
          <w:rFonts w:ascii="Times New Roman" w:eastAsia="Times New Roman" w:hAnsi="Times New Roman" w:cs="Times New Roman"/>
          <w:sz w:val="24"/>
          <w:szCs w:val="24"/>
          <w:lang w:eastAsia="pt-BR"/>
        </w:rPr>
        <w:t xml:space="preserve">, considerando que o objetivo principal </w:t>
      </w:r>
      <w:r w:rsidR="001D37D9" w:rsidRPr="001D37D9">
        <w:rPr>
          <w:rFonts w:ascii="Times New Roman" w:eastAsia="Times New Roman" w:hAnsi="Times New Roman" w:cs="Times New Roman"/>
          <w:sz w:val="24"/>
          <w:szCs w:val="24"/>
          <w:lang w:eastAsia="pt-BR"/>
        </w:rPr>
        <w:t xml:space="preserve">da Lei Maria da Penha é </w:t>
      </w:r>
      <w:r w:rsidR="001D37D9" w:rsidRPr="00D51973">
        <w:rPr>
          <w:rFonts w:ascii="Times New Roman" w:eastAsia="Times New Roman" w:hAnsi="Times New Roman" w:cs="Times New Roman"/>
          <w:sz w:val="24"/>
          <w:szCs w:val="24"/>
          <w:lang w:eastAsia="pt-BR"/>
        </w:rPr>
        <w:t xml:space="preserve">precaver, </w:t>
      </w:r>
      <w:r w:rsidR="001D37D9" w:rsidRPr="001D37D9">
        <w:rPr>
          <w:rFonts w:ascii="Times New Roman" w:eastAsia="Times New Roman" w:hAnsi="Times New Roman" w:cs="Times New Roman"/>
          <w:sz w:val="24"/>
          <w:szCs w:val="24"/>
          <w:lang w:eastAsia="pt-BR"/>
        </w:rPr>
        <w:t>prevenir, punir e erradicar a violência doméstica e familiar contra a mulher, não em razão do sexo, mas em virtude do gênero (violência domést</w:t>
      </w:r>
      <w:r w:rsidR="001D37D9" w:rsidRPr="00D51973">
        <w:rPr>
          <w:rFonts w:ascii="Times New Roman" w:eastAsia="Times New Roman" w:hAnsi="Times New Roman" w:cs="Times New Roman"/>
          <w:sz w:val="24"/>
          <w:szCs w:val="24"/>
          <w:lang w:eastAsia="pt-BR"/>
        </w:rPr>
        <w:t xml:space="preserve">ica), valendo-se do princípio da igualdade sexual, </w:t>
      </w:r>
      <w:r w:rsidR="00EC2154" w:rsidRPr="00D51973">
        <w:rPr>
          <w:rFonts w:ascii="Times New Roman" w:eastAsia="Times New Roman" w:hAnsi="Times New Roman" w:cs="Times New Roman"/>
          <w:sz w:val="24"/>
          <w:szCs w:val="24"/>
          <w:lang w:eastAsia="pt-BR"/>
        </w:rPr>
        <w:t>é</w:t>
      </w:r>
      <w:r w:rsidR="001D37D9" w:rsidRPr="00D51973">
        <w:rPr>
          <w:rFonts w:ascii="Times New Roman" w:eastAsia="Times New Roman" w:hAnsi="Times New Roman" w:cs="Times New Roman"/>
          <w:sz w:val="24"/>
          <w:szCs w:val="24"/>
          <w:lang w:eastAsia="pt-BR"/>
        </w:rPr>
        <w:t xml:space="preserve"> necessária</w:t>
      </w:r>
      <w:r w:rsidR="001D37D9" w:rsidRPr="001D37D9">
        <w:rPr>
          <w:rFonts w:ascii="Times New Roman" w:eastAsia="Times New Roman" w:hAnsi="Times New Roman" w:cs="Times New Roman"/>
          <w:sz w:val="24"/>
          <w:szCs w:val="24"/>
          <w:lang w:eastAsia="pt-BR"/>
        </w:rPr>
        <w:t xml:space="preserve"> a ap</w:t>
      </w:r>
      <w:r w:rsidR="001D37D9" w:rsidRPr="00D51973">
        <w:rPr>
          <w:rFonts w:ascii="Times New Roman" w:eastAsia="Times New Roman" w:hAnsi="Times New Roman" w:cs="Times New Roman"/>
          <w:sz w:val="24"/>
          <w:szCs w:val="24"/>
          <w:lang w:eastAsia="pt-BR"/>
        </w:rPr>
        <w:t xml:space="preserve">licação da Lei Maria da Penha-Lei 11.340/06, </w:t>
      </w:r>
      <w:r w:rsidR="001D37D9" w:rsidRPr="001D37D9">
        <w:rPr>
          <w:rFonts w:ascii="Times New Roman" w:eastAsia="Times New Roman" w:hAnsi="Times New Roman" w:cs="Times New Roman"/>
          <w:sz w:val="24"/>
          <w:szCs w:val="24"/>
          <w:lang w:eastAsia="pt-BR"/>
        </w:rPr>
        <w:t>aos crimes praticados contra homens nas relações domésticas</w:t>
      </w:r>
      <w:r w:rsidR="00EC2154" w:rsidRPr="00D51973">
        <w:rPr>
          <w:rFonts w:ascii="Times New Roman" w:eastAsia="Times New Roman" w:hAnsi="Times New Roman" w:cs="Times New Roman"/>
          <w:sz w:val="24"/>
          <w:szCs w:val="24"/>
          <w:lang w:eastAsia="pt-BR"/>
        </w:rPr>
        <w:t>, pois o mais importante é como o indivíduo se vê diante do sistema performado que lhe é imposto desde o seu nascimento</w:t>
      </w:r>
      <w:r w:rsidR="001D37D9" w:rsidRPr="001D37D9">
        <w:rPr>
          <w:rFonts w:ascii="Times New Roman" w:eastAsia="Times New Roman" w:hAnsi="Times New Roman" w:cs="Times New Roman"/>
          <w:sz w:val="24"/>
          <w:szCs w:val="24"/>
          <w:lang w:eastAsia="pt-BR"/>
        </w:rPr>
        <w:t>. O que caracteriza a violência doméstica não é o sexo, mas sim a existência de relação familiar ou de afetividade entre as pessoas envolvidas, desde que uma esteja em situação de vulnerabilidade em relação a outra</w:t>
      </w:r>
      <w:r w:rsidR="00EC2154" w:rsidRPr="00D51973">
        <w:rPr>
          <w:rFonts w:ascii="Times New Roman" w:eastAsia="Times New Roman" w:hAnsi="Times New Roman" w:cs="Times New Roman"/>
          <w:sz w:val="24"/>
          <w:szCs w:val="24"/>
          <w:lang w:eastAsia="pt-BR"/>
        </w:rPr>
        <w:t>, ou seja, sento ameaçada ou violentada no seu ambiente doméstico</w:t>
      </w:r>
      <w:r w:rsidR="001D37D9" w:rsidRPr="001D37D9">
        <w:rPr>
          <w:rFonts w:ascii="Times New Roman" w:eastAsia="Times New Roman" w:hAnsi="Times New Roman" w:cs="Times New Roman"/>
          <w:sz w:val="24"/>
          <w:szCs w:val="24"/>
          <w:lang w:eastAsia="pt-BR"/>
        </w:rPr>
        <w:t>.</w:t>
      </w:r>
      <w:r w:rsidR="001D37D9" w:rsidRPr="00D51973">
        <w:rPr>
          <w:rFonts w:ascii="Times New Roman" w:eastAsia="Times New Roman" w:hAnsi="Times New Roman" w:cs="Times New Roman"/>
          <w:sz w:val="24"/>
          <w:szCs w:val="24"/>
          <w:lang w:eastAsia="pt-BR"/>
        </w:rPr>
        <w:t xml:space="preserve"> </w:t>
      </w:r>
      <w:r w:rsidR="001D37D9" w:rsidRPr="001D37D9">
        <w:rPr>
          <w:rFonts w:ascii="Times New Roman" w:eastAsia="Times New Roman" w:hAnsi="Times New Roman" w:cs="Times New Roman"/>
          <w:sz w:val="24"/>
          <w:szCs w:val="24"/>
          <w:lang w:eastAsia="pt-BR"/>
        </w:rPr>
        <w:t>Ademais, o reconhecimento da união entre pessoas do mesmo sexo confirma que a Lei nº 11.340/06 também se aplica aos casais homossexuais</w:t>
      </w:r>
      <w:r w:rsidR="00EC2154" w:rsidRPr="00D51973">
        <w:rPr>
          <w:rFonts w:ascii="Times New Roman" w:eastAsia="Times New Roman" w:hAnsi="Times New Roman" w:cs="Times New Roman"/>
          <w:sz w:val="24"/>
          <w:szCs w:val="24"/>
          <w:lang w:eastAsia="pt-BR"/>
        </w:rPr>
        <w:t>, devendo ser ampliada a Lei Maria da Penha aqueles que sofrem tais violências domésticas.</w:t>
      </w:r>
      <w:r w:rsidR="001D37D9" w:rsidRPr="001D37D9">
        <w:rPr>
          <w:rFonts w:ascii="Times New Roman" w:eastAsia="Times New Roman" w:hAnsi="Times New Roman" w:cs="Times New Roman"/>
          <w:sz w:val="24"/>
          <w:szCs w:val="24"/>
          <w:lang w:eastAsia="pt-BR"/>
        </w:rPr>
        <w:t>.</w:t>
      </w:r>
    </w:p>
    <w:p w:rsidR="00D33ECC" w:rsidRPr="00D33ECC" w:rsidRDefault="00272C04" w:rsidP="00D33ECC">
      <w:pPr>
        <w:shd w:val="clear" w:color="auto" w:fill="FFFFFF"/>
        <w:spacing w:after="288" w:line="360" w:lineRule="auto"/>
        <w:ind w:firstLine="840"/>
        <w:jc w:val="both"/>
        <w:rPr>
          <w:rFonts w:ascii="Times New Roman" w:eastAsia="Times New Roman" w:hAnsi="Times New Roman" w:cs="Times New Roman"/>
          <w:sz w:val="24"/>
          <w:szCs w:val="24"/>
          <w:lang w:eastAsia="pt-BR"/>
        </w:rPr>
      </w:pPr>
      <w:r w:rsidRPr="00D51973">
        <w:rPr>
          <w:rFonts w:ascii="Times New Roman" w:eastAsia="Times New Roman" w:hAnsi="Times New Roman" w:cs="Times New Roman"/>
          <w:sz w:val="24"/>
          <w:szCs w:val="24"/>
          <w:lang w:eastAsia="pt-BR"/>
        </w:rPr>
        <w:t>Assim</w:t>
      </w:r>
      <w:r w:rsidR="00D33ECC" w:rsidRPr="00D33ECC">
        <w:rPr>
          <w:rFonts w:ascii="Times New Roman" w:eastAsia="Times New Roman" w:hAnsi="Times New Roman" w:cs="Times New Roman"/>
          <w:sz w:val="24"/>
          <w:szCs w:val="24"/>
          <w:lang w:eastAsia="pt-BR"/>
        </w:rPr>
        <w:t>, o objetivo principal desta pesquisa consistiu no fato d</w:t>
      </w:r>
      <w:r w:rsidR="00277EC5" w:rsidRPr="00D51973">
        <w:rPr>
          <w:rFonts w:ascii="Times New Roman" w:eastAsia="Times New Roman" w:hAnsi="Times New Roman" w:cs="Times New Roman"/>
          <w:sz w:val="24"/>
          <w:szCs w:val="24"/>
          <w:lang w:eastAsia="pt-BR"/>
        </w:rPr>
        <w:t>a possível aplicação ou não d</w:t>
      </w:r>
      <w:r w:rsidR="00D33ECC" w:rsidRPr="00D33ECC">
        <w:rPr>
          <w:rFonts w:ascii="Times New Roman" w:eastAsia="Times New Roman" w:hAnsi="Times New Roman" w:cs="Times New Roman"/>
          <w:sz w:val="24"/>
          <w:szCs w:val="24"/>
          <w:lang w:eastAsia="pt-BR"/>
        </w:rPr>
        <w:t>a Lei</w:t>
      </w:r>
      <w:r w:rsidR="00277EC5" w:rsidRPr="00D51973">
        <w:rPr>
          <w:rFonts w:ascii="Times New Roman" w:eastAsia="Times New Roman" w:hAnsi="Times New Roman" w:cs="Times New Roman"/>
          <w:sz w:val="24"/>
          <w:szCs w:val="24"/>
          <w:lang w:eastAsia="pt-BR"/>
        </w:rPr>
        <w:t xml:space="preserve"> Maria da Penha, no que tang</w:t>
      </w:r>
      <w:r w:rsidR="00D33ECC" w:rsidRPr="00D33ECC">
        <w:rPr>
          <w:rFonts w:ascii="Times New Roman" w:eastAsia="Times New Roman" w:hAnsi="Times New Roman" w:cs="Times New Roman"/>
          <w:sz w:val="24"/>
          <w:szCs w:val="24"/>
          <w:lang w:eastAsia="pt-BR"/>
        </w:rPr>
        <w:t>e ao</w:t>
      </w:r>
      <w:r w:rsidR="00277EC5" w:rsidRPr="00D51973">
        <w:rPr>
          <w:rFonts w:ascii="Times New Roman" w:eastAsia="Times New Roman" w:hAnsi="Times New Roman" w:cs="Times New Roman"/>
          <w:sz w:val="24"/>
          <w:szCs w:val="24"/>
          <w:lang w:eastAsia="pt-BR"/>
        </w:rPr>
        <w:t>s casais homossexuais entre</w:t>
      </w:r>
      <w:r w:rsidR="00D33ECC" w:rsidRPr="00D33ECC">
        <w:rPr>
          <w:rFonts w:ascii="Times New Roman" w:eastAsia="Times New Roman" w:hAnsi="Times New Roman" w:cs="Times New Roman"/>
          <w:sz w:val="24"/>
          <w:szCs w:val="24"/>
          <w:lang w:eastAsia="pt-BR"/>
        </w:rPr>
        <w:t xml:space="preserve"> homens, tendo em vista que o âmbito da referida lei já se resume aos casais heterossexuais. Em face disso, pode-se concluir que a aplicação da lei em pauta aos casais homossexuais está de acordo com a </w:t>
      </w:r>
      <w:r w:rsidR="00D33ECC" w:rsidRPr="00D33ECC">
        <w:rPr>
          <w:rFonts w:ascii="Times New Roman" w:eastAsia="Times New Roman" w:hAnsi="Times New Roman" w:cs="Times New Roman"/>
          <w:sz w:val="24"/>
          <w:szCs w:val="24"/>
          <w:lang w:eastAsia="pt-BR"/>
        </w:rPr>
        <w:lastRenderedPageBreak/>
        <w:t>Constituição brasileira</w:t>
      </w:r>
      <w:r w:rsidR="00D51973" w:rsidRPr="00D51973">
        <w:rPr>
          <w:rFonts w:ascii="Times New Roman" w:eastAsia="Times New Roman" w:hAnsi="Times New Roman" w:cs="Times New Roman"/>
          <w:sz w:val="24"/>
          <w:szCs w:val="24"/>
          <w:lang w:eastAsia="pt-BR"/>
        </w:rPr>
        <w:t xml:space="preserve">, em que </w:t>
      </w:r>
      <w:r w:rsidR="00D51973" w:rsidRPr="00D51973">
        <w:rPr>
          <w:rFonts w:ascii="Times New Roman" w:eastAsia="Times New Roman" w:hAnsi="Times New Roman" w:cs="Times New Roman"/>
          <w:sz w:val="24"/>
        </w:rPr>
        <w:t>são reconhecidos às uniões estáveis homoafetivas e todos os direitos conferidos às uniões estáveis entre um homem e uma mulher, ou seja, perante a lei não há distinção alguma entre um ente familiar e outro</w:t>
      </w:r>
      <w:r w:rsidR="00D51973">
        <w:rPr>
          <w:rFonts w:ascii="Times New Roman" w:eastAsia="Times New Roman" w:hAnsi="Times New Roman" w:cs="Times New Roman"/>
          <w:sz w:val="24"/>
          <w:szCs w:val="24"/>
          <w:lang w:eastAsia="pt-BR"/>
        </w:rPr>
        <w:t xml:space="preserve">. Então, conclui-se </w:t>
      </w:r>
      <w:r w:rsidR="00336E59">
        <w:rPr>
          <w:rFonts w:ascii="Times New Roman" w:eastAsia="Times New Roman" w:hAnsi="Times New Roman" w:cs="Times New Roman"/>
          <w:sz w:val="24"/>
          <w:szCs w:val="24"/>
          <w:lang w:eastAsia="pt-BR"/>
        </w:rPr>
        <w:t>que a Lei Maria da Penha deve ser estendida não só a casais de sexo oposto, mas também entre casais do mesmo sexo, baseando-se na ideia de violência doméstica, como já vem sendo entendida por alguns juízes brasileiros, que julgaram alguns casos, determinando medidas protetivas da Lei, para casais do mesmo sexo, em que há violência doméstica e familiar.</w:t>
      </w:r>
    </w:p>
    <w:p w:rsidR="00AD3540" w:rsidRPr="00D33ECC" w:rsidRDefault="00AD3540" w:rsidP="00D33ECC">
      <w:pPr>
        <w:pStyle w:val="PargrafodaLista"/>
        <w:spacing w:after="0" w:line="360" w:lineRule="auto"/>
        <w:ind w:left="0"/>
        <w:jc w:val="both"/>
        <w:rPr>
          <w:rFonts w:ascii="Times New Roman" w:hAnsi="Times New Roman" w:cs="Times New Roman"/>
          <w:b/>
          <w:sz w:val="24"/>
          <w:szCs w:val="24"/>
          <w:shd w:val="clear" w:color="auto" w:fill="FFFFFF"/>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tblGrid>
      <w:tr w:rsidR="00105F9A" w:rsidRPr="0063780F" w:rsidTr="00470602">
        <w:tc>
          <w:tcPr>
            <w:tcW w:w="550" w:type="dxa"/>
          </w:tcPr>
          <w:p w:rsidR="00105F9A" w:rsidRPr="0063780F" w:rsidRDefault="00105F9A" w:rsidP="00105F9A">
            <w:pPr>
              <w:rPr>
                <w:rFonts w:ascii="Times New Roman" w:hAnsi="Times New Roman" w:cs="Times New Roman"/>
                <w:b/>
                <w:sz w:val="24"/>
                <w:szCs w:val="24"/>
              </w:rPr>
            </w:pPr>
          </w:p>
        </w:tc>
      </w:tr>
    </w:tbl>
    <w:p w:rsidR="00FF2908" w:rsidRPr="00FF2908" w:rsidRDefault="00FF2908" w:rsidP="00FF2908">
      <w:pPr>
        <w:spacing w:after="0" w:line="360" w:lineRule="auto"/>
        <w:jc w:val="both"/>
        <w:rPr>
          <w:rFonts w:ascii="Times New Roman" w:eastAsia="Times New Roman" w:hAnsi="Times New Roman" w:cs="Times New Roman"/>
          <w:b/>
          <w:sz w:val="24"/>
        </w:rPr>
      </w:pPr>
    </w:p>
    <w:p w:rsidR="00C74D87" w:rsidRDefault="00C74D87" w:rsidP="00FA1DF5">
      <w:pPr>
        <w:spacing w:after="0" w:line="240" w:lineRule="auto"/>
        <w:jc w:val="center"/>
        <w:rPr>
          <w:rFonts w:ascii="Times New Roman" w:hAnsi="Times New Roman" w:cs="Times New Roman"/>
          <w:b/>
          <w:sz w:val="24"/>
          <w:szCs w:val="24"/>
        </w:rPr>
      </w:pPr>
    </w:p>
    <w:p w:rsidR="00C74D87" w:rsidRDefault="00C74D87" w:rsidP="00FA1DF5">
      <w:pPr>
        <w:spacing w:after="0" w:line="240" w:lineRule="auto"/>
        <w:jc w:val="center"/>
        <w:rPr>
          <w:rFonts w:ascii="Times New Roman" w:hAnsi="Times New Roman" w:cs="Times New Roman"/>
          <w:b/>
          <w:sz w:val="24"/>
          <w:szCs w:val="24"/>
        </w:rPr>
      </w:pPr>
    </w:p>
    <w:p w:rsidR="00C74D87" w:rsidRDefault="00C74D87" w:rsidP="00FA1DF5">
      <w:pPr>
        <w:spacing w:after="0" w:line="240" w:lineRule="auto"/>
        <w:jc w:val="center"/>
        <w:rPr>
          <w:rFonts w:ascii="Times New Roman" w:hAnsi="Times New Roman" w:cs="Times New Roman"/>
          <w:b/>
          <w:sz w:val="24"/>
          <w:szCs w:val="24"/>
        </w:rPr>
      </w:pPr>
    </w:p>
    <w:p w:rsidR="00C74D87" w:rsidRDefault="00C74D87" w:rsidP="00FA1DF5">
      <w:pPr>
        <w:spacing w:after="0" w:line="240" w:lineRule="auto"/>
        <w:jc w:val="center"/>
        <w:rPr>
          <w:rFonts w:ascii="Times New Roman" w:hAnsi="Times New Roman" w:cs="Times New Roman"/>
          <w:b/>
          <w:sz w:val="24"/>
          <w:szCs w:val="24"/>
        </w:rPr>
      </w:pPr>
    </w:p>
    <w:p w:rsidR="00C74D87" w:rsidRDefault="00C74D87" w:rsidP="00FA1DF5">
      <w:pPr>
        <w:spacing w:after="0" w:line="240" w:lineRule="auto"/>
        <w:jc w:val="center"/>
        <w:rPr>
          <w:rFonts w:ascii="Times New Roman" w:hAnsi="Times New Roman" w:cs="Times New Roman"/>
          <w:b/>
          <w:sz w:val="24"/>
          <w:szCs w:val="24"/>
        </w:rPr>
      </w:pPr>
    </w:p>
    <w:p w:rsidR="00C74D87" w:rsidRDefault="00C74D87"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C74D87" w:rsidRDefault="00C74D87" w:rsidP="00FA1DF5">
      <w:pPr>
        <w:spacing w:after="0" w:line="240" w:lineRule="auto"/>
        <w:jc w:val="center"/>
        <w:rPr>
          <w:rFonts w:ascii="Times New Roman" w:hAnsi="Times New Roman" w:cs="Times New Roman"/>
          <w:b/>
          <w:sz w:val="24"/>
          <w:szCs w:val="24"/>
        </w:rPr>
      </w:pPr>
    </w:p>
    <w:p w:rsidR="00C74D87" w:rsidRDefault="00C74D87" w:rsidP="00FA1DF5">
      <w:pPr>
        <w:spacing w:after="0" w:line="240" w:lineRule="auto"/>
        <w:jc w:val="center"/>
        <w:rPr>
          <w:rFonts w:ascii="Times New Roman" w:hAnsi="Times New Roman" w:cs="Times New Roman"/>
          <w:b/>
          <w:sz w:val="24"/>
          <w:szCs w:val="24"/>
        </w:rPr>
      </w:pPr>
    </w:p>
    <w:p w:rsidR="00D33ECC" w:rsidRDefault="00D33ECC" w:rsidP="001D37D9">
      <w:pPr>
        <w:spacing w:after="0" w:line="240" w:lineRule="auto"/>
        <w:rPr>
          <w:rFonts w:ascii="Times New Roman" w:hAnsi="Times New Roman" w:cs="Times New Roman"/>
          <w:b/>
          <w:sz w:val="24"/>
          <w:szCs w:val="24"/>
        </w:rPr>
      </w:pPr>
    </w:p>
    <w:p w:rsidR="00D33ECC" w:rsidRDefault="00D33ECC"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2567F4" w:rsidRDefault="002567F4" w:rsidP="00FA1DF5">
      <w:pPr>
        <w:spacing w:after="0" w:line="240" w:lineRule="auto"/>
        <w:jc w:val="center"/>
        <w:rPr>
          <w:rFonts w:ascii="Times New Roman" w:hAnsi="Times New Roman" w:cs="Times New Roman"/>
          <w:b/>
          <w:sz w:val="24"/>
          <w:szCs w:val="24"/>
        </w:rPr>
      </w:pPr>
    </w:p>
    <w:p w:rsidR="00D33ECC" w:rsidRDefault="00D33ECC" w:rsidP="00FA1DF5">
      <w:pPr>
        <w:spacing w:after="0" w:line="240" w:lineRule="auto"/>
        <w:jc w:val="center"/>
        <w:rPr>
          <w:rFonts w:ascii="Times New Roman" w:hAnsi="Times New Roman" w:cs="Times New Roman"/>
          <w:b/>
          <w:sz w:val="24"/>
          <w:szCs w:val="24"/>
        </w:rPr>
      </w:pPr>
    </w:p>
    <w:p w:rsidR="0063780F" w:rsidRDefault="0063780F" w:rsidP="00FA1DF5">
      <w:pPr>
        <w:spacing w:after="0" w:line="240" w:lineRule="auto"/>
        <w:jc w:val="center"/>
        <w:rPr>
          <w:rFonts w:ascii="Times New Roman" w:hAnsi="Times New Roman" w:cs="Times New Roman"/>
          <w:b/>
          <w:sz w:val="24"/>
          <w:szCs w:val="24"/>
        </w:rPr>
      </w:pPr>
      <w:r w:rsidRPr="00FA1DF5">
        <w:rPr>
          <w:rFonts w:ascii="Times New Roman" w:hAnsi="Times New Roman" w:cs="Times New Roman"/>
          <w:b/>
          <w:sz w:val="24"/>
          <w:szCs w:val="24"/>
        </w:rPr>
        <w:lastRenderedPageBreak/>
        <w:t>REFERÊNCIAS</w:t>
      </w:r>
    </w:p>
    <w:p w:rsidR="00526603" w:rsidRPr="00FA1DF5" w:rsidRDefault="00526603" w:rsidP="00FA1DF5">
      <w:pPr>
        <w:spacing w:after="0" w:line="240" w:lineRule="auto"/>
        <w:jc w:val="center"/>
        <w:rPr>
          <w:rFonts w:ascii="Times New Roman" w:hAnsi="Times New Roman" w:cs="Times New Roman"/>
          <w:b/>
          <w:sz w:val="24"/>
          <w:szCs w:val="24"/>
        </w:rPr>
      </w:pPr>
    </w:p>
    <w:p w:rsidR="0063780F" w:rsidRPr="00FA1DF5" w:rsidRDefault="0063780F" w:rsidP="00FA1DF5">
      <w:pPr>
        <w:spacing w:after="0" w:line="240" w:lineRule="auto"/>
        <w:jc w:val="center"/>
        <w:rPr>
          <w:rFonts w:ascii="Times New Roman" w:hAnsi="Times New Roman" w:cs="Times New Roman"/>
          <w:b/>
          <w:sz w:val="24"/>
          <w:szCs w:val="24"/>
        </w:rPr>
      </w:pPr>
    </w:p>
    <w:p w:rsidR="0063780F" w:rsidRDefault="0063780F" w:rsidP="00FA1DF5">
      <w:pPr>
        <w:spacing w:after="0" w:line="240" w:lineRule="auto"/>
        <w:jc w:val="both"/>
        <w:rPr>
          <w:rFonts w:ascii="Times New Roman" w:eastAsia="Times New Roman" w:hAnsi="Times New Roman" w:cs="Times New Roman"/>
          <w:sz w:val="24"/>
          <w:szCs w:val="24"/>
          <w:shd w:val="clear" w:color="auto" w:fill="FFFFFF"/>
        </w:rPr>
      </w:pPr>
      <w:r w:rsidRPr="00FA1DF5">
        <w:rPr>
          <w:rFonts w:ascii="Times New Roman" w:eastAsia="Times New Roman" w:hAnsi="Times New Roman" w:cs="Times New Roman"/>
          <w:sz w:val="24"/>
          <w:szCs w:val="24"/>
          <w:shd w:val="clear" w:color="auto" w:fill="FFFFFF"/>
        </w:rPr>
        <w:t xml:space="preserve">ÁVILA, Maria Betânia. </w:t>
      </w:r>
      <w:r w:rsidRPr="00FA1DF5">
        <w:rPr>
          <w:rFonts w:ascii="Times New Roman" w:eastAsia="Times New Roman" w:hAnsi="Times New Roman" w:cs="Times New Roman"/>
          <w:b/>
          <w:sz w:val="24"/>
          <w:szCs w:val="24"/>
          <w:shd w:val="clear" w:color="auto" w:fill="FFFFFF"/>
        </w:rPr>
        <w:t>Novas Legalidades e Democratização da vida social: família, sexualidade e aborto</w:t>
      </w:r>
      <w:r w:rsidRPr="00FA1DF5">
        <w:rPr>
          <w:rFonts w:ascii="Times New Roman" w:eastAsia="Times New Roman" w:hAnsi="Times New Roman" w:cs="Times New Roman"/>
          <w:sz w:val="24"/>
          <w:szCs w:val="24"/>
          <w:shd w:val="clear" w:color="auto" w:fill="FFFFFF"/>
        </w:rPr>
        <w:t>. Rio de Janeiro: Garamond, 2005.</w:t>
      </w:r>
    </w:p>
    <w:p w:rsidR="004E27AA" w:rsidRDefault="004E27AA" w:rsidP="00FA1DF5">
      <w:pPr>
        <w:spacing w:after="0" w:line="240" w:lineRule="auto"/>
        <w:jc w:val="both"/>
        <w:rPr>
          <w:rFonts w:ascii="Times New Roman" w:eastAsia="Times New Roman" w:hAnsi="Times New Roman" w:cs="Times New Roman"/>
          <w:sz w:val="24"/>
          <w:szCs w:val="24"/>
          <w:shd w:val="clear" w:color="auto" w:fill="FFFFFF"/>
        </w:rPr>
      </w:pPr>
    </w:p>
    <w:p w:rsidR="004E27AA" w:rsidRPr="004E27AA" w:rsidRDefault="004E27AA" w:rsidP="00FA1DF5">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BRASIL. </w:t>
      </w:r>
      <w:r>
        <w:rPr>
          <w:rFonts w:ascii="Times New Roman" w:eastAsia="Times New Roman" w:hAnsi="Times New Roman" w:cs="Times New Roman"/>
          <w:b/>
          <w:sz w:val="24"/>
          <w:szCs w:val="24"/>
          <w:shd w:val="clear" w:color="auto" w:fill="FFFFFF"/>
        </w:rPr>
        <w:t>Ação de Descumprimento de Preceiro Fundamental (ADPF)</w:t>
      </w:r>
      <w:r>
        <w:rPr>
          <w:rFonts w:ascii="Times New Roman" w:eastAsia="Times New Roman" w:hAnsi="Times New Roman" w:cs="Times New Roman"/>
          <w:sz w:val="24"/>
          <w:szCs w:val="24"/>
          <w:shd w:val="clear" w:color="auto" w:fill="FFFFFF"/>
        </w:rPr>
        <w:t xml:space="preserve">. N° 132. União Homoafetiva, 2011. Disponível em: </w:t>
      </w:r>
      <w:r w:rsidRPr="004E27AA">
        <w:rPr>
          <w:rFonts w:ascii="Times New Roman" w:eastAsia="Times New Roman" w:hAnsi="Times New Roman" w:cs="Times New Roman"/>
          <w:sz w:val="24"/>
          <w:szCs w:val="24"/>
          <w:shd w:val="clear" w:color="auto" w:fill="FFFFFF"/>
        </w:rPr>
        <w:t>http://www.conectas.org/arquivos/editor/files/ADPF%20132%20-%20resumo%20-%20STF%20em%20Foco.pdf</w:t>
      </w:r>
      <w:r>
        <w:rPr>
          <w:rFonts w:ascii="Times New Roman" w:eastAsia="Times New Roman" w:hAnsi="Times New Roman" w:cs="Times New Roman"/>
          <w:sz w:val="24"/>
          <w:szCs w:val="24"/>
          <w:shd w:val="clear" w:color="auto" w:fill="FFFFFF"/>
        </w:rPr>
        <w:t>. Acesso em: 09 mai. 2016</w:t>
      </w:r>
    </w:p>
    <w:p w:rsidR="0063780F" w:rsidRPr="00FA1DF5" w:rsidRDefault="0063780F" w:rsidP="00FA1DF5">
      <w:pPr>
        <w:spacing w:after="0" w:line="240" w:lineRule="auto"/>
        <w:jc w:val="both"/>
        <w:rPr>
          <w:rFonts w:ascii="Times New Roman" w:eastAsia="Times New Roman" w:hAnsi="Times New Roman" w:cs="Times New Roman"/>
          <w:sz w:val="24"/>
          <w:szCs w:val="24"/>
          <w:shd w:val="clear" w:color="auto" w:fill="FFFFFF"/>
        </w:rPr>
      </w:pPr>
    </w:p>
    <w:p w:rsidR="0063780F" w:rsidRPr="00FA1DF5" w:rsidRDefault="004E27AA" w:rsidP="00FA1DF5">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______</w:t>
      </w:r>
      <w:r w:rsidR="0063780F" w:rsidRPr="00FA1DF5">
        <w:rPr>
          <w:rFonts w:ascii="Times New Roman" w:eastAsia="Times New Roman" w:hAnsi="Times New Roman" w:cs="Times New Roman"/>
          <w:sz w:val="24"/>
          <w:szCs w:val="24"/>
          <w:shd w:val="clear" w:color="auto" w:fill="FFFFFF"/>
        </w:rPr>
        <w:t xml:space="preserve">. Constituição (1988). </w:t>
      </w:r>
      <w:r w:rsidR="0063780F" w:rsidRPr="00FA1DF5">
        <w:rPr>
          <w:rFonts w:ascii="Times New Roman" w:eastAsia="Times New Roman" w:hAnsi="Times New Roman" w:cs="Times New Roman"/>
          <w:b/>
          <w:sz w:val="24"/>
          <w:szCs w:val="24"/>
          <w:shd w:val="clear" w:color="auto" w:fill="FFFFFF"/>
        </w:rPr>
        <w:t>Constituição da República Federativa do Brasil</w:t>
      </w:r>
      <w:r w:rsidR="0063780F" w:rsidRPr="00FA1DF5">
        <w:rPr>
          <w:rFonts w:ascii="Times New Roman" w:eastAsia="Times New Roman" w:hAnsi="Times New Roman" w:cs="Times New Roman"/>
          <w:sz w:val="24"/>
          <w:szCs w:val="24"/>
          <w:shd w:val="clear" w:color="auto" w:fill="FFFFFF"/>
        </w:rPr>
        <w:t>. Brasília, DF: Senado Federal: Centro Gráfico, 1988. 292 p.</w:t>
      </w:r>
    </w:p>
    <w:p w:rsidR="0063780F" w:rsidRPr="00FA1DF5" w:rsidRDefault="0063780F" w:rsidP="00FA1DF5">
      <w:pPr>
        <w:spacing w:after="0" w:line="240" w:lineRule="auto"/>
        <w:rPr>
          <w:rFonts w:ascii="Times New Roman" w:eastAsia="Times New Roman" w:hAnsi="Times New Roman" w:cs="Times New Roman"/>
          <w:sz w:val="24"/>
          <w:szCs w:val="24"/>
          <w:shd w:val="clear" w:color="auto" w:fill="FFFFFF"/>
        </w:rPr>
      </w:pPr>
    </w:p>
    <w:p w:rsidR="0063780F" w:rsidRDefault="00526603" w:rsidP="00FA1DF5">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______</w:t>
      </w:r>
      <w:r w:rsidR="0063780F" w:rsidRPr="00FA1DF5">
        <w:rPr>
          <w:rFonts w:ascii="Times New Roman" w:eastAsia="Times New Roman" w:hAnsi="Times New Roman" w:cs="Times New Roman"/>
          <w:sz w:val="24"/>
          <w:szCs w:val="24"/>
          <w:shd w:val="clear" w:color="auto" w:fill="FFFFFF"/>
        </w:rPr>
        <w:t xml:space="preserve">. </w:t>
      </w:r>
      <w:r w:rsidR="0063780F" w:rsidRPr="00FA1DF5">
        <w:rPr>
          <w:rFonts w:ascii="Times New Roman" w:eastAsia="Times New Roman" w:hAnsi="Times New Roman" w:cs="Times New Roman"/>
          <w:b/>
          <w:sz w:val="24"/>
          <w:szCs w:val="24"/>
          <w:shd w:val="clear" w:color="auto" w:fill="FFFFFF"/>
        </w:rPr>
        <w:t>Lei 11.340/2006 - Lei Maria da Penha</w:t>
      </w:r>
      <w:r w:rsidR="0063780F" w:rsidRPr="00FA1DF5">
        <w:rPr>
          <w:rFonts w:ascii="Times New Roman" w:eastAsia="Times New Roman" w:hAnsi="Times New Roman" w:cs="Times New Roman"/>
          <w:sz w:val="24"/>
          <w:szCs w:val="24"/>
          <w:shd w:val="clear" w:color="auto" w:fill="FFFFFF"/>
        </w:rPr>
        <w:t>. Disponível em: &lt;</w:t>
      </w:r>
      <w:r w:rsidR="0063780F" w:rsidRPr="001D37D9">
        <w:rPr>
          <w:rFonts w:ascii="Times New Roman" w:eastAsia="Times New Roman" w:hAnsi="Times New Roman" w:cs="Times New Roman"/>
          <w:sz w:val="24"/>
          <w:szCs w:val="24"/>
          <w:u w:val="single"/>
          <w:shd w:val="clear" w:color="auto" w:fill="FFFFFF"/>
        </w:rPr>
        <w:t>http://www.planalto.gov.br/ccivil_03/_ato2004-2006/2006/lei/l11340.htm</w:t>
      </w:r>
      <w:r w:rsidR="0063780F" w:rsidRPr="00FA1DF5">
        <w:rPr>
          <w:rFonts w:ascii="Times New Roman" w:eastAsia="Times New Roman" w:hAnsi="Times New Roman" w:cs="Times New Roman"/>
          <w:sz w:val="24"/>
          <w:szCs w:val="24"/>
          <w:shd w:val="clear" w:color="auto" w:fill="FFFFFF"/>
        </w:rPr>
        <w:t xml:space="preserve">&gt;. Acesso em: </w:t>
      </w:r>
      <w:r w:rsidR="004E27AA">
        <w:rPr>
          <w:rFonts w:ascii="Times New Roman" w:eastAsia="Times New Roman" w:hAnsi="Times New Roman" w:cs="Times New Roman"/>
          <w:sz w:val="24"/>
          <w:szCs w:val="24"/>
          <w:shd w:val="clear" w:color="auto" w:fill="FFFFFF"/>
        </w:rPr>
        <w:t>09 mai</w:t>
      </w:r>
      <w:r w:rsidR="0063780F" w:rsidRPr="00FA1DF5">
        <w:rPr>
          <w:rFonts w:ascii="Times New Roman" w:eastAsia="Times New Roman" w:hAnsi="Times New Roman" w:cs="Times New Roman"/>
          <w:sz w:val="24"/>
          <w:szCs w:val="24"/>
          <w:shd w:val="clear" w:color="auto" w:fill="FFFFFF"/>
        </w:rPr>
        <w:t>. 2016.</w:t>
      </w:r>
    </w:p>
    <w:p w:rsidR="00CF5D83" w:rsidRDefault="00CF5D83" w:rsidP="00FA1DF5">
      <w:pPr>
        <w:spacing w:after="0" w:line="240" w:lineRule="auto"/>
        <w:rPr>
          <w:rFonts w:ascii="Times New Roman" w:eastAsia="Times New Roman" w:hAnsi="Times New Roman" w:cs="Times New Roman"/>
          <w:sz w:val="24"/>
          <w:szCs w:val="24"/>
          <w:shd w:val="clear" w:color="auto" w:fill="FFFFFF"/>
        </w:rPr>
      </w:pPr>
    </w:p>
    <w:p w:rsidR="00C74D87" w:rsidRDefault="00C74D87" w:rsidP="00FA1DF5">
      <w:pPr>
        <w:spacing w:after="0" w:line="240" w:lineRule="auto"/>
        <w:rPr>
          <w:rFonts w:ascii="Times New Roman" w:hAnsi="Times New Roman" w:cs="Times New Roman"/>
          <w:color w:val="000000"/>
          <w:sz w:val="24"/>
          <w:szCs w:val="24"/>
        </w:rPr>
      </w:pPr>
      <w:r w:rsidRPr="00C74D87">
        <w:rPr>
          <w:rFonts w:ascii="Times New Roman" w:hAnsi="Times New Roman" w:cs="Times New Roman"/>
          <w:color w:val="000000"/>
          <w:sz w:val="24"/>
          <w:szCs w:val="24"/>
        </w:rPr>
        <w:t xml:space="preserve">DIAS, Maria Berenice. Lei Maria da Penha. </w:t>
      </w:r>
      <w:r w:rsidRPr="00C74D87">
        <w:rPr>
          <w:rFonts w:ascii="Times New Roman" w:hAnsi="Times New Roman" w:cs="Times New Roman"/>
          <w:b/>
          <w:color w:val="000000"/>
          <w:sz w:val="24"/>
          <w:szCs w:val="24"/>
        </w:rPr>
        <w:t>A efetividade da Lei 11.340/2006 de combate à violência doméstica e familiar contra a mulher.</w:t>
      </w:r>
      <w:r w:rsidRPr="00C74D87">
        <w:rPr>
          <w:rFonts w:ascii="Times New Roman" w:hAnsi="Times New Roman" w:cs="Times New Roman"/>
          <w:color w:val="000000"/>
          <w:sz w:val="24"/>
          <w:szCs w:val="24"/>
        </w:rPr>
        <w:t xml:space="preserve"> São Paulo: Revista dos Tribunais, 2015.</w:t>
      </w:r>
    </w:p>
    <w:p w:rsidR="00A877F7" w:rsidRDefault="00A877F7" w:rsidP="00FA1DF5">
      <w:pPr>
        <w:spacing w:after="0" w:line="240" w:lineRule="auto"/>
        <w:rPr>
          <w:rFonts w:ascii="Times New Roman" w:hAnsi="Times New Roman" w:cs="Times New Roman"/>
          <w:color w:val="000000"/>
          <w:sz w:val="24"/>
          <w:szCs w:val="24"/>
        </w:rPr>
      </w:pPr>
    </w:p>
    <w:p w:rsidR="00A877F7" w:rsidRPr="00A877F7" w:rsidRDefault="00A877F7" w:rsidP="00FA1DF5">
      <w:pPr>
        <w:spacing w:after="0" w:line="240" w:lineRule="auto"/>
        <w:rPr>
          <w:rFonts w:ascii="Times New Roman" w:eastAsia="Times New Roman" w:hAnsi="Times New Roman" w:cs="Times New Roman"/>
          <w:sz w:val="24"/>
          <w:szCs w:val="24"/>
          <w:shd w:val="clear" w:color="auto" w:fill="FFFFFF"/>
        </w:rPr>
      </w:pPr>
      <w:r>
        <w:rPr>
          <w:rFonts w:ascii="Helvetica" w:hAnsi="Helvetica"/>
          <w:color w:val="333333"/>
          <w:sz w:val="21"/>
          <w:szCs w:val="21"/>
          <w:shd w:val="clear" w:color="auto" w:fill="FFFFFF"/>
        </w:rPr>
        <w:t>___________________</w:t>
      </w:r>
      <w:r w:rsidRPr="00A877F7">
        <w:rPr>
          <w:rStyle w:val="Forte"/>
          <w:rFonts w:ascii="Times New Roman" w:hAnsi="Times New Roman" w:cs="Times New Roman"/>
          <w:color w:val="333333"/>
          <w:sz w:val="24"/>
          <w:szCs w:val="24"/>
          <w:shd w:val="clear" w:color="auto" w:fill="FFFFFF"/>
        </w:rPr>
        <w:t>A Lei Maria da Penha na Justiça. A efetividade da Lei 11.340/2006 de combate à violência doméstica e familiar contra a mulher</w:t>
      </w:r>
      <w:r w:rsidRPr="00A877F7">
        <w:rPr>
          <w:rFonts w:ascii="Times New Roman" w:hAnsi="Times New Roman" w:cs="Times New Roman"/>
          <w:color w:val="333333"/>
          <w:sz w:val="24"/>
          <w:szCs w:val="24"/>
          <w:shd w:val="clear" w:color="auto" w:fill="FFFFFF"/>
        </w:rPr>
        <w:t>. 2. ed. São Paulo: Revista dos Tribunais, 2010.</w:t>
      </w:r>
    </w:p>
    <w:p w:rsidR="00C74D87" w:rsidRDefault="00C74D87" w:rsidP="00FA1DF5">
      <w:pPr>
        <w:spacing w:after="0" w:line="240" w:lineRule="auto"/>
        <w:rPr>
          <w:rFonts w:ascii="Times New Roman" w:eastAsia="Times New Roman" w:hAnsi="Times New Roman" w:cs="Times New Roman"/>
          <w:sz w:val="24"/>
          <w:szCs w:val="24"/>
          <w:shd w:val="clear" w:color="auto" w:fill="FFFFFF"/>
        </w:rPr>
      </w:pPr>
    </w:p>
    <w:p w:rsidR="00CF5D83" w:rsidRPr="00CF5D83" w:rsidRDefault="00CF5D83" w:rsidP="00FA1DF5">
      <w:pPr>
        <w:spacing w:after="0" w:line="240" w:lineRule="auto"/>
        <w:rPr>
          <w:rFonts w:ascii="Times New Roman" w:eastAsia="Times New Roman" w:hAnsi="Times New Roman" w:cs="Times New Roman"/>
          <w:sz w:val="24"/>
          <w:szCs w:val="24"/>
          <w:shd w:val="clear" w:color="auto" w:fill="FFFFFF"/>
        </w:rPr>
      </w:pPr>
      <w:r w:rsidRPr="00CF5D83">
        <w:rPr>
          <w:rFonts w:ascii="Times New Roman" w:hAnsi="Times New Roman" w:cs="Times New Roman"/>
          <w:color w:val="000000"/>
          <w:sz w:val="24"/>
          <w:szCs w:val="24"/>
        </w:rPr>
        <w:t xml:space="preserve">RIOS, Roger Raupp et al (Org.). </w:t>
      </w:r>
      <w:r w:rsidRPr="00CF5D83">
        <w:rPr>
          <w:rFonts w:ascii="Times New Roman" w:hAnsi="Times New Roman" w:cs="Times New Roman"/>
          <w:b/>
          <w:color w:val="000000"/>
          <w:sz w:val="24"/>
          <w:szCs w:val="24"/>
        </w:rPr>
        <w:t>Homossexualidade e Direitos sexuais</w:t>
      </w:r>
      <w:r w:rsidRPr="00CF5D83">
        <w:rPr>
          <w:rFonts w:ascii="Times New Roman" w:hAnsi="Times New Roman" w:cs="Times New Roman"/>
          <w:color w:val="000000"/>
          <w:sz w:val="24"/>
          <w:szCs w:val="24"/>
        </w:rPr>
        <w:t>: reflexões a partir da decisão do STF. Porto Alegre: Saulina, 2011.</w:t>
      </w:r>
    </w:p>
    <w:p w:rsidR="0063780F" w:rsidRPr="00FA1DF5" w:rsidRDefault="0063780F" w:rsidP="00FA1DF5">
      <w:pPr>
        <w:spacing w:after="0" w:line="240" w:lineRule="auto"/>
        <w:rPr>
          <w:rFonts w:ascii="Times New Roman" w:eastAsia="Times New Roman" w:hAnsi="Times New Roman" w:cs="Times New Roman"/>
          <w:sz w:val="24"/>
          <w:szCs w:val="24"/>
          <w:shd w:val="clear" w:color="auto" w:fill="FFFFFF"/>
        </w:rPr>
      </w:pPr>
    </w:p>
    <w:p w:rsidR="00A877F7" w:rsidRDefault="00A877F7" w:rsidP="00A877F7">
      <w:pPr>
        <w:spacing w:after="0" w:line="240" w:lineRule="auto"/>
        <w:rPr>
          <w:rFonts w:ascii="Times New Roman" w:eastAsia="Times New Roman" w:hAnsi="Times New Roman" w:cs="Times New Roman"/>
          <w:sz w:val="24"/>
          <w:szCs w:val="24"/>
          <w:shd w:val="clear" w:color="auto" w:fill="FFFFFF"/>
        </w:rPr>
      </w:pPr>
      <w:r w:rsidRPr="00A877F7">
        <w:rPr>
          <w:rFonts w:ascii="Times New Roman" w:hAnsi="Times New Roman" w:cs="Times New Roman"/>
          <w:b/>
          <w:spacing w:val="-5"/>
          <w:sz w:val="24"/>
          <w:szCs w:val="24"/>
          <w:shd w:val="clear" w:color="auto" w:fill="FFFFFF"/>
        </w:rPr>
        <w:t>Lei Maria da Penha protege gay ameaçado pelo ex no Pará</w:t>
      </w:r>
      <w:r>
        <w:rPr>
          <w:rFonts w:ascii="Times New Roman" w:hAnsi="Times New Roman" w:cs="Times New Roman"/>
          <w:spacing w:val="-5"/>
          <w:sz w:val="24"/>
          <w:szCs w:val="24"/>
          <w:shd w:val="clear" w:color="auto" w:fill="FFFFFF"/>
        </w:rPr>
        <w:t>.</w:t>
      </w:r>
      <w:r w:rsidRPr="00A877F7">
        <w:rPr>
          <w:rFonts w:ascii="Times New Roman" w:hAnsi="Times New Roman" w:cs="Times New Roman"/>
          <w:color w:val="333333"/>
          <w:sz w:val="24"/>
          <w:szCs w:val="24"/>
          <w:shd w:val="clear" w:color="auto" w:fill="FFFFFF"/>
        </w:rPr>
        <w:t xml:space="preserve"> Disponível em: </w:t>
      </w:r>
      <w:r>
        <w:rPr>
          <w:rFonts w:ascii="Times New Roman" w:hAnsi="Times New Roman" w:cs="Times New Roman"/>
          <w:color w:val="333333"/>
          <w:sz w:val="24"/>
          <w:szCs w:val="24"/>
          <w:shd w:val="clear" w:color="auto" w:fill="FFFFFF"/>
        </w:rPr>
        <w:t>&lt;</w:t>
      </w:r>
      <w:r w:rsidRPr="00A877F7">
        <w:rPr>
          <w:rFonts w:ascii="Times New Roman" w:hAnsi="Times New Roman" w:cs="Times New Roman"/>
          <w:color w:val="333333"/>
          <w:sz w:val="24"/>
          <w:szCs w:val="24"/>
          <w:shd w:val="clear" w:color="auto" w:fill="FFFFFF"/>
        </w:rPr>
        <w:t>http://g1.globo.com/pa/para/noticia/2013/09/homem-e-amparado-pela-lei-maria-da-penha-em-obidos-no-para.html.</w:t>
      </w:r>
      <w:r>
        <w:rPr>
          <w:rFonts w:ascii="Times New Roman" w:hAnsi="Times New Roman" w:cs="Times New Roman"/>
          <w:color w:val="333333"/>
          <w:sz w:val="24"/>
          <w:szCs w:val="24"/>
          <w:shd w:val="clear" w:color="auto" w:fill="FFFFFF"/>
        </w:rPr>
        <w:t>&gt;</w:t>
      </w:r>
      <w:r w:rsidRPr="00A877F7">
        <w:rPr>
          <w:rFonts w:ascii="Times New Roman" w:eastAsia="Times New Roman" w:hAnsi="Times New Roman" w:cs="Times New Roman"/>
          <w:sz w:val="24"/>
          <w:szCs w:val="24"/>
          <w:shd w:val="clear" w:color="auto" w:fill="FFFFFF"/>
        </w:rPr>
        <w:t xml:space="preserve"> </w:t>
      </w:r>
      <w:r w:rsidRPr="00FA1DF5">
        <w:rPr>
          <w:rFonts w:ascii="Times New Roman" w:eastAsia="Times New Roman" w:hAnsi="Times New Roman" w:cs="Times New Roman"/>
          <w:sz w:val="24"/>
          <w:szCs w:val="24"/>
          <w:shd w:val="clear" w:color="auto" w:fill="FFFFFF"/>
        </w:rPr>
        <w:t xml:space="preserve">Acesso em: </w:t>
      </w:r>
      <w:r>
        <w:rPr>
          <w:rFonts w:ascii="Times New Roman" w:eastAsia="Times New Roman" w:hAnsi="Times New Roman" w:cs="Times New Roman"/>
          <w:sz w:val="24"/>
          <w:szCs w:val="24"/>
          <w:shd w:val="clear" w:color="auto" w:fill="FFFFFF"/>
        </w:rPr>
        <w:t>09 mai</w:t>
      </w:r>
      <w:r w:rsidRPr="00FA1DF5">
        <w:rPr>
          <w:rFonts w:ascii="Times New Roman" w:eastAsia="Times New Roman" w:hAnsi="Times New Roman" w:cs="Times New Roman"/>
          <w:sz w:val="24"/>
          <w:szCs w:val="24"/>
          <w:shd w:val="clear" w:color="auto" w:fill="FFFFFF"/>
        </w:rPr>
        <w:t>. 2016.</w:t>
      </w:r>
    </w:p>
    <w:p w:rsidR="0063780F" w:rsidRPr="00A877F7" w:rsidRDefault="0063780F" w:rsidP="00A877F7">
      <w:pPr>
        <w:spacing w:after="0" w:line="360" w:lineRule="auto"/>
        <w:rPr>
          <w:rFonts w:ascii="Times New Roman" w:hAnsi="Times New Roman" w:cs="Times New Roman"/>
          <w:b/>
          <w:sz w:val="24"/>
          <w:szCs w:val="24"/>
        </w:rPr>
      </w:pPr>
    </w:p>
    <w:p w:rsidR="0063780F" w:rsidRPr="0063780F" w:rsidRDefault="0063780F" w:rsidP="0063780F">
      <w:pPr>
        <w:spacing w:after="0" w:line="360" w:lineRule="auto"/>
        <w:jc w:val="center"/>
        <w:rPr>
          <w:rFonts w:ascii="Times New Roman" w:hAnsi="Times New Roman" w:cs="Times New Roman"/>
          <w:b/>
          <w:sz w:val="24"/>
          <w:szCs w:val="24"/>
        </w:rPr>
      </w:pPr>
    </w:p>
    <w:sectPr w:rsidR="0063780F" w:rsidRPr="0063780F" w:rsidSect="00F67844">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7C9" w:rsidRDefault="00E607C9" w:rsidP="00AC5CDB">
      <w:pPr>
        <w:spacing w:after="0" w:line="240" w:lineRule="auto"/>
      </w:pPr>
      <w:r>
        <w:separator/>
      </w:r>
    </w:p>
  </w:endnote>
  <w:endnote w:type="continuationSeparator" w:id="0">
    <w:p w:rsidR="00E607C9" w:rsidRDefault="00E607C9" w:rsidP="00AC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10193790"/>
      <w:docPartObj>
        <w:docPartGallery w:val="Page Numbers (Bottom of Page)"/>
        <w:docPartUnique/>
      </w:docPartObj>
    </w:sdtPr>
    <w:sdtEndPr/>
    <w:sdtContent>
      <w:p w:rsidR="009F6EF6" w:rsidRPr="009F6EF6" w:rsidRDefault="00B91CF9">
        <w:pPr>
          <w:pStyle w:val="Rodap"/>
          <w:jc w:val="right"/>
          <w:rPr>
            <w:rFonts w:ascii="Times New Roman" w:hAnsi="Times New Roman" w:cs="Times New Roman"/>
            <w:sz w:val="24"/>
            <w:szCs w:val="24"/>
          </w:rPr>
        </w:pPr>
        <w:r w:rsidRPr="009F6EF6">
          <w:rPr>
            <w:rFonts w:ascii="Times New Roman" w:hAnsi="Times New Roman" w:cs="Times New Roman"/>
            <w:sz w:val="24"/>
            <w:szCs w:val="24"/>
          </w:rPr>
          <w:fldChar w:fldCharType="begin"/>
        </w:r>
        <w:r w:rsidRPr="009F6EF6">
          <w:rPr>
            <w:rFonts w:ascii="Times New Roman" w:hAnsi="Times New Roman" w:cs="Times New Roman"/>
            <w:sz w:val="24"/>
            <w:szCs w:val="24"/>
          </w:rPr>
          <w:instrText>PAGE   \* MERGEFORMAT</w:instrText>
        </w:r>
        <w:r w:rsidRPr="009F6EF6">
          <w:rPr>
            <w:rFonts w:ascii="Times New Roman" w:hAnsi="Times New Roman" w:cs="Times New Roman"/>
            <w:sz w:val="24"/>
            <w:szCs w:val="24"/>
          </w:rPr>
          <w:fldChar w:fldCharType="separate"/>
        </w:r>
        <w:r w:rsidR="00F54AB0">
          <w:rPr>
            <w:rFonts w:ascii="Times New Roman" w:hAnsi="Times New Roman" w:cs="Times New Roman"/>
            <w:noProof/>
            <w:sz w:val="24"/>
            <w:szCs w:val="24"/>
          </w:rPr>
          <w:t>2</w:t>
        </w:r>
        <w:r w:rsidRPr="009F6EF6">
          <w:rPr>
            <w:rFonts w:ascii="Times New Roman" w:hAnsi="Times New Roman" w:cs="Times New Roman"/>
            <w:sz w:val="24"/>
            <w:szCs w:val="24"/>
          </w:rPr>
          <w:fldChar w:fldCharType="end"/>
        </w:r>
      </w:p>
    </w:sdtContent>
  </w:sdt>
  <w:p w:rsidR="009F6EF6" w:rsidRDefault="00E607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C9" w:rsidRDefault="00E607C9" w:rsidP="00AC5CDB">
      <w:pPr>
        <w:spacing w:after="0" w:line="240" w:lineRule="auto"/>
      </w:pPr>
      <w:r>
        <w:separator/>
      </w:r>
    </w:p>
  </w:footnote>
  <w:footnote w:type="continuationSeparator" w:id="0">
    <w:p w:rsidR="00E607C9" w:rsidRDefault="00E607C9" w:rsidP="00AC5CDB">
      <w:pPr>
        <w:spacing w:after="0" w:line="240" w:lineRule="auto"/>
      </w:pPr>
      <w:r>
        <w:continuationSeparator/>
      </w:r>
    </w:p>
  </w:footnote>
  <w:footnote w:id="1">
    <w:p w:rsidR="00AC5CDB" w:rsidRPr="00277904" w:rsidRDefault="00AC5CDB" w:rsidP="00AC5CDB">
      <w:pPr>
        <w:pStyle w:val="Textodenotaderodap"/>
        <w:rPr>
          <w:rFonts w:ascii="Times New Roman" w:hAnsi="Times New Roman" w:cs="Times New Roman"/>
        </w:rPr>
      </w:pPr>
      <w:r w:rsidRPr="00277904">
        <w:rPr>
          <w:rStyle w:val="Refdenotaderodap"/>
          <w:rFonts w:ascii="Times New Roman" w:hAnsi="Times New Roman" w:cs="Times New Roman"/>
        </w:rPr>
        <w:footnoteRef/>
      </w:r>
      <w:r w:rsidR="00FF2908">
        <w:rPr>
          <w:rFonts w:ascii="Times New Roman" w:hAnsi="Times New Roman" w:cs="Times New Roman"/>
        </w:rPr>
        <w:t xml:space="preserve"> Paper apresentado</w:t>
      </w:r>
      <w:r w:rsidRPr="00277904">
        <w:rPr>
          <w:rFonts w:ascii="Times New Roman" w:hAnsi="Times New Roman" w:cs="Times New Roman"/>
        </w:rPr>
        <w:t xml:space="preserve"> a disciplina </w:t>
      </w:r>
      <w:r w:rsidR="00FF2908">
        <w:rPr>
          <w:rFonts w:ascii="Times New Roman" w:hAnsi="Times New Roman" w:cs="Times New Roman"/>
        </w:rPr>
        <w:t>Direito Penal Especial III</w:t>
      </w:r>
      <w:r w:rsidRPr="00277904">
        <w:rPr>
          <w:rFonts w:ascii="Times New Roman" w:hAnsi="Times New Roman" w:cs="Times New Roman"/>
        </w:rPr>
        <w:t>.</w:t>
      </w:r>
    </w:p>
    <w:p w:rsidR="00AC5CDB" w:rsidRDefault="00FF2908" w:rsidP="00AC5CDB">
      <w:pPr>
        <w:pStyle w:val="Textodenotaderodap"/>
      </w:pPr>
      <w:r>
        <w:rPr>
          <w:rFonts w:ascii="Times New Roman" w:hAnsi="Times New Roman" w:cs="Times New Roman"/>
        </w:rPr>
        <w:t>² Alunas do 6</w:t>
      </w:r>
      <w:r w:rsidR="00AC5CDB" w:rsidRPr="00277904">
        <w:rPr>
          <w:rFonts w:ascii="Times New Roman" w:hAnsi="Times New Roman" w:cs="Times New Roman"/>
        </w:rPr>
        <w:t>º período</w:t>
      </w:r>
      <w:r>
        <w:rPr>
          <w:rFonts w:ascii="Times New Roman" w:hAnsi="Times New Roman" w:cs="Times New Roman"/>
        </w:rPr>
        <w:t xml:space="preserve"> do Curso de Direito</w:t>
      </w:r>
      <w:r w:rsidR="00AC5CDB" w:rsidRPr="00277904">
        <w:rPr>
          <w:rFonts w:ascii="Times New Roman" w:hAnsi="Times New Roman" w:cs="Times New Roman"/>
        </w:rPr>
        <w:t xml:space="preserve">, da UNDB. </w:t>
      </w:r>
      <w:r w:rsidR="00AC5CDB" w:rsidRPr="00277904">
        <w:rPr>
          <w:rFonts w:ascii="Times New Roman" w:hAnsi="Times New Roman" w:cs="Times New Roman"/>
        </w:rPr>
        <w:br/>
        <w:t xml:space="preserve">³ </w:t>
      </w:r>
      <w:r>
        <w:rPr>
          <w:rFonts w:ascii="Times New Roman" w:hAnsi="Times New Roman" w:cs="Times New Roman"/>
        </w:rPr>
        <w:t>Professor</w:t>
      </w:r>
      <w:r w:rsidR="00AC5CDB" w:rsidRPr="00277904">
        <w:rPr>
          <w:rFonts w:ascii="Times New Roman" w:hAnsi="Times New Roman" w:cs="Times New Roman"/>
        </w:rPr>
        <w:t>,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DB"/>
    <w:rsid w:val="000142F2"/>
    <w:rsid w:val="00037361"/>
    <w:rsid w:val="00092B2B"/>
    <w:rsid w:val="000A7A4F"/>
    <w:rsid w:val="00105F9A"/>
    <w:rsid w:val="00133F9D"/>
    <w:rsid w:val="00155E69"/>
    <w:rsid w:val="001D37D9"/>
    <w:rsid w:val="002567F4"/>
    <w:rsid w:val="00272C04"/>
    <w:rsid w:val="00277EC5"/>
    <w:rsid w:val="002A0D56"/>
    <w:rsid w:val="003113A1"/>
    <w:rsid w:val="00336E59"/>
    <w:rsid w:val="00351C69"/>
    <w:rsid w:val="00360D99"/>
    <w:rsid w:val="00373B48"/>
    <w:rsid w:val="004772DB"/>
    <w:rsid w:val="004E27AA"/>
    <w:rsid w:val="00526603"/>
    <w:rsid w:val="00547AB6"/>
    <w:rsid w:val="00587FBB"/>
    <w:rsid w:val="005B2170"/>
    <w:rsid w:val="006118AB"/>
    <w:rsid w:val="0063780F"/>
    <w:rsid w:val="006649A2"/>
    <w:rsid w:val="006A6E19"/>
    <w:rsid w:val="006F1BAC"/>
    <w:rsid w:val="006F7795"/>
    <w:rsid w:val="007C73FD"/>
    <w:rsid w:val="00874F37"/>
    <w:rsid w:val="00884A16"/>
    <w:rsid w:val="008E0306"/>
    <w:rsid w:val="008E16FB"/>
    <w:rsid w:val="009D1AB8"/>
    <w:rsid w:val="009D532B"/>
    <w:rsid w:val="00A45731"/>
    <w:rsid w:val="00A877F7"/>
    <w:rsid w:val="00AC5CDB"/>
    <w:rsid w:val="00AD3540"/>
    <w:rsid w:val="00B171E0"/>
    <w:rsid w:val="00B26E5F"/>
    <w:rsid w:val="00B70AE5"/>
    <w:rsid w:val="00B83DA9"/>
    <w:rsid w:val="00B91CF9"/>
    <w:rsid w:val="00C268AA"/>
    <w:rsid w:val="00C74D87"/>
    <w:rsid w:val="00CB0778"/>
    <w:rsid w:val="00CC293F"/>
    <w:rsid w:val="00CF0BC5"/>
    <w:rsid w:val="00CF5D83"/>
    <w:rsid w:val="00D33ECC"/>
    <w:rsid w:val="00D51973"/>
    <w:rsid w:val="00DF0CA7"/>
    <w:rsid w:val="00E1022C"/>
    <w:rsid w:val="00E26639"/>
    <w:rsid w:val="00E607C9"/>
    <w:rsid w:val="00E8190D"/>
    <w:rsid w:val="00EC2154"/>
    <w:rsid w:val="00F039E2"/>
    <w:rsid w:val="00F35846"/>
    <w:rsid w:val="00F54AB0"/>
    <w:rsid w:val="00F73B25"/>
    <w:rsid w:val="00FA1DF5"/>
    <w:rsid w:val="00FB1B9E"/>
    <w:rsid w:val="00FE434D"/>
    <w:rsid w:val="00FF233B"/>
    <w:rsid w:val="00FF2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D9D68-1E51-4962-B74E-79638467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DB"/>
  </w:style>
  <w:style w:type="paragraph" w:styleId="Ttulo1">
    <w:name w:val="heading 1"/>
    <w:basedOn w:val="Normal"/>
    <w:next w:val="Normal"/>
    <w:link w:val="Ttulo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Pr>
      <w:rFonts w:asciiTheme="majorHAnsi" w:eastAsiaTheme="majorEastAsia" w:hAnsiTheme="majorHAnsi" w:cstheme="majorBidi"/>
      <w:i/>
      <w:iCs/>
      <w:color w:val="4F81BD" w:themeColor="accent1"/>
      <w:spacing w:val="15"/>
      <w:sz w:val="24"/>
      <w:szCs w:val="24"/>
    </w:rPr>
  </w:style>
  <w:style w:type="character" w:styleId="nfaseSutil">
    <w:name w:val="Subtle Emphasis"/>
    <w:basedOn w:val="Fontepargpadro"/>
    <w:uiPriority w:val="19"/>
    <w:qFormat/>
    <w:rPr>
      <w:i/>
      <w:iCs/>
      <w:color w:val="808080" w:themeColor="text1" w:themeTint="7F"/>
    </w:rPr>
  </w:style>
  <w:style w:type="character" w:styleId="nfase">
    <w:name w:val="Emphasis"/>
    <w:basedOn w:val="Fontepargpadro"/>
    <w:uiPriority w:val="20"/>
    <w:qFormat/>
    <w:rPr>
      <w:i/>
      <w:iCs/>
    </w:rPr>
  </w:style>
  <w:style w:type="character" w:styleId="nfaseIntensa">
    <w:name w:val="Intense Emphasis"/>
    <w:basedOn w:val="Fontepargpadro"/>
    <w:uiPriority w:val="21"/>
    <w:qFormat/>
    <w:rPr>
      <w:b/>
      <w:bCs/>
      <w:i/>
      <w:iCs/>
      <w:color w:val="4F81BD" w:themeColor="accent1"/>
    </w:rPr>
  </w:style>
  <w:style w:type="character" w:styleId="Forte">
    <w:name w:val="Strong"/>
    <w:basedOn w:val="Fontepargpadro"/>
    <w:uiPriority w:val="22"/>
    <w:qFormat/>
    <w:rPr>
      <w:b/>
      <w:bCs/>
    </w:rPr>
  </w:style>
  <w:style w:type="paragraph" w:styleId="Citao">
    <w:name w:val="Quote"/>
    <w:basedOn w:val="Normal"/>
    <w:next w:val="Normal"/>
    <w:link w:val="CitaoChar"/>
    <w:uiPriority w:val="29"/>
    <w:qFormat/>
    <w:rPr>
      <w:i/>
      <w:iCs/>
      <w:color w:val="000000" w:themeColor="text1"/>
    </w:rPr>
  </w:style>
  <w:style w:type="character" w:customStyle="1" w:styleId="CitaoChar">
    <w:name w:val="Citação Char"/>
    <w:basedOn w:val="Fontepargpadro"/>
    <w:link w:val="Citao"/>
    <w:uiPriority w:val="29"/>
    <w:rPr>
      <w:i/>
      <w:iCs/>
      <w:color w:val="000000" w:themeColor="text1"/>
    </w:rPr>
  </w:style>
  <w:style w:type="paragraph" w:styleId="CitaoIntensa">
    <w:name w:val="Intense Quote"/>
    <w:basedOn w:val="Normal"/>
    <w:next w:val="Normal"/>
    <w:link w:val="CitaoIntensa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Pr>
      <w:b/>
      <w:bCs/>
      <w:i/>
      <w:iCs/>
      <w:color w:val="4F81BD" w:themeColor="accent1"/>
    </w:rPr>
  </w:style>
  <w:style w:type="character" w:styleId="RefernciaSutil">
    <w:name w:val="Subtle Reference"/>
    <w:basedOn w:val="Fontepargpadro"/>
    <w:uiPriority w:val="31"/>
    <w:qFormat/>
    <w:rPr>
      <w:smallCaps/>
      <w:color w:val="C0504D" w:themeColor="accent2"/>
      <w:u w:val="single"/>
    </w:rPr>
  </w:style>
  <w:style w:type="character" w:styleId="RefernciaIntensa">
    <w:name w:val="Intense Reference"/>
    <w:basedOn w:val="Fontepargpadro"/>
    <w:uiPriority w:val="32"/>
    <w:qFormat/>
    <w:rPr>
      <w:b/>
      <w:bCs/>
      <w:smallCaps/>
      <w:color w:val="C0504D" w:themeColor="accent2"/>
      <w:spacing w:val="5"/>
      <w:u w:val="single"/>
    </w:rPr>
  </w:style>
  <w:style w:type="character" w:styleId="TtulodoLivro">
    <w:name w:val="Book Title"/>
    <w:basedOn w:val="Fontepargpadro"/>
    <w:uiPriority w:val="33"/>
    <w:qFormat/>
    <w:rPr>
      <w:b/>
      <w:bCs/>
      <w:smallCaps/>
      <w:spacing w:val="5"/>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000FF" w:themeColor="hyperlink"/>
      <w:u w:val="single"/>
    </w:rPr>
  </w:style>
  <w:style w:type="character" w:styleId="HiperlinkVisitado">
    <w:name w:val="FollowedHyperlink"/>
    <w:basedOn w:val="Fontepargpadro"/>
    <w:uiPriority w:val="99"/>
    <w:unhideWhenUsed/>
    <w:rPr>
      <w:color w:val="800080" w:themeColor="followedHyperlink"/>
      <w:u w:val="single"/>
    </w:rPr>
  </w:style>
  <w:style w:type="paragraph" w:styleId="NormalWeb">
    <w:name w:val="Normal (Web)"/>
    <w:basedOn w:val="Normal"/>
    <w:uiPriority w:val="99"/>
    <w:unhideWhenUsed/>
    <w:rsid w:val="00AC5C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C5CDB"/>
  </w:style>
  <w:style w:type="paragraph" w:styleId="Textodenotaderodap">
    <w:name w:val="footnote text"/>
    <w:basedOn w:val="Normal"/>
    <w:link w:val="TextodenotaderodapChar"/>
    <w:uiPriority w:val="99"/>
    <w:semiHidden/>
    <w:unhideWhenUsed/>
    <w:rsid w:val="00AC5CD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C5CDB"/>
    <w:rPr>
      <w:sz w:val="20"/>
      <w:szCs w:val="20"/>
    </w:rPr>
  </w:style>
  <w:style w:type="character" w:styleId="Refdenotaderodap">
    <w:name w:val="footnote reference"/>
    <w:basedOn w:val="Fontepargpadro"/>
    <w:uiPriority w:val="99"/>
    <w:semiHidden/>
    <w:unhideWhenUsed/>
    <w:rsid w:val="00AC5CDB"/>
    <w:rPr>
      <w:vertAlign w:val="superscript"/>
    </w:rPr>
  </w:style>
  <w:style w:type="paragraph" w:styleId="Rodap">
    <w:name w:val="footer"/>
    <w:basedOn w:val="Normal"/>
    <w:link w:val="RodapChar"/>
    <w:uiPriority w:val="99"/>
    <w:unhideWhenUsed/>
    <w:rsid w:val="00AC5CDB"/>
    <w:pPr>
      <w:tabs>
        <w:tab w:val="center" w:pos="4252"/>
        <w:tab w:val="right" w:pos="8504"/>
      </w:tabs>
      <w:spacing w:after="0" w:line="240" w:lineRule="auto"/>
    </w:pPr>
  </w:style>
  <w:style w:type="character" w:customStyle="1" w:styleId="RodapChar">
    <w:name w:val="Rodapé Char"/>
    <w:basedOn w:val="Fontepargpadro"/>
    <w:link w:val="Rodap"/>
    <w:uiPriority w:val="99"/>
    <w:rsid w:val="00AC5CDB"/>
  </w:style>
  <w:style w:type="table" w:styleId="Tabelacomgrade">
    <w:name w:val="Table Grid"/>
    <w:basedOn w:val="Tabelanormal"/>
    <w:uiPriority w:val="59"/>
    <w:rsid w:val="00AD3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3ECC"/>
    <w:pPr>
      <w:spacing w:after="0" w:line="24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4547">
      <w:bodyDiv w:val="1"/>
      <w:marLeft w:val="0"/>
      <w:marRight w:val="0"/>
      <w:marTop w:val="0"/>
      <w:marBottom w:val="0"/>
      <w:divBdr>
        <w:top w:val="none" w:sz="0" w:space="0" w:color="auto"/>
        <w:left w:val="none" w:sz="0" w:space="0" w:color="auto"/>
        <w:bottom w:val="none" w:sz="0" w:space="0" w:color="auto"/>
        <w:right w:val="none" w:sz="0" w:space="0" w:color="auto"/>
      </w:divBdr>
    </w:div>
    <w:div w:id="321469694">
      <w:bodyDiv w:val="1"/>
      <w:marLeft w:val="0"/>
      <w:marRight w:val="0"/>
      <w:marTop w:val="0"/>
      <w:marBottom w:val="0"/>
      <w:divBdr>
        <w:top w:val="none" w:sz="0" w:space="0" w:color="auto"/>
        <w:left w:val="none" w:sz="0" w:space="0" w:color="auto"/>
        <w:bottom w:val="none" w:sz="0" w:space="0" w:color="auto"/>
        <w:right w:val="none" w:sz="0" w:space="0" w:color="auto"/>
      </w:divBdr>
      <w:divsChild>
        <w:div w:id="72236548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708182955">
      <w:bodyDiv w:val="1"/>
      <w:marLeft w:val="0"/>
      <w:marRight w:val="0"/>
      <w:marTop w:val="0"/>
      <w:marBottom w:val="0"/>
      <w:divBdr>
        <w:top w:val="none" w:sz="0" w:space="0" w:color="auto"/>
        <w:left w:val="none" w:sz="0" w:space="0" w:color="auto"/>
        <w:bottom w:val="none" w:sz="0" w:space="0" w:color="auto"/>
        <w:right w:val="none" w:sz="0" w:space="0" w:color="auto"/>
      </w:divBdr>
    </w:div>
    <w:div w:id="1147478963">
      <w:bodyDiv w:val="1"/>
      <w:marLeft w:val="0"/>
      <w:marRight w:val="0"/>
      <w:marTop w:val="0"/>
      <w:marBottom w:val="0"/>
      <w:divBdr>
        <w:top w:val="none" w:sz="0" w:space="0" w:color="auto"/>
        <w:left w:val="none" w:sz="0" w:space="0" w:color="auto"/>
        <w:bottom w:val="none" w:sz="0" w:space="0" w:color="auto"/>
        <w:right w:val="none" w:sz="0" w:space="0" w:color="auto"/>
      </w:divBdr>
    </w:div>
    <w:div w:id="1194225778">
      <w:bodyDiv w:val="1"/>
      <w:marLeft w:val="0"/>
      <w:marRight w:val="0"/>
      <w:marTop w:val="0"/>
      <w:marBottom w:val="0"/>
      <w:divBdr>
        <w:top w:val="none" w:sz="0" w:space="0" w:color="auto"/>
        <w:left w:val="none" w:sz="0" w:space="0" w:color="auto"/>
        <w:bottom w:val="none" w:sz="0" w:space="0" w:color="auto"/>
        <w:right w:val="none" w:sz="0" w:space="0" w:color="auto"/>
      </w:divBdr>
    </w:div>
    <w:div w:id="20845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jus.com.br/tudo/uniao-homoafeti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s.com.br/tudo/uniao-homoafetiv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9</Pages>
  <Words>3129</Words>
  <Characters>16897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Rodrigo Oliveira .</dc:creator>
  <cp:keywords/>
  <dc:description/>
  <cp:lastModifiedBy>Maria Clara</cp:lastModifiedBy>
  <cp:revision>2</cp:revision>
  <cp:lastPrinted>2015-10-16T14:46:00Z</cp:lastPrinted>
  <dcterms:created xsi:type="dcterms:W3CDTF">2018-06-19T01:46:00Z</dcterms:created>
  <dcterms:modified xsi:type="dcterms:W3CDTF">2018-06-19T01:46:00Z</dcterms:modified>
</cp:coreProperties>
</file>