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FA4" w:rsidRPr="00132FA4" w:rsidRDefault="00132FA4" w:rsidP="00132FA4">
      <w:pPr>
        <w:spacing w:after="200" w:line="360" w:lineRule="auto"/>
        <w:jc w:val="both"/>
        <w:rPr>
          <w:rFonts w:ascii="Times New Roman" w:eastAsia="Calibri" w:hAnsi="Times New Roman" w:cs="Times New Roman"/>
          <w:b/>
          <w:sz w:val="24"/>
          <w:szCs w:val="24"/>
        </w:rPr>
      </w:pPr>
    </w:p>
    <w:p w:rsidR="00132FA4" w:rsidRPr="00132FA4" w:rsidRDefault="00132FA4" w:rsidP="00132FA4">
      <w:pPr>
        <w:spacing w:after="0" w:line="360" w:lineRule="auto"/>
        <w:ind w:firstLine="1134"/>
        <w:jc w:val="both"/>
        <w:rPr>
          <w:rFonts w:ascii="Times New Roman" w:eastAsia="Calibri" w:hAnsi="Times New Roman" w:cs="Times New Roman"/>
          <w:b/>
          <w:sz w:val="28"/>
          <w:szCs w:val="28"/>
        </w:rPr>
      </w:pPr>
      <w:r w:rsidRPr="00132FA4">
        <w:rPr>
          <w:rFonts w:ascii="Times New Roman" w:eastAsia="Calibri" w:hAnsi="Times New Roman" w:cs="Times New Roman"/>
          <w:b/>
          <w:sz w:val="28"/>
          <w:szCs w:val="28"/>
        </w:rPr>
        <w:t>Função social da posse: mudanças teóricas e a perspectiva do direito civil constitucional.</w:t>
      </w:r>
      <w:r w:rsidRPr="00132FA4">
        <w:rPr>
          <w:rFonts w:ascii="Times New Roman" w:eastAsia="Calibri" w:hAnsi="Times New Roman" w:cs="Times New Roman"/>
          <w:b/>
          <w:sz w:val="28"/>
          <w:szCs w:val="28"/>
          <w:vertAlign w:val="superscript"/>
        </w:rPr>
        <w:footnoteReference w:id="1"/>
      </w:r>
    </w:p>
    <w:p w:rsidR="00132FA4" w:rsidRPr="00132FA4" w:rsidRDefault="00132FA4" w:rsidP="00132FA4">
      <w:pPr>
        <w:spacing w:before="100" w:beforeAutospacing="1" w:after="100" w:afterAutospacing="1" w:line="360" w:lineRule="auto"/>
        <w:jc w:val="both"/>
        <w:rPr>
          <w:rFonts w:ascii="Times New Roman" w:eastAsia="Times New Roman" w:hAnsi="Times New Roman" w:cs="Times New Roman"/>
          <w:b/>
          <w:sz w:val="24"/>
          <w:szCs w:val="24"/>
          <w:lang w:eastAsia="pt-BR"/>
        </w:rPr>
      </w:pPr>
    </w:p>
    <w:p w:rsidR="00132FA4" w:rsidRPr="00132FA4" w:rsidRDefault="00132FA4" w:rsidP="00132FA4">
      <w:pPr>
        <w:spacing w:after="200" w:line="360" w:lineRule="auto"/>
        <w:jc w:val="right"/>
        <w:rPr>
          <w:rFonts w:ascii="Times New Roman" w:eastAsia="Calibri" w:hAnsi="Times New Roman" w:cs="Times New Roman"/>
          <w:sz w:val="24"/>
          <w:szCs w:val="24"/>
          <w:vertAlign w:val="superscript"/>
        </w:rPr>
      </w:pPr>
      <w:r w:rsidRPr="00132FA4">
        <w:rPr>
          <w:rFonts w:ascii="Times New Roman" w:eastAsia="Calibri" w:hAnsi="Times New Roman" w:cs="Times New Roman"/>
          <w:sz w:val="24"/>
          <w:szCs w:val="24"/>
        </w:rPr>
        <w:t xml:space="preserve">                                                                                  Alexandre José </w:t>
      </w:r>
      <w:proofErr w:type="spellStart"/>
      <w:r w:rsidRPr="00132FA4">
        <w:rPr>
          <w:rFonts w:ascii="Times New Roman" w:eastAsia="Calibri" w:hAnsi="Times New Roman" w:cs="Times New Roman"/>
          <w:sz w:val="24"/>
          <w:szCs w:val="24"/>
        </w:rPr>
        <w:t>Fontinele</w:t>
      </w:r>
      <w:proofErr w:type="spellEnd"/>
      <w:r w:rsidRPr="00132FA4">
        <w:rPr>
          <w:rFonts w:ascii="Times New Roman" w:eastAsia="Calibri" w:hAnsi="Times New Roman" w:cs="Times New Roman"/>
          <w:sz w:val="24"/>
          <w:szCs w:val="24"/>
        </w:rPr>
        <w:t xml:space="preserve"> Murici</w:t>
      </w:r>
      <w:r w:rsidRPr="00132FA4">
        <w:rPr>
          <w:rFonts w:ascii="Times New Roman" w:eastAsia="Calibri" w:hAnsi="Times New Roman" w:cs="Times New Roman"/>
          <w:sz w:val="24"/>
          <w:szCs w:val="24"/>
          <w:vertAlign w:val="superscript"/>
        </w:rPr>
        <w:footnoteReference w:id="2"/>
      </w:r>
    </w:p>
    <w:p w:rsidR="00132FA4" w:rsidRPr="00132FA4" w:rsidRDefault="00132FA4" w:rsidP="00132FA4">
      <w:pPr>
        <w:spacing w:after="200" w:line="360" w:lineRule="auto"/>
        <w:jc w:val="right"/>
        <w:rPr>
          <w:rFonts w:ascii="Times New Roman" w:eastAsia="Calibri" w:hAnsi="Times New Roman" w:cs="Times New Roman"/>
          <w:sz w:val="24"/>
          <w:szCs w:val="24"/>
          <w:vertAlign w:val="superscript"/>
        </w:rPr>
      </w:pPr>
      <w:r w:rsidRPr="00132FA4">
        <w:rPr>
          <w:rFonts w:ascii="Times New Roman" w:eastAsia="Calibri" w:hAnsi="Times New Roman" w:cs="Times New Roman"/>
          <w:sz w:val="24"/>
          <w:szCs w:val="24"/>
        </w:rPr>
        <w:t xml:space="preserve">                                                                  </w:t>
      </w:r>
      <w:proofErr w:type="spellStart"/>
      <w:r w:rsidRPr="00132FA4">
        <w:rPr>
          <w:rFonts w:ascii="Times New Roman" w:eastAsia="Calibri" w:hAnsi="Times New Roman" w:cs="Times New Roman"/>
          <w:sz w:val="24"/>
          <w:szCs w:val="24"/>
        </w:rPr>
        <w:t>Nágylla</w:t>
      </w:r>
      <w:proofErr w:type="spellEnd"/>
      <w:r w:rsidRPr="00132FA4">
        <w:rPr>
          <w:rFonts w:ascii="Times New Roman" w:eastAsia="Calibri" w:hAnsi="Times New Roman" w:cs="Times New Roman"/>
          <w:sz w:val="24"/>
          <w:szCs w:val="24"/>
        </w:rPr>
        <w:t xml:space="preserve"> Vitória do Nascimento Alves Costa</w:t>
      </w:r>
      <w:r w:rsidRPr="00132FA4">
        <w:rPr>
          <w:rFonts w:ascii="Times New Roman" w:eastAsia="Calibri" w:hAnsi="Times New Roman" w:cs="Times New Roman"/>
          <w:sz w:val="24"/>
          <w:szCs w:val="24"/>
          <w:vertAlign w:val="superscript"/>
        </w:rPr>
        <w:footnoteReference w:id="3"/>
      </w:r>
    </w:p>
    <w:p w:rsidR="00132FA4" w:rsidRPr="00132FA4" w:rsidRDefault="00132FA4" w:rsidP="00132FA4">
      <w:pPr>
        <w:spacing w:after="200" w:line="360" w:lineRule="auto"/>
        <w:jc w:val="right"/>
        <w:rPr>
          <w:rFonts w:ascii="Times New Roman" w:eastAsia="Calibri" w:hAnsi="Times New Roman" w:cs="Times New Roman"/>
          <w:b/>
          <w:sz w:val="24"/>
          <w:szCs w:val="24"/>
        </w:rPr>
      </w:pPr>
      <w:r w:rsidRPr="00132FA4">
        <w:rPr>
          <w:rFonts w:ascii="Times New Roman" w:eastAsia="Calibri" w:hAnsi="Times New Roman" w:cs="Times New Roman"/>
          <w:sz w:val="24"/>
        </w:rPr>
        <w:t>Viviane Gomes de Brito</w:t>
      </w:r>
      <w:r w:rsidRPr="00132FA4">
        <w:rPr>
          <w:rFonts w:ascii="Times New Roman" w:eastAsia="Calibri" w:hAnsi="Times New Roman" w:cs="Times New Roman"/>
          <w:sz w:val="24"/>
          <w:vertAlign w:val="superscript"/>
        </w:rPr>
        <w:t xml:space="preserve"> </w:t>
      </w:r>
      <w:r w:rsidRPr="00132FA4">
        <w:rPr>
          <w:rFonts w:ascii="Times New Roman" w:eastAsia="Calibri" w:hAnsi="Times New Roman" w:cs="Times New Roman"/>
          <w:sz w:val="24"/>
          <w:szCs w:val="24"/>
          <w:vertAlign w:val="superscript"/>
        </w:rPr>
        <w:footnoteReference w:id="4"/>
      </w:r>
      <w:r w:rsidRPr="00132FA4">
        <w:rPr>
          <w:rFonts w:ascii="Times New Roman" w:eastAsia="Calibri" w:hAnsi="Times New Roman" w:cs="Times New Roman"/>
          <w:b/>
          <w:sz w:val="24"/>
          <w:szCs w:val="24"/>
        </w:rPr>
        <w:t xml:space="preserve">                                        </w:t>
      </w:r>
    </w:p>
    <w:p w:rsidR="00132FA4" w:rsidRPr="00132FA4" w:rsidRDefault="00132FA4" w:rsidP="00132FA4">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132FA4" w:rsidRPr="00132FA4" w:rsidRDefault="00132FA4" w:rsidP="00132FA4">
      <w:pPr>
        <w:suppressAutoHyphens/>
        <w:overflowPunct w:val="0"/>
        <w:spacing w:after="0" w:line="240" w:lineRule="auto"/>
        <w:jc w:val="right"/>
        <w:rPr>
          <w:rFonts w:ascii="Times New Roman" w:eastAsia="Times New Roman" w:hAnsi="Times New Roman" w:cs="Times New Roman"/>
          <w:b/>
          <w:color w:val="00000A"/>
          <w:kern w:val="1"/>
          <w:sz w:val="24"/>
          <w:szCs w:val="24"/>
          <w:lang w:eastAsia="pt-BR"/>
        </w:rPr>
      </w:pPr>
    </w:p>
    <w:p w:rsidR="00132FA4" w:rsidRPr="00132FA4" w:rsidRDefault="00132FA4" w:rsidP="00132FA4">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r w:rsidRPr="00132FA4">
        <w:rPr>
          <w:rFonts w:ascii="Times New Roman" w:eastAsia="Times New Roman" w:hAnsi="Times New Roman" w:cs="Times New Roman"/>
          <w:b/>
          <w:color w:val="00000A"/>
          <w:kern w:val="1"/>
          <w:sz w:val="24"/>
          <w:szCs w:val="24"/>
          <w:lang w:eastAsia="pt-BR"/>
        </w:rPr>
        <w:t>RESUMO</w:t>
      </w:r>
    </w:p>
    <w:p w:rsidR="00132FA4" w:rsidRPr="00132FA4" w:rsidRDefault="00132FA4" w:rsidP="00132FA4">
      <w:pPr>
        <w:suppressAutoHyphens/>
        <w:overflowPunct w:val="0"/>
        <w:spacing w:after="0" w:line="240" w:lineRule="auto"/>
        <w:jc w:val="center"/>
        <w:rPr>
          <w:rFonts w:ascii="Times New Roman" w:eastAsia="Times New Roman" w:hAnsi="Times New Roman" w:cs="Times New Roman"/>
          <w:b/>
          <w:color w:val="00000A"/>
          <w:kern w:val="1"/>
          <w:sz w:val="24"/>
          <w:szCs w:val="24"/>
          <w:lang w:eastAsia="pt-BR"/>
        </w:rPr>
      </w:pPr>
    </w:p>
    <w:p w:rsidR="00132FA4" w:rsidRPr="00132FA4" w:rsidRDefault="00132FA4" w:rsidP="00132FA4">
      <w:pPr>
        <w:spacing w:after="0" w:line="360" w:lineRule="auto"/>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A Nova perspectiva do direito civil no Brasil trazida pela Constituição Federal de 1988 fomenta a utilização dos direitos fundamentai</w:t>
      </w:r>
      <w:r w:rsidR="00721349">
        <w:rPr>
          <w:rFonts w:ascii="Times New Roman" w:eastAsia="Calibri" w:hAnsi="Times New Roman" w:cs="Times New Roman"/>
          <w:sz w:val="24"/>
          <w:szCs w:val="24"/>
        </w:rPr>
        <w:t xml:space="preserve">s como filtragem constitucional e, </w:t>
      </w:r>
      <w:r w:rsidRPr="00132FA4">
        <w:rPr>
          <w:rFonts w:ascii="Times New Roman" w:eastAsia="Calibri" w:hAnsi="Times New Roman" w:cs="Times New Roman"/>
          <w:sz w:val="24"/>
          <w:szCs w:val="24"/>
        </w:rPr>
        <w:t>assim, muda o paradigma de um</w:t>
      </w:r>
      <w:r w:rsidR="00430109">
        <w:rPr>
          <w:rFonts w:ascii="Times New Roman" w:eastAsia="Calibri" w:hAnsi="Times New Roman" w:cs="Times New Roman"/>
          <w:sz w:val="24"/>
          <w:szCs w:val="24"/>
        </w:rPr>
        <w:t xml:space="preserve"> direito</w:t>
      </w:r>
      <w:r w:rsidRPr="00132FA4">
        <w:rPr>
          <w:rFonts w:ascii="Times New Roman" w:eastAsia="Calibri" w:hAnsi="Times New Roman" w:cs="Times New Roman"/>
          <w:sz w:val="24"/>
          <w:szCs w:val="24"/>
        </w:rPr>
        <w:t xml:space="preserve"> civil meramente privatista e patrimonialista para um direito civil constitucional que passa a considerar entre outras coisas a função social da propriedade. A função social da posse, por uma interpretação extensiva, surge nessa nossa perspectiva. Na doutrina o conceito de posse mudou bastante ao decorrer do tempo sendo possível observar as teorias subjetivas, objetivas e sociológicas de posse, sendo essa última de extrema relevância para compreender como a função social da posse exerce um papel importante para o alcance de direitos fundamentais como à moradia (posse urbana) e ao trabalho (posse rural). </w:t>
      </w:r>
    </w:p>
    <w:p w:rsidR="00132FA4" w:rsidRPr="00132FA4" w:rsidRDefault="00132FA4" w:rsidP="00132FA4">
      <w:pPr>
        <w:spacing w:after="0" w:line="360" w:lineRule="auto"/>
        <w:jc w:val="both"/>
        <w:rPr>
          <w:rFonts w:ascii="Times New Roman" w:eastAsia="Calibri" w:hAnsi="Times New Roman" w:cs="Times New Roman"/>
          <w:sz w:val="24"/>
          <w:szCs w:val="24"/>
        </w:rPr>
      </w:pPr>
    </w:p>
    <w:p w:rsidR="00132FA4" w:rsidRPr="00132FA4" w:rsidRDefault="00132FA4" w:rsidP="00D25115">
      <w:pPr>
        <w:spacing w:after="0" w:line="360" w:lineRule="auto"/>
        <w:jc w:val="both"/>
        <w:rPr>
          <w:rFonts w:ascii="Times New Roman" w:eastAsia="Calibri" w:hAnsi="Times New Roman" w:cs="Times New Roman"/>
          <w:sz w:val="24"/>
          <w:szCs w:val="24"/>
        </w:rPr>
      </w:pPr>
      <w:r w:rsidRPr="00132FA4">
        <w:rPr>
          <w:rFonts w:ascii="Times New Roman" w:eastAsia="Calibri" w:hAnsi="Times New Roman" w:cs="Times New Roman"/>
          <w:b/>
          <w:bCs/>
          <w:color w:val="000000"/>
          <w:sz w:val="24"/>
          <w:szCs w:val="24"/>
        </w:rPr>
        <w:t xml:space="preserve">Palavras-chave: </w:t>
      </w:r>
      <w:r w:rsidRPr="00132FA4">
        <w:rPr>
          <w:rFonts w:ascii="Times New Roman" w:eastAsia="Calibri" w:hAnsi="Times New Roman" w:cs="Times New Roman"/>
          <w:bCs/>
          <w:color w:val="000000"/>
          <w:sz w:val="24"/>
          <w:szCs w:val="24"/>
        </w:rPr>
        <w:t>Posse; propriedade; moradia; trabalho; função social; direitos fundamentais.</w:t>
      </w:r>
    </w:p>
    <w:p w:rsidR="00132FA4" w:rsidRPr="00132FA4" w:rsidRDefault="00132FA4" w:rsidP="00132FA4">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132FA4" w:rsidRPr="00132FA4" w:rsidRDefault="00132FA4" w:rsidP="00132FA4">
      <w:pPr>
        <w:suppressAutoHyphens/>
        <w:overflowPunct w:val="0"/>
        <w:spacing w:after="0" w:line="240" w:lineRule="auto"/>
        <w:rPr>
          <w:rFonts w:ascii="Times New Roman" w:eastAsia="Times New Roman" w:hAnsi="Times New Roman" w:cs="Times New Roman"/>
          <w:b/>
          <w:color w:val="00000A"/>
          <w:kern w:val="1"/>
          <w:sz w:val="24"/>
          <w:szCs w:val="24"/>
          <w:lang w:eastAsia="pt-BR"/>
        </w:rPr>
      </w:pPr>
      <w:r w:rsidRPr="00132FA4">
        <w:rPr>
          <w:rFonts w:ascii="Times New Roman" w:eastAsia="Times New Roman" w:hAnsi="Times New Roman" w:cs="Times New Roman"/>
          <w:b/>
          <w:color w:val="00000A"/>
          <w:kern w:val="1"/>
          <w:sz w:val="24"/>
          <w:szCs w:val="24"/>
          <w:lang w:eastAsia="pt-BR"/>
        </w:rPr>
        <w:t>1 INTRODUÇÃO</w:t>
      </w:r>
    </w:p>
    <w:p w:rsidR="00132FA4" w:rsidRPr="00132FA4" w:rsidRDefault="00132FA4" w:rsidP="00132FA4">
      <w:pPr>
        <w:suppressAutoHyphens/>
        <w:overflowPunct w:val="0"/>
        <w:spacing w:after="0" w:line="240" w:lineRule="auto"/>
        <w:rPr>
          <w:rFonts w:ascii="Times New Roman" w:eastAsia="Times New Roman" w:hAnsi="Times New Roman" w:cs="Times New Roman"/>
          <w:b/>
          <w:color w:val="00000A"/>
          <w:kern w:val="1"/>
          <w:sz w:val="24"/>
          <w:szCs w:val="24"/>
          <w:lang w:eastAsia="pt-BR"/>
        </w:rPr>
      </w:pPr>
    </w:p>
    <w:p w:rsidR="00132FA4" w:rsidRPr="00132FA4" w:rsidRDefault="00132FA4" w:rsidP="00132FA4">
      <w:pPr>
        <w:spacing w:after="200" w:line="360" w:lineRule="auto"/>
        <w:ind w:firstLine="1134"/>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 xml:space="preserve">A perspectiva meramente patrimonialista do direito civil que estava presente e era predominante nas constituições brasileiras anteriores </w:t>
      </w:r>
      <w:r w:rsidR="00D25115">
        <w:rPr>
          <w:rFonts w:ascii="Times New Roman" w:eastAsia="Calibri" w:hAnsi="Times New Roman" w:cs="Times New Roman"/>
          <w:sz w:val="24"/>
          <w:szCs w:val="24"/>
        </w:rPr>
        <w:t>à</w:t>
      </w:r>
      <w:r w:rsidRPr="00132FA4">
        <w:rPr>
          <w:rFonts w:ascii="Times New Roman" w:eastAsia="Calibri" w:hAnsi="Times New Roman" w:cs="Times New Roman"/>
          <w:sz w:val="24"/>
          <w:szCs w:val="24"/>
        </w:rPr>
        <w:t xml:space="preserve"> atual previam em geral um direito à propriedade quase absoluto e que muito pouco se importava com a coletividade e com a dignidade humana. Esse paradigma muda de forma substancial a partir da Constituição Federal </w:t>
      </w:r>
      <w:r w:rsidRPr="00132FA4">
        <w:rPr>
          <w:rFonts w:ascii="Times New Roman" w:eastAsia="Calibri" w:hAnsi="Times New Roman" w:cs="Times New Roman"/>
          <w:sz w:val="24"/>
          <w:szCs w:val="24"/>
        </w:rPr>
        <w:lastRenderedPageBreak/>
        <w:t>de 1988 que traça um novo paradigma para o direito civil: o direito civil constitucional. (BRANCO; MENDES, 2012)</w:t>
      </w:r>
    </w:p>
    <w:p w:rsidR="00132FA4" w:rsidRPr="00132FA4" w:rsidRDefault="00132FA4" w:rsidP="00132FA4">
      <w:pPr>
        <w:spacing w:after="200" w:line="360" w:lineRule="auto"/>
        <w:ind w:firstLine="1134"/>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Com essa mudança de paradigma os direitos fundamentais passam a ser o principal filtro de interpretação constitucional e, com isso, o direito à propriedade passa a ter requisitos a serem seguidos para que cumpram seu papel perante à sociedade. Esses requisitos dizem respeito à função social da propriedade.</w:t>
      </w:r>
    </w:p>
    <w:p w:rsidR="00132FA4" w:rsidRPr="00132FA4" w:rsidRDefault="00132FA4" w:rsidP="00132FA4">
      <w:pPr>
        <w:spacing w:after="200" w:line="360" w:lineRule="auto"/>
        <w:ind w:firstLine="1134"/>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 xml:space="preserve">  A partir dessa nova visão sobre a propriedade muito se passou a discutir sobre outro instituto do direito civil: a posse. A posse é um dos institutos mais importantes e que recebem mais atenção em se tratando da disciplina de </w:t>
      </w:r>
      <w:r w:rsidR="00721349">
        <w:rPr>
          <w:rFonts w:ascii="Times New Roman" w:eastAsia="Calibri" w:hAnsi="Times New Roman" w:cs="Times New Roman"/>
          <w:sz w:val="24"/>
          <w:szCs w:val="24"/>
        </w:rPr>
        <w:t>D</w:t>
      </w:r>
      <w:r w:rsidRPr="00132FA4">
        <w:rPr>
          <w:rFonts w:ascii="Times New Roman" w:eastAsia="Calibri" w:hAnsi="Times New Roman" w:cs="Times New Roman"/>
          <w:sz w:val="24"/>
          <w:szCs w:val="24"/>
        </w:rPr>
        <w:t xml:space="preserve">ireitos </w:t>
      </w:r>
      <w:r w:rsidR="00721349">
        <w:rPr>
          <w:rFonts w:ascii="Times New Roman" w:eastAsia="Calibri" w:hAnsi="Times New Roman" w:cs="Times New Roman"/>
          <w:sz w:val="24"/>
          <w:szCs w:val="24"/>
        </w:rPr>
        <w:t>R</w:t>
      </w:r>
      <w:r w:rsidRPr="00132FA4">
        <w:rPr>
          <w:rFonts w:ascii="Times New Roman" w:eastAsia="Calibri" w:hAnsi="Times New Roman" w:cs="Times New Roman"/>
          <w:sz w:val="24"/>
          <w:szCs w:val="24"/>
        </w:rPr>
        <w:t>eais. É possível observar na doutrina algumas teorias que versem sobre a natureza jurídica da posse e sobre suas especificidades.</w:t>
      </w:r>
    </w:p>
    <w:p w:rsidR="00132FA4" w:rsidRDefault="00132FA4" w:rsidP="00132FA4">
      <w:pPr>
        <w:spacing w:after="200" w:line="360" w:lineRule="auto"/>
        <w:ind w:firstLine="1134"/>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Com o paradigma da constitucionalização do direito civil, que em especial se desenvolveu no Brasil a partir de 1988, a filtragem constitucional deve passar pelos direitos fundamentais e estar presente dentro desse âmbito do direito que antes era analisado de forma meramente privatista. Dessa forma tanto o direito público quanto o privado visam atingir o objetivo comum de proteção da pessoa humana e a divisão entre esses ramos do direito que aparentava ser bem delimitada começa a se mostrar frágil (COSTA FILHO, 2015).</w:t>
      </w:r>
    </w:p>
    <w:p w:rsidR="00DB41E9" w:rsidRDefault="00DB41E9" w:rsidP="00DB41E9">
      <w:pPr>
        <w:pStyle w:val="Estilo3"/>
      </w:pPr>
      <w:r>
        <w:t xml:space="preserve">Moraes Filho (2015) narra um entendimento existente que se baseia na hipótese de que não se deve falar em função social da posse pois através de uma interpretação gramatical a CF de 1988 não institui essa função à posse, já que, somente se refere à função social da propriedade, e é esse o entendimento de </w:t>
      </w:r>
      <w:r w:rsidR="00D25115">
        <w:t>alguns</w:t>
      </w:r>
      <w:r>
        <w:t xml:space="preserve"> doutrinadores.</w:t>
      </w:r>
    </w:p>
    <w:p w:rsidR="00DB41E9" w:rsidRPr="00132FA4" w:rsidRDefault="00DB41E9" w:rsidP="00DB41E9">
      <w:pPr>
        <w:pStyle w:val="texto"/>
      </w:pPr>
      <w:r>
        <w:t>No entanto com o passar dos estudos e com a visão mais contextualizada e menos restritiva do entendimento de posse, atualmente, muitos doutrinadores reconhecem a função social da posse, apesar de ela não estar expressamente contida na CF de 1988.</w:t>
      </w:r>
    </w:p>
    <w:p w:rsidR="00132FA4" w:rsidRPr="00D25115" w:rsidRDefault="00132FA4" w:rsidP="00D25115">
      <w:pPr>
        <w:spacing w:after="200" w:line="360" w:lineRule="auto"/>
        <w:ind w:firstLine="1134"/>
        <w:jc w:val="both"/>
        <w:rPr>
          <w:rFonts w:ascii="Times New Roman" w:eastAsia="Calibri" w:hAnsi="Times New Roman" w:cs="Times New Roman"/>
          <w:sz w:val="24"/>
          <w:szCs w:val="24"/>
        </w:rPr>
      </w:pPr>
      <w:r w:rsidRPr="00132FA4">
        <w:rPr>
          <w:rFonts w:ascii="Times New Roman" w:eastAsia="Calibri" w:hAnsi="Times New Roman" w:cs="Times New Roman"/>
          <w:sz w:val="24"/>
          <w:szCs w:val="24"/>
        </w:rPr>
        <w:t>Nesse sentido se faz importante entender de que forma a função social da posse estaria contida na função social da propriedade, que é prevista pela CF de 1988 no artigo 5º, inciso XXIII (BRASIL,1988). Assim, é importante ressaltar que a interpretação sobre função social da propriedade deve ser feita de forma extensiva (BRANCO; MENDES, 2012), englobando a função social da posse que merece ser estudada e ter seu objetivo de atingir a consecução de direitos fundamentais reconhecido.</w:t>
      </w:r>
    </w:p>
    <w:p w:rsidR="00E06004" w:rsidRPr="00E06004" w:rsidRDefault="00764CF2" w:rsidP="00E06004">
      <w:pPr>
        <w:pStyle w:val="PargrafodaLista"/>
        <w:numPr>
          <w:ilvl w:val="0"/>
          <w:numId w:val="3"/>
        </w:numPr>
        <w:spacing w:after="200" w:line="360" w:lineRule="auto"/>
        <w:jc w:val="both"/>
        <w:rPr>
          <w:rFonts w:ascii="Times New Roman" w:eastAsia="Calibri" w:hAnsi="Times New Roman" w:cs="Times New Roman"/>
          <w:b/>
          <w:noProof/>
          <w:sz w:val="24"/>
          <w:szCs w:val="24"/>
        </w:rPr>
      </w:pPr>
      <w:r w:rsidRPr="00BD2BE9">
        <w:rPr>
          <w:rFonts w:ascii="Times New Roman" w:eastAsia="Calibri" w:hAnsi="Times New Roman" w:cs="Times New Roman"/>
          <w:b/>
          <w:noProof/>
          <w:sz w:val="24"/>
          <w:szCs w:val="24"/>
        </w:rPr>
        <w:lastRenderedPageBreak/>
        <w:t>ASPECTOS TEÓRICOS E CONCEITUAIS DA POSSE PELA DOUTRINA</w:t>
      </w:r>
    </w:p>
    <w:p w:rsidR="00BD2BE9" w:rsidRPr="00BD2BE9" w:rsidRDefault="00BD2BE9" w:rsidP="00BD2BE9">
      <w:pPr>
        <w:spacing w:after="20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noProof/>
          <w:sz w:val="24"/>
          <w:szCs w:val="24"/>
        </w:rPr>
        <w:t>Muito se fala sobre as dificuldades no trato teórico sobre a posse devido à</w:t>
      </w:r>
      <w:r w:rsidR="00760594">
        <w:rPr>
          <w:rFonts w:ascii="Times New Roman" w:eastAsia="Calibri" w:hAnsi="Times New Roman" w:cs="Times New Roman"/>
          <w:noProof/>
          <w:sz w:val="24"/>
          <w:szCs w:val="24"/>
        </w:rPr>
        <w:t>s influências de diversos sitemas jurí</w:t>
      </w:r>
      <w:r w:rsidRPr="00BD2BE9">
        <w:rPr>
          <w:rFonts w:ascii="Times New Roman" w:eastAsia="Calibri" w:hAnsi="Times New Roman" w:cs="Times New Roman"/>
          <w:noProof/>
          <w:sz w:val="24"/>
          <w:szCs w:val="24"/>
        </w:rPr>
        <w:t>dicos, como aborda Ruggiero apud Gazella (2009.p. 11):</w:t>
      </w:r>
    </w:p>
    <w:p w:rsidR="00BD2BE9" w:rsidRPr="00BD2BE9" w:rsidRDefault="00BD2BE9" w:rsidP="00BD2BE9">
      <w:pPr>
        <w:spacing w:after="200" w:line="240" w:lineRule="auto"/>
        <w:ind w:left="2268"/>
        <w:jc w:val="both"/>
        <w:rPr>
          <w:rFonts w:ascii="Times New Roman" w:eastAsia="Calibri" w:hAnsi="Times New Roman" w:cs="Times New Roman"/>
          <w:noProof/>
          <w:sz w:val="20"/>
          <w:szCs w:val="20"/>
        </w:rPr>
      </w:pPr>
      <w:r w:rsidRPr="00BD2BE9">
        <w:rPr>
          <w:rFonts w:ascii="Times New Roman" w:eastAsia="Calibri" w:hAnsi="Times New Roman" w:cs="Times New Roman"/>
          <w:noProof/>
          <w:sz w:val="20"/>
          <w:szCs w:val="20"/>
        </w:rPr>
        <w:t>[...] o conceito de posse é aquele em volta do qual mais se cansaram em todos os tempos, as mentalidades dos juristas; não há doutrina em Direito Civil que, mais do que esta, apresente dificuldades em todos os se</w:t>
      </w:r>
      <w:r w:rsidR="00760594">
        <w:rPr>
          <w:rFonts w:ascii="Times New Roman" w:eastAsia="Calibri" w:hAnsi="Times New Roman" w:cs="Times New Roman"/>
          <w:noProof/>
          <w:sz w:val="20"/>
          <w:szCs w:val="20"/>
        </w:rPr>
        <w:t>us pontos, a começar nas que re</w:t>
      </w:r>
      <w:r w:rsidRPr="00BD2BE9">
        <w:rPr>
          <w:rFonts w:ascii="Times New Roman" w:eastAsia="Calibri" w:hAnsi="Times New Roman" w:cs="Times New Roman"/>
          <w:noProof/>
          <w:sz w:val="20"/>
          <w:szCs w:val="20"/>
        </w:rPr>
        <w:t>pitam às suas origens históricas, ao fundamento raci</w:t>
      </w:r>
      <w:r w:rsidR="00A83EFE">
        <w:rPr>
          <w:rFonts w:ascii="Times New Roman" w:eastAsia="Calibri" w:hAnsi="Times New Roman" w:cs="Times New Roman"/>
          <w:noProof/>
          <w:sz w:val="20"/>
          <w:szCs w:val="20"/>
        </w:rPr>
        <w:t>o</w:t>
      </w:r>
      <w:r w:rsidRPr="00BD2BE9">
        <w:rPr>
          <w:rFonts w:ascii="Times New Roman" w:eastAsia="Calibri" w:hAnsi="Times New Roman" w:cs="Times New Roman"/>
          <w:noProof/>
          <w:sz w:val="20"/>
          <w:szCs w:val="20"/>
        </w:rPr>
        <w:t>nal da sua proteção, à pr</w:t>
      </w:r>
      <w:r w:rsidR="00760594">
        <w:rPr>
          <w:rFonts w:ascii="Times New Roman" w:eastAsia="Calibri" w:hAnsi="Times New Roman" w:cs="Times New Roman"/>
          <w:noProof/>
          <w:sz w:val="20"/>
          <w:szCs w:val="20"/>
        </w:rPr>
        <w:t>ó</w:t>
      </w:r>
      <w:r w:rsidRPr="00BD2BE9">
        <w:rPr>
          <w:rFonts w:ascii="Times New Roman" w:eastAsia="Calibri" w:hAnsi="Times New Roman" w:cs="Times New Roman"/>
          <w:noProof/>
          <w:sz w:val="20"/>
          <w:szCs w:val="20"/>
        </w:rPr>
        <w:t>pria terminologia e, assim por diante, até sua construção teórica, aos elementos que a compõem, ao obje</w:t>
      </w:r>
      <w:r w:rsidR="00A83EFE">
        <w:rPr>
          <w:rFonts w:ascii="Times New Roman" w:eastAsia="Calibri" w:hAnsi="Times New Roman" w:cs="Times New Roman"/>
          <w:noProof/>
          <w:sz w:val="20"/>
          <w:szCs w:val="20"/>
        </w:rPr>
        <w:t>t</w:t>
      </w:r>
      <w:r w:rsidRPr="00BD2BE9">
        <w:rPr>
          <w:rFonts w:ascii="Times New Roman" w:eastAsia="Calibri" w:hAnsi="Times New Roman" w:cs="Times New Roman"/>
          <w:noProof/>
          <w:sz w:val="20"/>
          <w:szCs w:val="20"/>
        </w:rPr>
        <w:t>o, aos efeitos, aos modos como se adquire e se perde [...]</w:t>
      </w:r>
    </w:p>
    <w:p w:rsidR="00BD2BE9" w:rsidRDefault="00BD2BE9" w:rsidP="00BD2BE9">
      <w:pPr>
        <w:autoSpaceDE w:val="0"/>
        <w:autoSpaceDN w:val="0"/>
        <w:adjustRightInd w:val="0"/>
        <w:spacing w:after="0" w:line="360" w:lineRule="auto"/>
        <w:ind w:firstLine="1134"/>
        <w:jc w:val="both"/>
        <w:rPr>
          <w:rFonts w:ascii="Times New Roman" w:eastAsia="Calibri" w:hAnsi="Times New Roman" w:cs="Times New Roman"/>
          <w:sz w:val="24"/>
          <w:szCs w:val="24"/>
        </w:rPr>
      </w:pPr>
      <w:r w:rsidRPr="00BD2BE9">
        <w:rPr>
          <w:rFonts w:ascii="Times New Roman" w:eastAsia="Calibri" w:hAnsi="Times New Roman" w:cs="Times New Roman"/>
          <w:noProof/>
          <w:sz w:val="24"/>
          <w:szCs w:val="24"/>
        </w:rPr>
        <w:t>COELHO (2012,p. 42) conceitua o direito de posse como “</w:t>
      </w:r>
      <w:r w:rsidRPr="00BD2BE9">
        <w:rPr>
          <w:rFonts w:ascii="Times New Roman" w:eastAsia="Calibri" w:hAnsi="Times New Roman" w:cs="Times New Roman"/>
          <w:sz w:val="24"/>
          <w:szCs w:val="24"/>
        </w:rPr>
        <w:t>Posse é o exercício de fato de um ou mais poderes característicos do direito de propriedade”, o possuidor pode ao mesmo tempo ser o proprietário da coisa, porém, caso contrário, quando se distinguem, o possuidor possui direitos que o defendem do proprietário.</w:t>
      </w:r>
    </w:p>
    <w:p w:rsidR="00721349" w:rsidRPr="00BD2BE9" w:rsidRDefault="00721349" w:rsidP="00BD2BE9">
      <w:pPr>
        <w:autoSpaceDE w:val="0"/>
        <w:autoSpaceDN w:val="0"/>
        <w:adjustRightInd w:val="0"/>
        <w:spacing w:after="0" w:line="360" w:lineRule="auto"/>
        <w:ind w:firstLine="1134"/>
        <w:jc w:val="both"/>
        <w:rPr>
          <w:rFonts w:ascii="Times New Roman" w:eastAsia="Calibri" w:hAnsi="Times New Roman" w:cs="Times New Roman"/>
          <w:sz w:val="24"/>
          <w:szCs w:val="24"/>
        </w:rPr>
      </w:pPr>
      <w:r>
        <w:rPr>
          <w:rFonts w:ascii="Times New Roman" w:eastAsia="Calibri" w:hAnsi="Times New Roman" w:cs="Times New Roman"/>
          <w:sz w:val="24"/>
          <w:szCs w:val="24"/>
        </w:rPr>
        <w:t>Diante desse contexto é importante ressaltar, de forma breve, as principais teorias que tentam conceituar a posse elencando suas especificidades e seus principais elementos.</w:t>
      </w:r>
    </w:p>
    <w:p w:rsidR="00BD2BE9" w:rsidRPr="00BD2BE9" w:rsidRDefault="00BD2BE9" w:rsidP="00BD2BE9">
      <w:pPr>
        <w:autoSpaceDE w:val="0"/>
        <w:autoSpaceDN w:val="0"/>
        <w:adjustRightInd w:val="0"/>
        <w:spacing w:after="0" w:line="360" w:lineRule="auto"/>
        <w:ind w:firstLine="1134"/>
        <w:jc w:val="both"/>
        <w:rPr>
          <w:rFonts w:ascii="Times New Roman" w:eastAsia="Calibri" w:hAnsi="Times New Roman" w:cs="Times New Roman"/>
          <w:sz w:val="24"/>
          <w:szCs w:val="24"/>
        </w:rPr>
      </w:pPr>
    </w:p>
    <w:p w:rsidR="00BD2BE9" w:rsidRPr="00BD2BE9" w:rsidRDefault="00BD2BE9" w:rsidP="00764CF2">
      <w:pPr>
        <w:spacing w:after="200" w:line="360" w:lineRule="auto"/>
        <w:ind w:firstLine="709"/>
        <w:jc w:val="both"/>
        <w:rPr>
          <w:rFonts w:ascii="Times New Roman" w:eastAsia="Calibri" w:hAnsi="Times New Roman" w:cs="Times New Roman"/>
          <w:b/>
          <w:noProof/>
          <w:sz w:val="24"/>
          <w:szCs w:val="24"/>
        </w:rPr>
      </w:pPr>
      <w:r w:rsidRPr="00BD2BE9">
        <w:rPr>
          <w:rFonts w:ascii="Times New Roman" w:eastAsia="Calibri" w:hAnsi="Times New Roman" w:cs="Times New Roman"/>
          <w:b/>
          <w:noProof/>
          <w:sz w:val="24"/>
          <w:szCs w:val="24"/>
        </w:rPr>
        <w:t>2.1 Teorias subjetiva</w:t>
      </w:r>
    </w:p>
    <w:p w:rsidR="00BD2BE9" w:rsidRPr="00BD2BE9" w:rsidRDefault="00BD2BE9" w:rsidP="00E06004">
      <w:pPr>
        <w:spacing w:after="20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noProof/>
          <w:sz w:val="24"/>
          <w:szCs w:val="24"/>
        </w:rPr>
        <w:t>Para Coelho, a teoria subjetiva apresentada por Savigny apresenta dois elementos essenciais para que a posse seja possível.</w:t>
      </w:r>
      <w:r w:rsidR="00ED2523">
        <w:rPr>
          <w:rFonts w:ascii="Times New Roman" w:eastAsia="Calibri" w:hAnsi="Times New Roman" w:cs="Times New Roman"/>
          <w:noProof/>
          <w:sz w:val="24"/>
          <w:szCs w:val="24"/>
        </w:rPr>
        <w:t xml:space="preserve"> </w:t>
      </w:r>
      <w:r w:rsidRPr="00BD2BE9">
        <w:rPr>
          <w:rFonts w:ascii="Times New Roman" w:eastAsia="Calibri" w:hAnsi="Times New Roman" w:cs="Times New Roman"/>
          <w:noProof/>
          <w:sz w:val="24"/>
          <w:szCs w:val="24"/>
        </w:rPr>
        <w:t>O primeiro elemento é o físico chamado de corpus que é concretizado quando a coisa está sujeita ao poder do poss</w:t>
      </w:r>
      <w:r w:rsidR="00ED2523">
        <w:rPr>
          <w:rFonts w:ascii="Times New Roman" w:eastAsia="Calibri" w:hAnsi="Times New Roman" w:cs="Times New Roman"/>
          <w:noProof/>
          <w:sz w:val="24"/>
          <w:szCs w:val="24"/>
        </w:rPr>
        <w:t>uidor. O segundo elemento é o psí</w:t>
      </w:r>
      <w:r w:rsidRPr="00BD2BE9">
        <w:rPr>
          <w:rFonts w:ascii="Times New Roman" w:eastAsia="Calibri" w:hAnsi="Times New Roman" w:cs="Times New Roman"/>
          <w:noProof/>
          <w:sz w:val="24"/>
          <w:szCs w:val="24"/>
        </w:rPr>
        <w:t>quico chamado animus domini que é a vontade do possuidor em ser proprietário da coisa.</w:t>
      </w:r>
      <w:r w:rsidR="00ED2523">
        <w:rPr>
          <w:rFonts w:ascii="Times New Roman" w:eastAsia="Calibri" w:hAnsi="Times New Roman" w:cs="Times New Roman"/>
          <w:noProof/>
          <w:sz w:val="24"/>
          <w:szCs w:val="24"/>
        </w:rPr>
        <w:t xml:space="preserve"> </w:t>
      </w:r>
      <w:r w:rsidRPr="00BD2BE9">
        <w:rPr>
          <w:rFonts w:ascii="Times New Roman" w:eastAsia="Calibri" w:hAnsi="Times New Roman" w:cs="Times New Roman"/>
          <w:noProof/>
          <w:sz w:val="24"/>
          <w:szCs w:val="24"/>
        </w:rPr>
        <w:t>Coelho afirma</w:t>
      </w:r>
      <w:r w:rsidR="00ED2523">
        <w:rPr>
          <w:rFonts w:ascii="Times New Roman" w:eastAsia="Calibri" w:hAnsi="Times New Roman" w:cs="Times New Roman"/>
          <w:noProof/>
          <w:sz w:val="24"/>
          <w:szCs w:val="24"/>
        </w:rPr>
        <w:t>,</w:t>
      </w:r>
      <w:r w:rsidRPr="00BD2BE9">
        <w:rPr>
          <w:rFonts w:ascii="Times New Roman" w:eastAsia="Calibri" w:hAnsi="Times New Roman" w:cs="Times New Roman"/>
          <w:noProof/>
          <w:sz w:val="24"/>
          <w:szCs w:val="24"/>
        </w:rPr>
        <w:t xml:space="preserve"> ainda</w:t>
      </w:r>
      <w:r w:rsidR="00ED2523">
        <w:rPr>
          <w:rFonts w:ascii="Times New Roman" w:eastAsia="Calibri" w:hAnsi="Times New Roman" w:cs="Times New Roman"/>
          <w:noProof/>
          <w:sz w:val="24"/>
          <w:szCs w:val="24"/>
        </w:rPr>
        <w:t>,</w:t>
      </w:r>
      <w:r w:rsidRPr="00BD2BE9">
        <w:rPr>
          <w:rFonts w:ascii="Times New Roman" w:eastAsia="Calibri" w:hAnsi="Times New Roman" w:cs="Times New Roman"/>
          <w:noProof/>
          <w:sz w:val="24"/>
          <w:szCs w:val="24"/>
        </w:rPr>
        <w:t xml:space="preserve"> que para Savigny se ocorre a detenção de algo sem o animus domini mas com acesso aos interditos ocorre a posse derivada e quando não se tem acesso aos interditos e nem se pode usucapir ocorre a mera detenção (COELHO,</w:t>
      </w:r>
      <w:r w:rsidR="00ED2523">
        <w:rPr>
          <w:rFonts w:ascii="Times New Roman" w:eastAsia="Calibri" w:hAnsi="Times New Roman" w:cs="Times New Roman"/>
          <w:noProof/>
          <w:sz w:val="24"/>
          <w:szCs w:val="24"/>
        </w:rPr>
        <w:t xml:space="preserve"> </w:t>
      </w:r>
      <w:r w:rsidRPr="00BD2BE9">
        <w:rPr>
          <w:rFonts w:ascii="Times New Roman" w:eastAsia="Calibri" w:hAnsi="Times New Roman" w:cs="Times New Roman"/>
          <w:noProof/>
          <w:sz w:val="24"/>
          <w:szCs w:val="24"/>
        </w:rPr>
        <w:t>2012).</w:t>
      </w:r>
      <w:r w:rsidR="00ED2523">
        <w:rPr>
          <w:rFonts w:ascii="Times New Roman" w:eastAsia="Calibri" w:hAnsi="Times New Roman" w:cs="Times New Roman"/>
          <w:noProof/>
          <w:sz w:val="24"/>
          <w:szCs w:val="24"/>
        </w:rPr>
        <w:t xml:space="preserve"> </w:t>
      </w:r>
    </w:p>
    <w:p w:rsidR="00BD2BE9" w:rsidRPr="00BD2BE9" w:rsidRDefault="00BD2BE9" w:rsidP="00764CF2">
      <w:pPr>
        <w:spacing w:after="200" w:line="360" w:lineRule="auto"/>
        <w:ind w:firstLine="709"/>
        <w:jc w:val="both"/>
        <w:rPr>
          <w:rFonts w:ascii="Times New Roman" w:eastAsia="Calibri" w:hAnsi="Times New Roman" w:cs="Times New Roman"/>
          <w:b/>
          <w:noProof/>
          <w:sz w:val="24"/>
          <w:szCs w:val="24"/>
        </w:rPr>
      </w:pPr>
      <w:r w:rsidRPr="00BD2BE9">
        <w:rPr>
          <w:rFonts w:ascii="Times New Roman" w:eastAsia="Calibri" w:hAnsi="Times New Roman" w:cs="Times New Roman"/>
          <w:b/>
          <w:noProof/>
          <w:sz w:val="24"/>
          <w:szCs w:val="24"/>
        </w:rPr>
        <w:t>2.2 Teorias objetiva</w:t>
      </w:r>
    </w:p>
    <w:p w:rsidR="00BD2BE9" w:rsidRPr="00BD2BE9" w:rsidRDefault="00BD2BE9" w:rsidP="00BD2BE9">
      <w:pPr>
        <w:spacing w:after="200" w:line="360" w:lineRule="auto"/>
        <w:ind w:firstLine="1134"/>
        <w:jc w:val="both"/>
        <w:rPr>
          <w:rFonts w:ascii="Times New Roman" w:eastAsia="Calibri" w:hAnsi="Times New Roman" w:cs="Times New Roman"/>
          <w:noProof/>
          <w:sz w:val="24"/>
          <w:szCs w:val="24"/>
        </w:rPr>
      </w:pPr>
      <w:proofErr w:type="spellStart"/>
      <w:r w:rsidRPr="00BD2BE9">
        <w:rPr>
          <w:rFonts w:ascii="Times New Roman" w:eastAsia="Calibri" w:hAnsi="Times New Roman" w:cs="Times New Roman"/>
          <w:sz w:val="24"/>
          <w:szCs w:val="24"/>
        </w:rPr>
        <w:t>Ihering</w:t>
      </w:r>
      <w:proofErr w:type="spellEnd"/>
      <w:r w:rsidRPr="00BD2BE9">
        <w:rPr>
          <w:rFonts w:ascii="Times New Roman" w:eastAsia="Calibri" w:hAnsi="Times New Roman" w:cs="Times New Roman"/>
          <w:sz w:val="24"/>
          <w:szCs w:val="24"/>
        </w:rPr>
        <w:t xml:space="preserve"> observou que existia uma grande confusão entre os conceitos de posse e propriedade pois acreditava que os dois se exteriorizavam da mesma forma. Para ele em</w:t>
      </w:r>
      <w:r w:rsidR="00ED2523">
        <w:rPr>
          <w:rFonts w:ascii="Times New Roman" w:eastAsia="Calibri" w:hAnsi="Times New Roman" w:cs="Times New Roman"/>
          <w:sz w:val="24"/>
          <w:szCs w:val="24"/>
        </w:rPr>
        <w:t xml:space="preserve"> situações normais proprietário</w:t>
      </w:r>
      <w:r w:rsidRPr="00BD2BE9">
        <w:rPr>
          <w:rFonts w:ascii="Times New Roman" w:eastAsia="Calibri" w:hAnsi="Times New Roman" w:cs="Times New Roman"/>
          <w:sz w:val="24"/>
          <w:szCs w:val="24"/>
        </w:rPr>
        <w:t xml:space="preserve"> e possuidor são a mesma</w:t>
      </w:r>
      <w:r w:rsidR="00ED2523">
        <w:rPr>
          <w:rFonts w:ascii="Times New Roman" w:eastAsia="Calibri" w:hAnsi="Times New Roman" w:cs="Times New Roman"/>
          <w:sz w:val="24"/>
          <w:szCs w:val="24"/>
        </w:rPr>
        <w:t xml:space="preserve"> pessoa </w:t>
      </w:r>
      <w:r w:rsidR="00ED2523" w:rsidRPr="00BD2BE9">
        <w:rPr>
          <w:rFonts w:ascii="Times New Roman" w:eastAsia="Calibri" w:hAnsi="Times New Roman" w:cs="Times New Roman"/>
          <w:sz w:val="24"/>
          <w:szCs w:val="24"/>
        </w:rPr>
        <w:t>e</w:t>
      </w:r>
      <w:r w:rsidRPr="00BD2BE9">
        <w:rPr>
          <w:rFonts w:ascii="Times New Roman" w:eastAsia="Calibri" w:hAnsi="Times New Roman" w:cs="Times New Roman"/>
          <w:sz w:val="24"/>
          <w:szCs w:val="24"/>
        </w:rPr>
        <w:t>, então, só vale a pena fazer essa distinção quando essa coincidência não se apresenta na prática. Assim o possuidor é aquele que detém o “poder de fato” sobre a coisa enquanto que o proprietário detém o “poder de direito”.</w:t>
      </w:r>
      <w:r w:rsidRPr="00BD2BE9">
        <w:rPr>
          <w:rFonts w:ascii="Times New Roman" w:eastAsia="Calibri" w:hAnsi="Times New Roman" w:cs="Times New Roman"/>
          <w:noProof/>
          <w:sz w:val="24"/>
          <w:szCs w:val="24"/>
        </w:rPr>
        <w:t xml:space="preserve"> (COELHO,</w:t>
      </w:r>
      <w:r w:rsidR="00ED2523">
        <w:rPr>
          <w:rFonts w:ascii="Times New Roman" w:eastAsia="Calibri" w:hAnsi="Times New Roman" w:cs="Times New Roman"/>
          <w:noProof/>
          <w:sz w:val="24"/>
          <w:szCs w:val="24"/>
        </w:rPr>
        <w:t xml:space="preserve"> </w:t>
      </w:r>
      <w:r w:rsidRPr="00BD2BE9">
        <w:rPr>
          <w:rFonts w:ascii="Times New Roman" w:eastAsia="Calibri" w:hAnsi="Times New Roman" w:cs="Times New Roman"/>
          <w:noProof/>
          <w:sz w:val="24"/>
          <w:szCs w:val="24"/>
        </w:rPr>
        <w:t>2012)</w:t>
      </w:r>
    </w:p>
    <w:p w:rsidR="00ED2523" w:rsidRDefault="00ED2523" w:rsidP="00BD2BE9">
      <w:pPr>
        <w:spacing w:after="200" w:line="360" w:lineRule="auto"/>
        <w:ind w:firstLine="1134"/>
        <w:jc w:val="both"/>
        <w:rPr>
          <w:rFonts w:ascii="Times New Roman" w:eastAsia="Calibri" w:hAnsi="Times New Roman" w:cs="Times New Roman"/>
          <w:sz w:val="24"/>
          <w:szCs w:val="24"/>
        </w:rPr>
      </w:pPr>
    </w:p>
    <w:p w:rsidR="00BD2BE9" w:rsidRPr="00BD2BE9" w:rsidRDefault="00BD2BE9" w:rsidP="00BD2BE9">
      <w:pPr>
        <w:spacing w:after="200" w:line="360" w:lineRule="auto"/>
        <w:ind w:firstLine="1134"/>
        <w:jc w:val="both"/>
        <w:rPr>
          <w:rFonts w:ascii="Times New Roman" w:eastAsia="Calibri" w:hAnsi="Times New Roman" w:cs="Times New Roman"/>
          <w:sz w:val="24"/>
          <w:szCs w:val="24"/>
        </w:rPr>
      </w:pPr>
      <w:r w:rsidRPr="00BD2BE9">
        <w:rPr>
          <w:rFonts w:ascii="Times New Roman" w:eastAsia="Calibri" w:hAnsi="Times New Roman" w:cs="Times New Roman"/>
          <w:sz w:val="24"/>
          <w:szCs w:val="24"/>
        </w:rPr>
        <w:lastRenderedPageBreak/>
        <w:t>Gonçalves, C. R. (2012, p.39) destaca que:</w:t>
      </w:r>
    </w:p>
    <w:p w:rsidR="00BD2BE9" w:rsidRDefault="00BD2BE9" w:rsidP="00BD2BE9">
      <w:pPr>
        <w:spacing w:after="200" w:line="240" w:lineRule="auto"/>
        <w:ind w:left="2268"/>
        <w:jc w:val="both"/>
        <w:rPr>
          <w:rFonts w:ascii="Times New Roman" w:eastAsia="Calibri" w:hAnsi="Times New Roman" w:cs="Times New Roman"/>
          <w:sz w:val="20"/>
          <w:szCs w:val="20"/>
        </w:rPr>
      </w:pPr>
      <w:r w:rsidRPr="00BD2BE9">
        <w:rPr>
          <w:rFonts w:ascii="Times New Roman" w:eastAsia="Calibri" w:hAnsi="Times New Roman" w:cs="Times New Roman"/>
          <w:sz w:val="20"/>
          <w:szCs w:val="20"/>
        </w:rPr>
        <w:t>A teoria de RUDOLF VON IHERING é por ele próprio denominada</w:t>
      </w:r>
      <w:r w:rsidRPr="00BD2BE9">
        <w:rPr>
          <w:rFonts w:ascii="Times New Roman" w:eastAsia="Calibri" w:hAnsi="Times New Roman" w:cs="Times New Roman"/>
          <w:sz w:val="20"/>
          <w:szCs w:val="20"/>
        </w:rPr>
        <w:br/>
      </w:r>
      <w:r w:rsidRPr="00BD2BE9">
        <w:rPr>
          <w:rFonts w:ascii="Times New Roman" w:eastAsia="Calibri" w:hAnsi="Times New Roman" w:cs="Times New Roman"/>
          <w:i/>
          <w:iCs/>
          <w:sz w:val="20"/>
          <w:szCs w:val="20"/>
        </w:rPr>
        <w:t xml:space="preserve">objetiva </w:t>
      </w:r>
      <w:r w:rsidRPr="00BD2BE9">
        <w:rPr>
          <w:rFonts w:ascii="Times New Roman" w:eastAsia="Calibri" w:hAnsi="Times New Roman" w:cs="Times New Roman"/>
          <w:sz w:val="20"/>
          <w:szCs w:val="20"/>
        </w:rPr>
        <w:t xml:space="preserve">porque não empresta à intenção, ao </w:t>
      </w:r>
      <w:r w:rsidRPr="00BD2BE9">
        <w:rPr>
          <w:rFonts w:ascii="Times New Roman" w:eastAsia="Calibri" w:hAnsi="Times New Roman" w:cs="Times New Roman"/>
          <w:i/>
          <w:iCs/>
          <w:sz w:val="20"/>
          <w:szCs w:val="20"/>
        </w:rPr>
        <w:t>animus</w:t>
      </w:r>
      <w:r w:rsidRPr="00BD2BE9">
        <w:rPr>
          <w:rFonts w:ascii="Times New Roman" w:eastAsia="Calibri" w:hAnsi="Times New Roman" w:cs="Times New Roman"/>
          <w:sz w:val="20"/>
          <w:szCs w:val="20"/>
        </w:rPr>
        <w:t>, a importância que lhe</w:t>
      </w:r>
      <w:r w:rsidRPr="00BD2BE9">
        <w:rPr>
          <w:rFonts w:ascii="Times New Roman" w:eastAsia="Calibri" w:hAnsi="Times New Roman" w:cs="Times New Roman"/>
          <w:sz w:val="20"/>
          <w:szCs w:val="20"/>
        </w:rPr>
        <w:br/>
        <w:t xml:space="preserve">confere a teoria subjetiva. Considera-o como já incluído no </w:t>
      </w:r>
      <w:r w:rsidRPr="00BD2BE9">
        <w:rPr>
          <w:rFonts w:ascii="Times New Roman" w:eastAsia="Calibri" w:hAnsi="Times New Roman" w:cs="Times New Roman"/>
          <w:i/>
          <w:iCs/>
          <w:sz w:val="20"/>
          <w:szCs w:val="20"/>
        </w:rPr>
        <w:t xml:space="preserve">corpus </w:t>
      </w:r>
      <w:r w:rsidRPr="00BD2BE9">
        <w:rPr>
          <w:rFonts w:ascii="Times New Roman" w:eastAsia="Calibri" w:hAnsi="Times New Roman" w:cs="Times New Roman"/>
          <w:sz w:val="20"/>
          <w:szCs w:val="20"/>
        </w:rPr>
        <w:t>e dá ênfase, na posse, ao seu caráter de exteriorização da propriedade. Para que a posse</w:t>
      </w:r>
      <w:r w:rsidRPr="00BD2BE9">
        <w:rPr>
          <w:rFonts w:ascii="Times New Roman" w:eastAsia="Calibri" w:hAnsi="Times New Roman" w:cs="Times New Roman"/>
          <w:sz w:val="20"/>
          <w:szCs w:val="20"/>
        </w:rPr>
        <w:br/>
        <w:t>exista, basta o elemento objetivo, pois ela se revela na maneira como o</w:t>
      </w:r>
      <w:r w:rsidRPr="00BD2BE9">
        <w:rPr>
          <w:rFonts w:ascii="Times New Roman" w:eastAsia="Calibri" w:hAnsi="Times New Roman" w:cs="Times New Roman"/>
          <w:sz w:val="20"/>
          <w:szCs w:val="20"/>
        </w:rPr>
        <w:br/>
        <w:t>proprietário age em face da coisa.</w:t>
      </w:r>
      <w:r w:rsidRPr="00BD2BE9">
        <w:rPr>
          <w:rFonts w:ascii="TimesNewRomanPSMT" w:eastAsia="Calibri" w:hAnsi="TimesNewRomanPSMT" w:cs="Times New Roman"/>
          <w:color w:val="000000"/>
          <w:sz w:val="12"/>
          <w:szCs w:val="12"/>
        </w:rPr>
        <w:t xml:space="preserve"> </w:t>
      </w:r>
      <w:r w:rsidRPr="00BD2BE9">
        <w:rPr>
          <w:rFonts w:ascii="Times New Roman" w:eastAsia="Calibri" w:hAnsi="Times New Roman" w:cs="Times New Roman"/>
          <w:sz w:val="20"/>
          <w:szCs w:val="20"/>
        </w:rPr>
        <w:t>Para IHERING, portanto, basta o corpus para a caracterização da posse. Tal expressão, porém, não significa contato físico com a coisa, mas sim conduta de dono.</w:t>
      </w:r>
    </w:p>
    <w:p w:rsidR="00ED2523" w:rsidRPr="00BD2BE9" w:rsidRDefault="00ED2523" w:rsidP="00BD2BE9">
      <w:pPr>
        <w:spacing w:after="200" w:line="240" w:lineRule="auto"/>
        <w:ind w:left="2268"/>
        <w:jc w:val="both"/>
        <w:rPr>
          <w:rFonts w:ascii="Times New Roman" w:eastAsia="Calibri" w:hAnsi="Times New Roman" w:cs="Times New Roman"/>
          <w:sz w:val="20"/>
          <w:szCs w:val="20"/>
        </w:rPr>
      </w:pPr>
    </w:p>
    <w:p w:rsidR="00BD2BE9" w:rsidRPr="00BD2BE9" w:rsidRDefault="00BD2BE9" w:rsidP="00764CF2">
      <w:pPr>
        <w:spacing w:after="200" w:line="360" w:lineRule="auto"/>
        <w:ind w:firstLine="709"/>
        <w:jc w:val="both"/>
        <w:rPr>
          <w:rFonts w:ascii="Times New Roman" w:eastAsia="Calibri" w:hAnsi="Times New Roman" w:cs="Times New Roman"/>
          <w:b/>
          <w:noProof/>
          <w:sz w:val="24"/>
          <w:szCs w:val="24"/>
        </w:rPr>
      </w:pPr>
      <w:r w:rsidRPr="00BD2BE9">
        <w:rPr>
          <w:rFonts w:ascii="Times New Roman" w:eastAsia="Calibri" w:hAnsi="Times New Roman" w:cs="Times New Roman"/>
          <w:b/>
          <w:noProof/>
          <w:sz w:val="24"/>
          <w:szCs w:val="24"/>
        </w:rPr>
        <w:t>2.3 Teorias sociológicas</w:t>
      </w:r>
    </w:p>
    <w:p w:rsidR="00BD2BE9" w:rsidRPr="00BD2BE9" w:rsidRDefault="00BD2BE9" w:rsidP="00ED2523">
      <w:pPr>
        <w:spacing w:after="20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sz w:val="24"/>
          <w:szCs w:val="24"/>
        </w:rPr>
        <w:t>Gonçalves, C.R. (2012),</w:t>
      </w:r>
      <w:r w:rsidRPr="00BD2BE9">
        <w:rPr>
          <w:rFonts w:ascii="Times New Roman" w:eastAsia="Calibri" w:hAnsi="Times New Roman" w:cs="Times New Roman"/>
          <w:noProof/>
          <w:sz w:val="24"/>
          <w:szCs w:val="24"/>
        </w:rPr>
        <w:t xml:space="preserve"> destaca a contribuição de juristas sociólogos no século XX que passaram a enxergar a posse de forma independente da propriedade.</w:t>
      </w:r>
      <w:r w:rsidR="00E06004">
        <w:rPr>
          <w:rFonts w:ascii="Times New Roman" w:eastAsia="Calibri" w:hAnsi="Times New Roman" w:cs="Times New Roman"/>
          <w:noProof/>
          <w:sz w:val="24"/>
          <w:szCs w:val="24"/>
        </w:rPr>
        <w:t xml:space="preserve"> </w:t>
      </w:r>
      <w:r w:rsidRPr="00BD2BE9">
        <w:rPr>
          <w:rFonts w:ascii="Times New Roman" w:eastAsia="Calibri" w:hAnsi="Times New Roman" w:cs="Times New Roman"/>
          <w:noProof/>
          <w:sz w:val="24"/>
          <w:szCs w:val="24"/>
        </w:rPr>
        <w:t>De</w:t>
      </w:r>
      <w:r w:rsidR="00ED2523">
        <w:rPr>
          <w:rFonts w:ascii="Times New Roman" w:eastAsia="Calibri" w:hAnsi="Times New Roman" w:cs="Times New Roman"/>
          <w:noProof/>
          <w:sz w:val="24"/>
          <w:szCs w:val="24"/>
        </w:rPr>
        <w:t>ntre eles estão:</w:t>
      </w:r>
      <w:r w:rsidR="00ED2523">
        <w:rPr>
          <w:rFonts w:ascii="Times New Roman" w:eastAsia="Calibri" w:hAnsi="Times New Roman" w:cs="Times New Roman"/>
          <w:noProof/>
          <w:sz w:val="24"/>
          <w:szCs w:val="24"/>
        </w:rPr>
        <w:br/>
        <w:t>Silvio Perozzi</w:t>
      </w:r>
      <w:r w:rsidRPr="00BD2BE9">
        <w:rPr>
          <w:rFonts w:ascii="Times New Roman" w:eastAsia="Calibri" w:hAnsi="Times New Roman" w:cs="Times New Roman"/>
          <w:noProof/>
          <w:sz w:val="24"/>
          <w:szCs w:val="24"/>
        </w:rPr>
        <w:t xml:space="preserve"> na </w:t>
      </w:r>
      <w:r w:rsidR="00760594">
        <w:rPr>
          <w:rFonts w:ascii="Times New Roman" w:eastAsia="Calibri" w:hAnsi="Times New Roman" w:cs="Times New Roman"/>
          <w:noProof/>
          <w:sz w:val="24"/>
          <w:szCs w:val="24"/>
        </w:rPr>
        <w:t>I</w:t>
      </w:r>
      <w:r w:rsidRPr="00BD2BE9">
        <w:rPr>
          <w:rFonts w:ascii="Times New Roman" w:eastAsia="Calibri" w:hAnsi="Times New Roman" w:cs="Times New Roman"/>
          <w:noProof/>
          <w:sz w:val="24"/>
          <w:szCs w:val="24"/>
        </w:rPr>
        <w:t>tália, Raym</w:t>
      </w:r>
      <w:r w:rsidR="00ED2523">
        <w:rPr>
          <w:rFonts w:ascii="Times New Roman" w:eastAsia="Calibri" w:hAnsi="Times New Roman" w:cs="Times New Roman"/>
          <w:noProof/>
          <w:sz w:val="24"/>
          <w:szCs w:val="24"/>
        </w:rPr>
        <w:t xml:space="preserve">ond Saleilles na França </w:t>
      </w:r>
      <w:r w:rsidR="00760594">
        <w:rPr>
          <w:rFonts w:ascii="Times New Roman" w:eastAsia="Calibri" w:hAnsi="Times New Roman" w:cs="Times New Roman"/>
          <w:noProof/>
          <w:sz w:val="24"/>
          <w:szCs w:val="24"/>
        </w:rPr>
        <w:t xml:space="preserve"> e Antô</w:t>
      </w:r>
      <w:r w:rsidRPr="00BD2BE9">
        <w:rPr>
          <w:rFonts w:ascii="Times New Roman" w:eastAsia="Calibri" w:hAnsi="Times New Roman" w:cs="Times New Roman"/>
          <w:noProof/>
          <w:sz w:val="24"/>
          <w:szCs w:val="24"/>
        </w:rPr>
        <w:t>nio</w:t>
      </w:r>
      <w:r w:rsidR="00ED2523">
        <w:rPr>
          <w:rFonts w:ascii="Times New Roman" w:eastAsia="Calibri" w:hAnsi="Times New Roman" w:cs="Times New Roman"/>
          <w:noProof/>
          <w:sz w:val="24"/>
          <w:szCs w:val="24"/>
        </w:rPr>
        <w:t xml:space="preserve"> Hernández Gil</w:t>
      </w:r>
      <w:r w:rsidRPr="00BD2BE9">
        <w:rPr>
          <w:rFonts w:ascii="Times New Roman" w:eastAsia="Calibri" w:hAnsi="Times New Roman" w:cs="Times New Roman"/>
          <w:noProof/>
          <w:sz w:val="24"/>
          <w:szCs w:val="24"/>
        </w:rPr>
        <w:t xml:space="preserve"> na </w:t>
      </w:r>
      <w:r w:rsidR="00760594">
        <w:rPr>
          <w:rFonts w:ascii="Times New Roman" w:eastAsia="Calibri" w:hAnsi="Times New Roman" w:cs="Times New Roman"/>
          <w:noProof/>
          <w:sz w:val="24"/>
          <w:szCs w:val="24"/>
        </w:rPr>
        <w:t>E</w:t>
      </w:r>
      <w:r w:rsidRPr="00BD2BE9">
        <w:rPr>
          <w:rFonts w:ascii="Times New Roman" w:eastAsia="Calibri" w:hAnsi="Times New Roman" w:cs="Times New Roman"/>
          <w:noProof/>
          <w:sz w:val="24"/>
          <w:szCs w:val="24"/>
        </w:rPr>
        <w:t xml:space="preserve">spanha. </w:t>
      </w:r>
    </w:p>
    <w:p w:rsidR="00BD2BE9" w:rsidRPr="00BD2BE9" w:rsidRDefault="00BD2BE9" w:rsidP="00BD2BE9">
      <w:pPr>
        <w:spacing w:after="20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noProof/>
          <w:sz w:val="24"/>
          <w:szCs w:val="24"/>
        </w:rPr>
        <w:t>Dessa forma o autor destaca que:</w:t>
      </w:r>
    </w:p>
    <w:p w:rsidR="00BD2BE9" w:rsidRPr="00BD2BE9" w:rsidRDefault="00BD2BE9" w:rsidP="00BD2BE9">
      <w:pPr>
        <w:spacing w:after="200" w:line="240" w:lineRule="auto"/>
        <w:ind w:left="2268"/>
        <w:jc w:val="both"/>
        <w:rPr>
          <w:rFonts w:ascii="Times New Roman" w:eastAsia="Calibri" w:hAnsi="Times New Roman" w:cs="Times New Roman"/>
          <w:noProof/>
          <w:sz w:val="20"/>
          <w:szCs w:val="20"/>
        </w:rPr>
      </w:pPr>
      <w:r w:rsidRPr="00BD2BE9">
        <w:rPr>
          <w:rFonts w:ascii="Times New Roman" w:eastAsia="Calibri" w:hAnsi="Times New Roman" w:cs="Times New Roman"/>
          <w:noProof/>
          <w:sz w:val="20"/>
          <w:szCs w:val="20"/>
        </w:rPr>
        <w:br/>
        <w:t xml:space="preserve">Essas novas teorias, que </w:t>
      </w:r>
      <w:r w:rsidRPr="00ED2523">
        <w:rPr>
          <w:rFonts w:ascii="Times New Roman" w:eastAsia="Calibri" w:hAnsi="Times New Roman" w:cs="Times New Roman"/>
          <w:b/>
          <w:noProof/>
          <w:sz w:val="20"/>
          <w:szCs w:val="20"/>
        </w:rPr>
        <w:t>dão ênfase ao caráter econômico e à função</w:t>
      </w:r>
      <w:r w:rsidRPr="00ED2523">
        <w:rPr>
          <w:rFonts w:ascii="Times New Roman" w:eastAsia="Calibri" w:hAnsi="Times New Roman" w:cs="Times New Roman"/>
          <w:b/>
          <w:noProof/>
          <w:sz w:val="20"/>
          <w:szCs w:val="20"/>
        </w:rPr>
        <w:br/>
        <w:t>social da posse</w:t>
      </w:r>
      <w:r w:rsidRPr="00BD2BE9">
        <w:rPr>
          <w:rFonts w:ascii="Times New Roman" w:eastAsia="Calibri" w:hAnsi="Times New Roman" w:cs="Times New Roman"/>
          <w:noProof/>
          <w:sz w:val="20"/>
          <w:szCs w:val="20"/>
        </w:rPr>
        <w:t>, aliadas à nova concepção do direito de propriedade, que também</w:t>
      </w:r>
      <w:r w:rsidRPr="00BD2BE9">
        <w:rPr>
          <w:rFonts w:ascii="Times New Roman" w:eastAsia="Calibri" w:hAnsi="Times New Roman" w:cs="Times New Roman"/>
          <w:noProof/>
          <w:sz w:val="20"/>
          <w:szCs w:val="20"/>
        </w:rPr>
        <w:br/>
        <w:t>deve exercer uma função social, como prescreve a Constituição da República,</w:t>
      </w:r>
      <w:r w:rsidRPr="00BD2BE9">
        <w:rPr>
          <w:rFonts w:ascii="Times New Roman" w:eastAsia="Calibri" w:hAnsi="Times New Roman" w:cs="Times New Roman"/>
          <w:noProof/>
          <w:sz w:val="20"/>
          <w:szCs w:val="20"/>
        </w:rPr>
        <w:br/>
        <w:t xml:space="preserve">constituem instrumento jurídico de fortalecimento da posse, </w:t>
      </w:r>
      <w:r w:rsidRPr="00ED2523">
        <w:rPr>
          <w:rFonts w:ascii="Times New Roman" w:eastAsia="Calibri" w:hAnsi="Times New Roman" w:cs="Times New Roman"/>
          <w:b/>
          <w:noProof/>
          <w:sz w:val="20"/>
          <w:szCs w:val="20"/>
        </w:rPr>
        <w:t>permitindo que, em</w:t>
      </w:r>
      <w:r w:rsidRPr="00ED2523">
        <w:rPr>
          <w:rFonts w:ascii="Times New Roman" w:eastAsia="Calibri" w:hAnsi="Times New Roman" w:cs="Times New Roman"/>
          <w:b/>
          <w:noProof/>
          <w:sz w:val="20"/>
          <w:szCs w:val="20"/>
        </w:rPr>
        <w:br/>
        <w:t>alguns casos e diante de certas circunstâncias, venha a preponderar sobre o</w:t>
      </w:r>
      <w:r w:rsidRPr="00ED2523">
        <w:rPr>
          <w:rFonts w:ascii="Times New Roman" w:eastAsia="Calibri" w:hAnsi="Times New Roman" w:cs="Times New Roman"/>
          <w:b/>
          <w:noProof/>
          <w:sz w:val="20"/>
          <w:szCs w:val="20"/>
        </w:rPr>
        <w:br/>
        <w:t>direito de propriedade.</w:t>
      </w:r>
      <w:r w:rsidR="00ED2523">
        <w:rPr>
          <w:rFonts w:ascii="Times New Roman" w:eastAsia="Calibri" w:hAnsi="Times New Roman" w:cs="Times New Roman"/>
          <w:b/>
          <w:noProof/>
          <w:sz w:val="20"/>
          <w:szCs w:val="20"/>
        </w:rPr>
        <w:t xml:space="preserve"> </w:t>
      </w:r>
      <w:r w:rsidRPr="00ED2523">
        <w:rPr>
          <w:rFonts w:ascii="Times New Roman" w:eastAsia="Calibri" w:hAnsi="Times New Roman" w:cs="Times New Roman"/>
          <w:b/>
          <w:noProof/>
          <w:sz w:val="20"/>
          <w:szCs w:val="20"/>
        </w:rPr>
        <w:t>(</w:t>
      </w:r>
      <w:r w:rsidRPr="00BD2BE9">
        <w:rPr>
          <w:rFonts w:ascii="Times New Roman" w:eastAsia="Calibri" w:hAnsi="Times New Roman" w:cs="Times New Roman"/>
          <w:noProof/>
          <w:sz w:val="20"/>
          <w:szCs w:val="20"/>
        </w:rPr>
        <w:t>GONÇALVES,</w:t>
      </w:r>
      <w:r w:rsidR="00ED2523">
        <w:rPr>
          <w:rFonts w:ascii="Times New Roman" w:eastAsia="Calibri" w:hAnsi="Times New Roman" w:cs="Times New Roman"/>
          <w:noProof/>
          <w:sz w:val="20"/>
          <w:szCs w:val="20"/>
        </w:rPr>
        <w:t xml:space="preserve"> </w:t>
      </w:r>
      <w:r w:rsidRPr="00BD2BE9">
        <w:rPr>
          <w:rFonts w:ascii="Times New Roman" w:eastAsia="Calibri" w:hAnsi="Times New Roman" w:cs="Times New Roman"/>
          <w:noProof/>
          <w:sz w:val="20"/>
          <w:szCs w:val="20"/>
        </w:rPr>
        <w:t>C. R.,</w:t>
      </w:r>
      <w:r w:rsidR="00ED2523">
        <w:rPr>
          <w:rFonts w:ascii="Times New Roman" w:eastAsia="Calibri" w:hAnsi="Times New Roman" w:cs="Times New Roman"/>
          <w:noProof/>
          <w:sz w:val="20"/>
          <w:szCs w:val="20"/>
        </w:rPr>
        <w:t xml:space="preserve"> </w:t>
      </w:r>
      <w:r w:rsidRPr="00BD2BE9">
        <w:rPr>
          <w:rFonts w:ascii="Times New Roman" w:eastAsia="Calibri" w:hAnsi="Times New Roman" w:cs="Times New Roman"/>
          <w:noProof/>
          <w:sz w:val="20"/>
          <w:szCs w:val="20"/>
        </w:rPr>
        <w:t>2012, p.45</w:t>
      </w:r>
      <w:r w:rsidR="00ED2523">
        <w:rPr>
          <w:rFonts w:ascii="Times New Roman" w:eastAsia="Calibri" w:hAnsi="Times New Roman" w:cs="Times New Roman"/>
          <w:noProof/>
          <w:sz w:val="20"/>
          <w:szCs w:val="20"/>
        </w:rPr>
        <w:t>, grifo nosso</w:t>
      </w:r>
      <w:r w:rsidRPr="00BD2BE9">
        <w:rPr>
          <w:rFonts w:ascii="Times New Roman" w:eastAsia="Calibri" w:hAnsi="Times New Roman" w:cs="Times New Roman"/>
          <w:noProof/>
          <w:sz w:val="20"/>
          <w:szCs w:val="20"/>
        </w:rPr>
        <w:t>)</w:t>
      </w:r>
      <w:r w:rsidR="00760594">
        <w:rPr>
          <w:rFonts w:ascii="Times New Roman" w:eastAsia="Calibri" w:hAnsi="Times New Roman" w:cs="Times New Roman"/>
          <w:noProof/>
          <w:sz w:val="20"/>
          <w:szCs w:val="20"/>
        </w:rPr>
        <w:t xml:space="preserve"> </w:t>
      </w:r>
    </w:p>
    <w:p w:rsidR="00BD2BE9" w:rsidRPr="00BD2BE9" w:rsidRDefault="00BD2BE9" w:rsidP="00BD2BE9">
      <w:pPr>
        <w:spacing w:after="200" w:line="240" w:lineRule="auto"/>
        <w:ind w:left="2268"/>
        <w:jc w:val="both"/>
        <w:rPr>
          <w:rFonts w:ascii="Times New Roman" w:eastAsia="Calibri" w:hAnsi="Times New Roman" w:cs="Times New Roman"/>
          <w:noProof/>
          <w:sz w:val="20"/>
          <w:szCs w:val="20"/>
        </w:rPr>
      </w:pPr>
    </w:p>
    <w:p w:rsidR="00BD2BE9" w:rsidRPr="00BD2BE9" w:rsidRDefault="00760594" w:rsidP="00BD2BE9">
      <w:pPr>
        <w:spacing w:after="0" w:line="360" w:lineRule="auto"/>
        <w:jc w:val="both"/>
        <w:rPr>
          <w:rFonts w:ascii="Times New Roman" w:eastAsia="Calibri" w:hAnsi="Times New Roman" w:cs="Times New Roman"/>
          <w:b/>
          <w:noProof/>
          <w:sz w:val="24"/>
          <w:szCs w:val="24"/>
        </w:rPr>
      </w:pPr>
      <w:r>
        <w:rPr>
          <w:rFonts w:ascii="Times New Roman" w:eastAsia="Calibri" w:hAnsi="Times New Roman" w:cs="Times New Roman"/>
          <w:b/>
          <w:sz w:val="24"/>
          <w:szCs w:val="24"/>
        </w:rPr>
        <w:t>3</w:t>
      </w:r>
      <w:r w:rsidR="00764CF2" w:rsidRPr="00BD2BE9">
        <w:rPr>
          <w:rFonts w:ascii="Times New Roman" w:eastAsia="Calibri" w:hAnsi="Times New Roman" w:cs="Times New Roman"/>
          <w:b/>
          <w:sz w:val="24"/>
          <w:szCs w:val="24"/>
        </w:rPr>
        <w:t xml:space="preserve"> </w:t>
      </w:r>
      <w:r w:rsidR="00764CF2" w:rsidRPr="00BD2BE9">
        <w:rPr>
          <w:rFonts w:ascii="Times New Roman" w:eastAsia="Calibri" w:hAnsi="Times New Roman" w:cs="Times New Roman"/>
          <w:b/>
          <w:noProof/>
          <w:sz w:val="24"/>
          <w:szCs w:val="24"/>
        </w:rPr>
        <w:t>MUDANÇA DE PARADIGMA DO DIREITO CIVIL MERAMENTE PRIVATISTA PARA O DIREITO CIVIL CONSTITUCIONAL.</w:t>
      </w:r>
    </w:p>
    <w:p w:rsidR="00BD2BE9" w:rsidRPr="00BD2BE9" w:rsidRDefault="00BD2BE9" w:rsidP="00BD2BE9">
      <w:pPr>
        <w:spacing w:after="0" w:line="360" w:lineRule="auto"/>
        <w:jc w:val="both"/>
        <w:rPr>
          <w:rFonts w:ascii="Times New Roman" w:eastAsia="Calibri" w:hAnsi="Times New Roman" w:cs="Times New Roman"/>
          <w:b/>
          <w:noProof/>
          <w:sz w:val="24"/>
          <w:szCs w:val="24"/>
        </w:rPr>
      </w:pPr>
    </w:p>
    <w:p w:rsidR="00BD2BE9" w:rsidRDefault="00BD2BE9" w:rsidP="00BD2BE9">
      <w:pPr>
        <w:spacing w:after="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noProof/>
          <w:sz w:val="24"/>
          <w:szCs w:val="24"/>
        </w:rPr>
        <w:t xml:space="preserve">Ao longo da história o Direito Civil sempre foi visto como </w:t>
      </w:r>
      <w:r w:rsidR="002B22C6">
        <w:rPr>
          <w:rFonts w:ascii="Times New Roman" w:eastAsia="Calibri" w:hAnsi="Times New Roman" w:cs="Times New Roman"/>
          <w:noProof/>
          <w:sz w:val="24"/>
          <w:szCs w:val="24"/>
        </w:rPr>
        <w:t>relativo</w:t>
      </w:r>
      <w:r w:rsidR="00760594">
        <w:rPr>
          <w:rFonts w:ascii="Times New Roman" w:eastAsia="Calibri" w:hAnsi="Times New Roman" w:cs="Times New Roman"/>
          <w:noProof/>
          <w:sz w:val="24"/>
          <w:szCs w:val="24"/>
        </w:rPr>
        <w:t xml:space="preserve"> ao indiví</w:t>
      </w:r>
      <w:r w:rsidRPr="00BD2BE9">
        <w:rPr>
          <w:rFonts w:ascii="Times New Roman" w:eastAsia="Calibri" w:hAnsi="Times New Roman" w:cs="Times New Roman"/>
          <w:noProof/>
          <w:sz w:val="24"/>
          <w:szCs w:val="24"/>
        </w:rPr>
        <w:t>duo, algo privativo que não se misturava com o ramo constitucional. Aparentemente imutável pelas transformações sociais. Com uma lenta elaboração até os dias atuais, perpassamos tal distinção, e fazemos da constituição a base para os demais, onde a partir do texto constitucional inte</w:t>
      </w:r>
      <w:r w:rsidR="00760594">
        <w:rPr>
          <w:rFonts w:ascii="Times New Roman" w:eastAsia="Calibri" w:hAnsi="Times New Roman" w:cs="Times New Roman"/>
          <w:noProof/>
          <w:sz w:val="24"/>
          <w:szCs w:val="24"/>
        </w:rPr>
        <w:t>r</w:t>
      </w:r>
      <w:r w:rsidRPr="00BD2BE9">
        <w:rPr>
          <w:rFonts w:ascii="Times New Roman" w:eastAsia="Calibri" w:hAnsi="Times New Roman" w:cs="Times New Roman"/>
          <w:noProof/>
          <w:sz w:val="24"/>
          <w:szCs w:val="24"/>
        </w:rPr>
        <w:t>preta-se os ramos que dela são derivados e não o contrário como era analisado no período greco- gemânico (LÔBO, 1999).</w:t>
      </w:r>
    </w:p>
    <w:p w:rsidR="004E2740" w:rsidRPr="00BD2BE9" w:rsidRDefault="004E2740" w:rsidP="002B22C6">
      <w:pPr>
        <w:spacing w:after="0" w:line="360" w:lineRule="auto"/>
        <w:ind w:firstLine="1134"/>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Braga (2009) destaca que antes da constituição de 1988 tivemos no Brasil outras constitu</w:t>
      </w:r>
      <w:r w:rsidR="00760594">
        <w:rPr>
          <w:rFonts w:ascii="Times New Roman" w:eastAsia="Calibri" w:hAnsi="Times New Roman" w:cs="Times New Roman"/>
          <w:noProof/>
          <w:sz w:val="24"/>
          <w:szCs w:val="24"/>
        </w:rPr>
        <w:t>i</w:t>
      </w:r>
      <w:r>
        <w:rPr>
          <w:rFonts w:ascii="Times New Roman" w:eastAsia="Calibri" w:hAnsi="Times New Roman" w:cs="Times New Roman"/>
          <w:noProof/>
          <w:sz w:val="24"/>
          <w:szCs w:val="24"/>
        </w:rPr>
        <w:t xml:space="preserve">ções que zelaram pelo interesse social diante ao direto de propriedade: </w:t>
      </w:r>
      <w:r w:rsidRPr="004E2740">
        <w:rPr>
          <w:rFonts w:ascii="Times New Roman" w:eastAsia="Calibri" w:hAnsi="Times New Roman" w:cs="Times New Roman"/>
          <w:noProof/>
          <w:sz w:val="24"/>
          <w:szCs w:val="24"/>
        </w:rPr>
        <w:t>a Constituição de 1934 e a de 1967</w:t>
      </w:r>
      <w:r>
        <w:rPr>
          <w:rFonts w:ascii="Times New Roman" w:eastAsia="Calibri" w:hAnsi="Times New Roman" w:cs="Times New Roman"/>
          <w:noProof/>
          <w:sz w:val="24"/>
          <w:szCs w:val="24"/>
        </w:rPr>
        <w:t>.</w:t>
      </w:r>
      <w:r w:rsidR="002B22C6">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Foi</w:t>
      </w:r>
      <w:r w:rsidR="002B22C6">
        <w:rPr>
          <w:rFonts w:ascii="Times New Roman" w:eastAsia="Calibri" w:hAnsi="Times New Roman" w:cs="Times New Roman"/>
          <w:noProof/>
          <w:sz w:val="24"/>
          <w:szCs w:val="24"/>
        </w:rPr>
        <w:t>,</w:t>
      </w:r>
      <w:r>
        <w:rPr>
          <w:rFonts w:ascii="Times New Roman" w:eastAsia="Calibri" w:hAnsi="Times New Roman" w:cs="Times New Roman"/>
          <w:noProof/>
          <w:sz w:val="24"/>
          <w:szCs w:val="24"/>
        </w:rPr>
        <w:t xml:space="preserve"> porém com a constituição de 1988 que começa a se vencer a ig</w:t>
      </w:r>
      <w:r w:rsidR="002B22C6">
        <w:rPr>
          <w:rFonts w:ascii="Times New Roman" w:eastAsia="Calibri" w:hAnsi="Times New Roman" w:cs="Times New Roman"/>
          <w:noProof/>
          <w:sz w:val="24"/>
          <w:szCs w:val="24"/>
        </w:rPr>
        <w:t>ua</w:t>
      </w:r>
      <w:r>
        <w:rPr>
          <w:rFonts w:ascii="Times New Roman" w:eastAsia="Calibri" w:hAnsi="Times New Roman" w:cs="Times New Roman"/>
          <w:noProof/>
          <w:sz w:val="24"/>
          <w:szCs w:val="24"/>
        </w:rPr>
        <w:t xml:space="preserve">ldade meramente formal advinda dos ideais liberais europeus, onde “ </w:t>
      </w:r>
      <w:r w:rsidRPr="004E2740">
        <w:rPr>
          <w:rFonts w:ascii="Times New Roman" w:eastAsia="Calibri" w:hAnsi="Times New Roman" w:cs="Times New Roman"/>
          <w:noProof/>
          <w:sz w:val="24"/>
          <w:szCs w:val="24"/>
        </w:rPr>
        <w:t>os desníveis sociais profundos, mantidos em nome da liberdade, impossibilitavam o acesso aos bens</w:t>
      </w:r>
      <w:r>
        <w:rPr>
          <w:rFonts w:ascii="Times New Roman" w:eastAsia="Calibri" w:hAnsi="Times New Roman" w:cs="Times New Roman"/>
          <w:noProof/>
          <w:sz w:val="24"/>
          <w:szCs w:val="24"/>
        </w:rPr>
        <w:t xml:space="preserve"> produzidos pela </w:t>
      </w:r>
      <w:r>
        <w:rPr>
          <w:rFonts w:ascii="Times New Roman" w:eastAsia="Calibri" w:hAnsi="Times New Roman" w:cs="Times New Roman"/>
          <w:noProof/>
          <w:sz w:val="24"/>
          <w:szCs w:val="24"/>
        </w:rPr>
        <w:lastRenderedPageBreak/>
        <w:t xml:space="preserve">sociedade”(p. 38). </w:t>
      </w:r>
      <w:r w:rsidR="002B22C6">
        <w:rPr>
          <w:rFonts w:ascii="Times New Roman" w:eastAsia="Calibri" w:hAnsi="Times New Roman" w:cs="Times New Roman"/>
          <w:noProof/>
          <w:sz w:val="24"/>
          <w:szCs w:val="24"/>
        </w:rPr>
        <w:t>A importância da constituição de 1988 para a constitucionalização do direito Civil é expressiva pois a partir dela se passa a ter: “</w:t>
      </w:r>
      <w:r w:rsidR="002B22C6" w:rsidRPr="002B22C6">
        <w:rPr>
          <w:rFonts w:ascii="Times New Roman" w:eastAsia="Calibri" w:hAnsi="Times New Roman" w:cs="Times New Roman"/>
          <w:noProof/>
          <w:sz w:val="24"/>
          <w:szCs w:val="24"/>
        </w:rPr>
        <w:t>a dignidade da pessoa humana (art. 1º, III) como um dos fundamentos da</w:t>
      </w:r>
      <w:r w:rsidR="002B22C6">
        <w:rPr>
          <w:rFonts w:ascii="Times New Roman" w:eastAsia="Calibri" w:hAnsi="Times New Roman" w:cs="Times New Roman"/>
          <w:noProof/>
          <w:sz w:val="24"/>
          <w:szCs w:val="24"/>
        </w:rPr>
        <w:t xml:space="preserve"> República Federativa do Brasil”(p.38) dessa forma</w:t>
      </w:r>
      <w:r w:rsidR="002B22C6" w:rsidRPr="002B22C6">
        <w:rPr>
          <w:rFonts w:ascii="Times New Roman" w:eastAsia="Calibri" w:hAnsi="Times New Roman" w:cs="Times New Roman"/>
          <w:noProof/>
          <w:sz w:val="24"/>
          <w:szCs w:val="24"/>
        </w:rPr>
        <w:t xml:space="preserve"> </w:t>
      </w:r>
      <w:r w:rsidR="002B22C6">
        <w:rPr>
          <w:rFonts w:ascii="Times New Roman" w:eastAsia="Calibri" w:hAnsi="Times New Roman" w:cs="Times New Roman"/>
          <w:noProof/>
          <w:sz w:val="24"/>
          <w:szCs w:val="24"/>
        </w:rPr>
        <w:t>“</w:t>
      </w:r>
      <w:r w:rsidR="002B22C6" w:rsidRPr="002B22C6">
        <w:rPr>
          <w:rFonts w:ascii="Times New Roman" w:eastAsia="Calibri" w:hAnsi="Times New Roman" w:cs="Times New Roman"/>
          <w:noProof/>
          <w:sz w:val="24"/>
          <w:szCs w:val="24"/>
        </w:rPr>
        <w:t>a Constituição reconhece que a pessoa deve ser o principal objetivo da ordem jurídica</w:t>
      </w:r>
      <w:r w:rsidR="002B22C6">
        <w:rPr>
          <w:rFonts w:ascii="Times New Roman" w:eastAsia="Calibri" w:hAnsi="Times New Roman" w:cs="Times New Roman"/>
          <w:noProof/>
          <w:sz w:val="24"/>
          <w:szCs w:val="24"/>
        </w:rPr>
        <w:t>”</w:t>
      </w:r>
      <w:r w:rsidR="002B22C6" w:rsidRPr="002B22C6">
        <w:rPr>
          <w:rFonts w:ascii="Times New Roman" w:eastAsia="Calibri" w:hAnsi="Times New Roman" w:cs="Times New Roman"/>
          <w:noProof/>
          <w:sz w:val="24"/>
          <w:szCs w:val="24"/>
        </w:rPr>
        <w:t xml:space="preserve"> </w:t>
      </w:r>
      <w:r w:rsidR="002B22C6">
        <w:rPr>
          <w:rFonts w:ascii="Times New Roman" w:eastAsia="Calibri" w:hAnsi="Times New Roman" w:cs="Times New Roman"/>
          <w:noProof/>
          <w:sz w:val="24"/>
          <w:szCs w:val="24"/>
        </w:rPr>
        <w:t>(p.38).</w:t>
      </w:r>
    </w:p>
    <w:p w:rsidR="00BD2BE9" w:rsidRPr="00BD2BE9" w:rsidRDefault="00BD2BE9" w:rsidP="00BD2BE9">
      <w:pPr>
        <w:spacing w:after="0" w:line="360" w:lineRule="auto"/>
        <w:ind w:firstLine="1134"/>
        <w:jc w:val="both"/>
        <w:rPr>
          <w:rFonts w:ascii="Times New Roman" w:eastAsia="Calibri" w:hAnsi="Times New Roman" w:cs="Times New Roman"/>
          <w:noProof/>
          <w:sz w:val="24"/>
          <w:szCs w:val="24"/>
        </w:rPr>
      </w:pPr>
      <w:r w:rsidRPr="00BD2BE9">
        <w:rPr>
          <w:rFonts w:ascii="Times New Roman" w:eastAsia="Calibri" w:hAnsi="Times New Roman" w:cs="Times New Roman"/>
          <w:noProof/>
          <w:sz w:val="24"/>
          <w:szCs w:val="24"/>
        </w:rPr>
        <w:t>Fala-se em uma du</w:t>
      </w:r>
      <w:r w:rsidR="00760594">
        <w:rPr>
          <w:rFonts w:ascii="Times New Roman" w:eastAsia="Calibri" w:hAnsi="Times New Roman" w:cs="Times New Roman"/>
          <w:noProof/>
          <w:sz w:val="24"/>
          <w:szCs w:val="24"/>
        </w:rPr>
        <w:t>pla proteção aos direitos essenc</w:t>
      </w:r>
      <w:r w:rsidRPr="00BD2BE9">
        <w:rPr>
          <w:rFonts w:ascii="Times New Roman" w:eastAsia="Calibri" w:hAnsi="Times New Roman" w:cs="Times New Roman"/>
          <w:noProof/>
          <w:sz w:val="24"/>
          <w:szCs w:val="24"/>
        </w:rPr>
        <w:t xml:space="preserve">iais da pessoa humana tanto no ramo do Direito Civil como Constitucional, </w:t>
      </w:r>
      <w:r w:rsidR="005735FF">
        <w:rPr>
          <w:rFonts w:ascii="Times New Roman" w:eastAsia="Calibri" w:hAnsi="Times New Roman" w:cs="Times New Roman"/>
          <w:noProof/>
          <w:sz w:val="24"/>
          <w:szCs w:val="24"/>
        </w:rPr>
        <w:t>assim</w:t>
      </w:r>
      <w:r w:rsidRPr="00BD2BE9">
        <w:rPr>
          <w:rFonts w:ascii="Times New Roman" w:eastAsia="Calibri" w:hAnsi="Times New Roman" w:cs="Times New Roman"/>
          <w:noProof/>
          <w:sz w:val="24"/>
          <w:szCs w:val="24"/>
        </w:rPr>
        <w:t>:</w:t>
      </w:r>
    </w:p>
    <w:p w:rsidR="00BD2BE9" w:rsidRPr="005735FF" w:rsidRDefault="005735FF" w:rsidP="001A25B2">
      <w:pPr>
        <w:pStyle w:val="citdirlonga"/>
      </w:pPr>
      <w:r w:rsidRPr="005735FF">
        <w:t>Vivemos hoje o que Eroulths Cortiano Júnior chama de “quarta fundação do direito civil”. Na passagem de um direito civil excludente, para o paradigma da inclusão; percebe-se a tendência à construção de um espaço comum de tutela da pessoa humana, situado na convergência entre Código Civil e Constituição. De modo que o direito privado passa a partilhar com o direito público um projeto comum de proteção da pessoa humana. Entretanto, sendo os direitos essenciais à pessoa humana tutelados não somente pela codificação civil (mas também pela carta constitucional); indaga-se acerca da eficácia desta categori</w:t>
      </w:r>
      <w:r w:rsidR="001A25B2">
        <w:t xml:space="preserve">a de direitos na ordem privada, </w:t>
      </w:r>
      <w:r w:rsidRPr="005735FF">
        <w:t>enquanto</w:t>
      </w:r>
      <w:r w:rsidR="001A25B2">
        <w:t xml:space="preserve"> </w:t>
      </w:r>
      <w:r w:rsidRPr="005735FF">
        <w:t>compreendidos como direitos fundamentais.</w:t>
      </w:r>
      <w:r w:rsidRPr="005735FF">
        <w:rPr>
          <w:sz w:val="24"/>
          <w:szCs w:val="24"/>
        </w:rPr>
        <w:t xml:space="preserve"> </w:t>
      </w:r>
      <w:r w:rsidRPr="00BD2BE9">
        <w:rPr>
          <w:sz w:val="24"/>
          <w:szCs w:val="24"/>
        </w:rPr>
        <w:t>(</w:t>
      </w:r>
      <w:r w:rsidRPr="005735FF">
        <w:t>CORTIANO</w:t>
      </w:r>
      <w:r>
        <w:t>,</w:t>
      </w:r>
      <w:r w:rsidR="001A25B2">
        <w:t xml:space="preserve"> </w:t>
      </w:r>
      <w:r>
        <w:t>p.99,</w:t>
      </w:r>
      <w:r w:rsidR="001A25B2">
        <w:t xml:space="preserve"> </w:t>
      </w:r>
      <w:r>
        <w:t xml:space="preserve">2006 </w:t>
      </w:r>
      <w:r w:rsidRPr="005735FF">
        <w:t>apud COSTA FILHO, 2015,</w:t>
      </w:r>
      <w:r w:rsidR="001A25B2">
        <w:t xml:space="preserve"> </w:t>
      </w:r>
      <w:r w:rsidRPr="005735FF">
        <w:t>p. 2)</w:t>
      </w:r>
    </w:p>
    <w:p w:rsidR="00BD2BE9" w:rsidRDefault="00BD2BE9" w:rsidP="00BD2BE9">
      <w:pPr>
        <w:tabs>
          <w:tab w:val="left" w:pos="0"/>
        </w:tabs>
        <w:spacing w:after="0" w:line="360" w:lineRule="auto"/>
        <w:ind w:firstLine="1134"/>
        <w:jc w:val="both"/>
        <w:rPr>
          <w:rFonts w:ascii="Times New Roman" w:eastAsia="Calibri" w:hAnsi="Times New Roman" w:cs="Times New Roman"/>
          <w:sz w:val="24"/>
          <w:szCs w:val="24"/>
        </w:rPr>
      </w:pPr>
      <w:r w:rsidRPr="00BD2BE9">
        <w:rPr>
          <w:rFonts w:ascii="Times New Roman" w:eastAsia="Calibri" w:hAnsi="Times New Roman" w:cs="Times New Roman"/>
          <w:sz w:val="24"/>
          <w:szCs w:val="24"/>
        </w:rPr>
        <w:t xml:space="preserve">Trazendo assim um debate que envolve o direito na esfera pública e privada no que tange </w:t>
      </w:r>
      <w:r w:rsidR="001A25B2">
        <w:rPr>
          <w:rFonts w:ascii="Times New Roman" w:eastAsia="Calibri" w:hAnsi="Times New Roman" w:cs="Times New Roman"/>
          <w:sz w:val="24"/>
          <w:szCs w:val="24"/>
        </w:rPr>
        <w:t>a</w:t>
      </w:r>
      <w:r w:rsidRPr="00BD2BE9">
        <w:rPr>
          <w:rFonts w:ascii="Times New Roman" w:eastAsia="Calibri" w:hAnsi="Times New Roman" w:cs="Times New Roman"/>
          <w:sz w:val="24"/>
          <w:szCs w:val="24"/>
        </w:rPr>
        <w:t xml:space="preserve">os direitos relacionados </w:t>
      </w:r>
      <w:r w:rsidR="001A25B2">
        <w:rPr>
          <w:rFonts w:ascii="Times New Roman" w:eastAsia="Calibri" w:hAnsi="Times New Roman" w:cs="Times New Roman"/>
          <w:sz w:val="24"/>
          <w:szCs w:val="24"/>
        </w:rPr>
        <w:t>à</w:t>
      </w:r>
      <w:r w:rsidRPr="00BD2BE9">
        <w:rPr>
          <w:rFonts w:ascii="Times New Roman" w:eastAsia="Calibri" w:hAnsi="Times New Roman" w:cs="Times New Roman"/>
          <w:sz w:val="24"/>
          <w:szCs w:val="24"/>
        </w:rPr>
        <w:t xml:space="preserve"> pessoa humana, que devem ser barganhados em ambas as esferas para que se alcance máxima efetivação.</w:t>
      </w:r>
    </w:p>
    <w:p w:rsidR="00B210B0" w:rsidRDefault="005735FF" w:rsidP="00090517">
      <w:pPr>
        <w:pStyle w:val="texto"/>
        <w:rPr>
          <w:color w:val="000000"/>
        </w:rPr>
      </w:pPr>
      <w:r>
        <w:t>Braga (2009) afirma que a igualdade pregada pela CF de 1988, por não ser meramente formal, mas sim material, exige-se d</w:t>
      </w:r>
      <w:r w:rsidR="001A25B2">
        <w:t>o</w:t>
      </w:r>
      <w:r>
        <w:t xml:space="preserve"> Estado não</w:t>
      </w:r>
      <w:r w:rsidR="001A25B2" w:rsidRPr="001A25B2">
        <w:t xml:space="preserve"> </w:t>
      </w:r>
      <w:r w:rsidR="001A25B2">
        <w:t>somente</w:t>
      </w:r>
      <w:r>
        <w:t xml:space="preserve"> uma postura de abstenção para a garantia de liberdades individuais (advindas da perspectiva dos ideais liberais burgueses), mas também, uma postura ativa “</w:t>
      </w:r>
      <w:r w:rsidRPr="005735FF">
        <w:t>intervindo de forma positiva, inclusive, na ordem econômica, que tem como fim assegurar a todos a existência digna</w:t>
      </w:r>
      <w:r>
        <w:t>”</w:t>
      </w:r>
      <w:r w:rsidR="00B210B0">
        <w:t>(p39).</w:t>
      </w:r>
      <w:r w:rsidR="00B210B0">
        <w:rPr>
          <w:color w:val="000000"/>
        </w:rPr>
        <w:t>A autora afirma que o desenvolvimento do Brasil foi baseado no latifúndio e na monocultura e, por isso, a distribuição de riquezas e combate à desigualdade justificam a instituição da função social da propriedade</w:t>
      </w:r>
      <w:r w:rsidR="00090517">
        <w:rPr>
          <w:color w:val="000000"/>
        </w:rPr>
        <w:t>.</w:t>
      </w:r>
      <w:r w:rsidR="00090517" w:rsidRPr="00090517">
        <w:rPr>
          <w:color w:val="000000"/>
        </w:rPr>
        <w:t xml:space="preserve"> </w:t>
      </w:r>
      <w:r w:rsidR="00090517">
        <w:rPr>
          <w:color w:val="000000"/>
        </w:rPr>
        <w:t>“Assim, objetivando que a propriedade exerça de fato a sua função social, a própria Constituição traz meios para limitar o direito de propriedade, ou mesmo, para sancionar o proprietário que exerceu seu direito com a inobservância dos ditames da justiça social”(p.40).</w:t>
      </w:r>
    </w:p>
    <w:p w:rsidR="00090517" w:rsidRDefault="00090517" w:rsidP="00090517">
      <w:pPr>
        <w:pStyle w:val="texto"/>
        <w:rPr>
          <w:color w:val="000000"/>
        </w:rPr>
      </w:pPr>
      <w:r>
        <w:rPr>
          <w:color w:val="000000"/>
        </w:rPr>
        <w:t>Pode-se coadunar o pensamento acima com o que preconiza a Constituição Federal de 1988:</w:t>
      </w:r>
    </w:p>
    <w:p w:rsidR="005735FF" w:rsidRDefault="00090517" w:rsidP="00D46A44">
      <w:pPr>
        <w:pStyle w:val="citdirlonga"/>
      </w:pPr>
      <w:r>
        <w:t>Art. 3º Constituem objetivos fundamentais da República Federativa do Brasil: I - construir uma sociedade livre, justa e solidária; II - garantir o desenvolvimento nacional; III - erradicar a pobreza e a marginalização e reduzir as desigualdades sociais e regionais; IV - promover o bem de todos, sem preconceitos de origem, raça, sexo, cor, idade e quaisquer outras formas de discriminação.(BRASIL, 1988)</w:t>
      </w:r>
    </w:p>
    <w:p w:rsidR="00D46A44" w:rsidRPr="00BD2BE9" w:rsidRDefault="00D46A44" w:rsidP="00D46A44">
      <w:pPr>
        <w:pStyle w:val="citdirlonga"/>
      </w:pPr>
    </w:p>
    <w:p w:rsidR="00D46A44" w:rsidRPr="00D46A44" w:rsidRDefault="00D46A44" w:rsidP="00D46A44">
      <w:pPr>
        <w:pStyle w:val="texto"/>
      </w:pPr>
      <w:r>
        <w:lastRenderedPageBreak/>
        <w:t>Dessa forma pela leitura do texto constitucional e dos pensamentos explicitados nessa seção fica clara a finalidade essencial da função social da propriedade e, consequentemente, da posse para a efetivação da constitucionalização do direito civil no Brasil e consequente influência na busca pelo alcan</w:t>
      </w:r>
      <w:r w:rsidR="00760594">
        <w:t>c</w:t>
      </w:r>
      <w:r>
        <w:t xml:space="preserve">e dos </w:t>
      </w:r>
      <w:r w:rsidR="00090517" w:rsidRPr="00D46A44">
        <w:t>objetivos fundamentais da República Federativa do Brasil</w:t>
      </w:r>
      <w:r>
        <w:t>.</w:t>
      </w:r>
    </w:p>
    <w:p w:rsidR="00D46A44" w:rsidRDefault="00D46A44" w:rsidP="00D46A44">
      <w:pPr>
        <w:spacing w:after="0" w:line="360" w:lineRule="auto"/>
        <w:jc w:val="both"/>
        <w:rPr>
          <w:rFonts w:ascii="Times New Roman" w:eastAsia="Calibri" w:hAnsi="Times New Roman" w:cs="Times New Roman"/>
          <w:b/>
          <w:noProof/>
          <w:sz w:val="24"/>
          <w:szCs w:val="24"/>
        </w:rPr>
      </w:pPr>
    </w:p>
    <w:p w:rsidR="00BD2BE9" w:rsidRPr="00760594" w:rsidRDefault="00764CF2" w:rsidP="00760594">
      <w:pPr>
        <w:pStyle w:val="PargrafodaLista"/>
        <w:numPr>
          <w:ilvl w:val="0"/>
          <w:numId w:val="4"/>
        </w:numPr>
        <w:spacing w:after="0" w:line="360" w:lineRule="auto"/>
        <w:jc w:val="both"/>
        <w:rPr>
          <w:rFonts w:ascii="Times New Roman" w:eastAsia="Calibri" w:hAnsi="Times New Roman" w:cs="Times New Roman"/>
          <w:b/>
          <w:noProof/>
          <w:sz w:val="24"/>
          <w:szCs w:val="24"/>
        </w:rPr>
      </w:pPr>
      <w:r w:rsidRPr="00760594">
        <w:rPr>
          <w:rFonts w:ascii="Times New Roman" w:eastAsia="Calibri" w:hAnsi="Times New Roman" w:cs="Times New Roman"/>
          <w:b/>
          <w:noProof/>
          <w:sz w:val="24"/>
          <w:szCs w:val="24"/>
        </w:rPr>
        <w:t>A FUNÇÃO SOCIAL DA POSSE COMO MEIO PARA O ALCANCE DE DIREITOS FUNDAMENTAIS.</w:t>
      </w:r>
    </w:p>
    <w:p w:rsidR="009B7F80" w:rsidRPr="00D46A44" w:rsidRDefault="009B7F80" w:rsidP="009B7F80">
      <w:pPr>
        <w:pStyle w:val="PargrafodaLista"/>
        <w:spacing w:after="0" w:line="360" w:lineRule="auto"/>
        <w:ind w:left="360"/>
        <w:jc w:val="both"/>
        <w:rPr>
          <w:rFonts w:ascii="Times New Roman" w:eastAsia="Calibri" w:hAnsi="Times New Roman" w:cs="Times New Roman"/>
          <w:b/>
          <w:noProof/>
          <w:sz w:val="24"/>
          <w:szCs w:val="24"/>
        </w:rPr>
      </w:pPr>
    </w:p>
    <w:p w:rsidR="00BD2BE9" w:rsidRPr="00BD2BE9" w:rsidRDefault="00BD2BE9" w:rsidP="00D46A44">
      <w:pPr>
        <w:pStyle w:val="texto"/>
      </w:pPr>
      <w:r w:rsidRPr="00BD2BE9">
        <w:t>O problema central que envolve os direitos fundamentais</w:t>
      </w:r>
      <w:r w:rsidR="00EF0294">
        <w:t xml:space="preserve"> se</w:t>
      </w:r>
      <w:r w:rsidRPr="00BD2BE9">
        <w:t xml:space="preserve"> encontra em sua proteção, da</w:t>
      </w:r>
      <w:r w:rsidR="00EF0294">
        <w:t>í</w:t>
      </w:r>
      <w:r w:rsidR="00E468A1">
        <w:t xml:space="preserve"> a importâ</w:t>
      </w:r>
      <w:r w:rsidRPr="00BD2BE9">
        <w:t xml:space="preserve">ncia da </w:t>
      </w:r>
      <w:r w:rsidR="00E468A1">
        <w:t>constitucionalização do direito</w:t>
      </w:r>
      <w:r w:rsidRPr="00BD2BE9">
        <w:t xml:space="preserve"> civil e </w:t>
      </w:r>
      <w:r w:rsidR="00E468A1">
        <w:t>o</w:t>
      </w:r>
      <w:r w:rsidRPr="00BD2BE9">
        <w:t xml:space="preserve"> ampl</w:t>
      </w:r>
      <w:r w:rsidR="00E468A1">
        <w:t>o</w:t>
      </w:r>
      <w:r w:rsidRPr="00BD2BE9">
        <w:t xml:space="preserve"> ampar</w:t>
      </w:r>
      <w:r w:rsidR="00E468A1">
        <w:t>o</w:t>
      </w:r>
      <w:r w:rsidRPr="00BD2BE9">
        <w:t xml:space="preserve"> aos direitos essenciais à pessoa humana, tanto no ramo público como privado.</w:t>
      </w:r>
    </w:p>
    <w:p w:rsidR="00BD2BE9" w:rsidRPr="00BD2BE9" w:rsidRDefault="00BD2BE9" w:rsidP="00BD2BE9">
      <w:pPr>
        <w:spacing w:after="0" w:line="240" w:lineRule="auto"/>
        <w:ind w:left="2268"/>
        <w:jc w:val="both"/>
        <w:rPr>
          <w:rFonts w:ascii="Times New Roman" w:eastAsia="Calibri" w:hAnsi="Times New Roman" w:cs="Times New Roman"/>
          <w:sz w:val="20"/>
          <w:szCs w:val="20"/>
        </w:rPr>
      </w:pPr>
      <w:r w:rsidRPr="00BD2BE9">
        <w:rPr>
          <w:rFonts w:ascii="Times New Roman" w:eastAsia="Calibri" w:hAnsi="Times New Roman" w:cs="Times New Roman"/>
          <w:sz w:val="20"/>
          <w:szCs w:val="20"/>
        </w:rPr>
        <w:t>Nem sempre a terra teve o valor que tem atualmente. Entretanto, com o passar do tempo, houve consolidação nos ordenamentos jurídicos dos mais diversos países a garantia dada à acumulação de bens tão característica do capitalismo ocidental, assegurando o direito à propriedade (art. 5º, XXII), mas acrescenta que ela ‘</w:t>
      </w:r>
      <w:r w:rsidRPr="00BD2BE9">
        <w:rPr>
          <w:rFonts w:ascii="Times New Roman" w:eastAsia="Calibri" w:hAnsi="Times New Roman" w:cs="Times New Roman"/>
          <w:i/>
          <w:iCs/>
          <w:sz w:val="20"/>
          <w:szCs w:val="20"/>
        </w:rPr>
        <w:t xml:space="preserve">atenderá sua função social’ </w:t>
      </w:r>
      <w:r w:rsidRPr="00BD2BE9">
        <w:rPr>
          <w:rFonts w:ascii="Times New Roman" w:eastAsia="Calibri" w:hAnsi="Times New Roman" w:cs="Times New Roman"/>
          <w:sz w:val="20"/>
          <w:szCs w:val="20"/>
        </w:rPr>
        <w:t>(art. 5º, XXIII) ” (VENOSA apud GONÇALVES, S. L., 2012, p.181)</w:t>
      </w:r>
    </w:p>
    <w:p w:rsidR="00BD2BE9" w:rsidRPr="00BD2BE9" w:rsidRDefault="00BD2BE9" w:rsidP="00BD2BE9">
      <w:pPr>
        <w:spacing w:after="0" w:line="360" w:lineRule="auto"/>
        <w:jc w:val="both"/>
        <w:rPr>
          <w:rFonts w:ascii="Times New Roman" w:eastAsia="Calibri" w:hAnsi="Times New Roman" w:cs="Times New Roman"/>
          <w:sz w:val="24"/>
          <w:szCs w:val="24"/>
        </w:rPr>
      </w:pPr>
    </w:p>
    <w:p w:rsidR="00BD2BE9" w:rsidRPr="00BD2BE9" w:rsidRDefault="00BD2BE9" w:rsidP="00BD2BE9">
      <w:pPr>
        <w:spacing w:after="0" w:line="360" w:lineRule="auto"/>
        <w:ind w:firstLine="1134"/>
        <w:jc w:val="both"/>
        <w:rPr>
          <w:rFonts w:ascii="Times New Roman" w:eastAsia="Calibri" w:hAnsi="Times New Roman" w:cs="Times New Roman"/>
          <w:sz w:val="24"/>
          <w:szCs w:val="24"/>
        </w:rPr>
      </w:pPr>
      <w:r w:rsidRPr="00BD2BE9">
        <w:rPr>
          <w:rFonts w:ascii="Times New Roman" w:eastAsia="Calibri" w:hAnsi="Times New Roman" w:cs="Times New Roman"/>
          <w:sz w:val="24"/>
          <w:szCs w:val="24"/>
        </w:rPr>
        <w:t xml:space="preserve">O surgimento da função social da propriedade </w:t>
      </w:r>
      <w:r w:rsidR="00B87227" w:rsidRPr="00BD2BE9">
        <w:rPr>
          <w:rFonts w:ascii="Times New Roman" w:eastAsia="Calibri" w:hAnsi="Times New Roman" w:cs="Times New Roman"/>
          <w:sz w:val="24"/>
          <w:szCs w:val="24"/>
        </w:rPr>
        <w:t>está</w:t>
      </w:r>
      <w:r w:rsidRPr="00BD2BE9">
        <w:rPr>
          <w:rFonts w:ascii="Times New Roman" w:eastAsia="Calibri" w:hAnsi="Times New Roman" w:cs="Times New Roman"/>
          <w:sz w:val="24"/>
          <w:szCs w:val="24"/>
        </w:rPr>
        <w:t xml:space="preserve"> </w:t>
      </w:r>
      <w:r w:rsidR="00EF0294" w:rsidRPr="00BD2BE9">
        <w:rPr>
          <w:rFonts w:ascii="Times New Roman" w:eastAsia="Calibri" w:hAnsi="Times New Roman" w:cs="Times New Roman"/>
          <w:sz w:val="24"/>
          <w:szCs w:val="24"/>
        </w:rPr>
        <w:t>ligado</w:t>
      </w:r>
      <w:r w:rsidRPr="00BD2BE9">
        <w:rPr>
          <w:rFonts w:ascii="Times New Roman" w:eastAsia="Calibri" w:hAnsi="Times New Roman" w:cs="Times New Roman"/>
          <w:sz w:val="24"/>
          <w:szCs w:val="24"/>
        </w:rPr>
        <w:t xml:space="preserve"> a proteção humana, assim, quando ela não atende a esse quesito deixa de ser protegida como um direito fundamental. De acordo com DIDIER JR (2015, p.6):</w:t>
      </w:r>
    </w:p>
    <w:p w:rsidR="00BD2BE9" w:rsidRPr="00BD2BE9" w:rsidRDefault="00BD2BE9" w:rsidP="00BD2BE9">
      <w:pPr>
        <w:autoSpaceDE w:val="0"/>
        <w:autoSpaceDN w:val="0"/>
        <w:adjustRightInd w:val="0"/>
        <w:spacing w:after="0" w:line="240" w:lineRule="auto"/>
        <w:ind w:left="2268"/>
        <w:jc w:val="both"/>
        <w:rPr>
          <w:rFonts w:ascii="Times New Roman" w:eastAsia="Calibri" w:hAnsi="Times New Roman" w:cs="Times New Roman"/>
          <w:sz w:val="20"/>
          <w:szCs w:val="20"/>
        </w:rPr>
      </w:pPr>
      <w:r w:rsidRPr="00BD2BE9">
        <w:rPr>
          <w:rFonts w:ascii="Times New Roman" w:eastAsia="Calibri" w:hAnsi="Times New Roman" w:cs="Times New Roman"/>
          <w:sz w:val="20"/>
          <w:szCs w:val="20"/>
        </w:rPr>
        <w:t xml:space="preserve">Se a propriedade não se apresenta, concretamente, como uma garantia da liberdade humana, servindo como instrumento de exercício de poder sobre outrem, seria rematado absurdo que se lhe reconhecesse o estatuto de direito humano; </w:t>
      </w:r>
      <w:proofErr w:type="gramStart"/>
      <w:r w:rsidRPr="00BD2BE9">
        <w:rPr>
          <w:rFonts w:ascii="Times New Roman" w:eastAsia="Calibri" w:hAnsi="Times New Roman" w:cs="Times New Roman"/>
          <w:sz w:val="20"/>
          <w:szCs w:val="20"/>
        </w:rPr>
        <w:t>é</w:t>
      </w:r>
      <w:proofErr w:type="gramEnd"/>
      <w:r w:rsidRPr="00BD2BE9">
        <w:rPr>
          <w:rFonts w:ascii="Times New Roman" w:eastAsia="Calibri" w:hAnsi="Times New Roman" w:cs="Times New Roman"/>
          <w:sz w:val="20"/>
          <w:szCs w:val="20"/>
        </w:rPr>
        <w:t xml:space="preserve"> preciso, enfim, reconhecer a propriedade dever, o lado passivo de direitos humanos alheios.</w:t>
      </w:r>
    </w:p>
    <w:p w:rsidR="00C97905" w:rsidRDefault="00C97905" w:rsidP="00BD2BE9">
      <w:pPr>
        <w:autoSpaceDE w:val="0"/>
        <w:autoSpaceDN w:val="0"/>
        <w:adjustRightInd w:val="0"/>
        <w:spacing w:after="0" w:line="240" w:lineRule="auto"/>
        <w:ind w:left="2268"/>
        <w:jc w:val="both"/>
        <w:rPr>
          <w:rFonts w:ascii="Times New Roman" w:eastAsia="Calibri" w:hAnsi="Times New Roman" w:cs="Times New Roman"/>
          <w:sz w:val="20"/>
          <w:szCs w:val="20"/>
        </w:rPr>
      </w:pPr>
    </w:p>
    <w:p w:rsidR="0075153F" w:rsidRPr="00BD2BE9" w:rsidRDefault="00C97905" w:rsidP="0075153F">
      <w:pPr>
        <w:pStyle w:val="texto"/>
      </w:pPr>
      <w:r>
        <w:t>Moraes Filho (2015) observa que a doutrina não é pacífica em atribuir uma função social à posse e muitos doutrinadores afirmam não ser possível tal atribuição pois a CF não estabele</w:t>
      </w:r>
      <w:r w:rsidR="00E468A1">
        <w:t>ce</w:t>
      </w:r>
      <w:r>
        <w:t>u dessa forma.Outro argumento defendido por e</w:t>
      </w:r>
      <w:r w:rsidR="00E468A1">
        <w:t>s</w:t>
      </w:r>
      <w:r>
        <w:t>sa corrente é que posse por constituir um “nítido caráter fático, não poderia ser cobrada uma funcionalização, quando a relação entre possuidor e bem não se consubstanciava em uma relação</w:t>
      </w:r>
      <w:r w:rsidR="00760594">
        <w:t xml:space="preserve"> </w:t>
      </w:r>
      <w:r>
        <w:t>jurídica”(p.17)</w:t>
      </w:r>
      <w:r w:rsidR="0075153F">
        <w:t>.</w:t>
      </w:r>
      <w:r w:rsidR="009412D8">
        <w:t xml:space="preserve"> </w:t>
      </w:r>
      <w:r w:rsidR="0075153F">
        <w:t>Mor</w:t>
      </w:r>
      <w:r w:rsidR="00760594">
        <w:t>ae</w:t>
      </w:r>
      <w:r w:rsidR="0075153F">
        <w:t>s Filho (2015) discordando do posiciona</w:t>
      </w:r>
      <w:r w:rsidR="00760594">
        <w:t>m</w:t>
      </w:r>
      <w:r w:rsidR="0075153F">
        <w:t>ento anterior afirma que: “[...] a posse, assim como a propriedade, é instrumentos de produção e circulação de riqueza. A posse é um instituto que tem papéis a cumprir na sociedade [...]”(p.18).</w:t>
      </w:r>
    </w:p>
    <w:p w:rsidR="00BD2BE9" w:rsidRPr="00BD2BE9" w:rsidRDefault="00BD2BE9" w:rsidP="00E06004">
      <w:pPr>
        <w:pStyle w:val="texto"/>
      </w:pPr>
      <w:r w:rsidRPr="00BD2BE9">
        <w:t>Atualmente o entendimento de função social da propriedade trazido pela CF de 1988, para muitos doutrinadores, se e</w:t>
      </w:r>
      <w:r w:rsidR="00760594">
        <w:t>s</w:t>
      </w:r>
      <w:r w:rsidRPr="00BD2BE9">
        <w:t xml:space="preserve">tende à posse. BRANCO e MENDES (2012) entendem </w:t>
      </w:r>
      <w:r w:rsidRPr="00BD2BE9">
        <w:lastRenderedPageBreak/>
        <w:t>que essa interpretação deve se estender para além da propriedade e englobar vários aspectos patrimoniais e dentre eles depreende-se a posse.</w:t>
      </w:r>
    </w:p>
    <w:p w:rsidR="00BD2BE9" w:rsidRPr="00BD2BE9" w:rsidRDefault="00BD2BE9" w:rsidP="00BD2BE9">
      <w:pPr>
        <w:spacing w:after="200" w:line="360" w:lineRule="auto"/>
        <w:ind w:firstLine="1134"/>
        <w:jc w:val="both"/>
        <w:rPr>
          <w:rFonts w:ascii="Times New Roman" w:eastAsia="Calibri" w:hAnsi="Times New Roman" w:cs="Times New Roman"/>
          <w:sz w:val="24"/>
          <w:szCs w:val="24"/>
        </w:rPr>
      </w:pPr>
      <w:r w:rsidRPr="00BD2BE9">
        <w:rPr>
          <w:rFonts w:ascii="Times New Roman" w:eastAsia="Calibri" w:hAnsi="Times New Roman" w:cs="Times New Roman"/>
          <w:sz w:val="24"/>
          <w:szCs w:val="24"/>
        </w:rPr>
        <w:t>Dessa forma pode-se observar que:</w:t>
      </w:r>
    </w:p>
    <w:p w:rsidR="00BD2BE9" w:rsidRDefault="00BD2BE9" w:rsidP="00E06004">
      <w:pPr>
        <w:pStyle w:val="citdirlonga"/>
      </w:pPr>
      <w:r w:rsidRPr="00BD2BE9">
        <w:t>[...] Confirmou-se que existe a influência de princípios de direitos fundamentais na matéria em pauta, assim como princípios constitucionais pátrios, constantes de nossa Carta Magna de 1988. Enquanto que a função social da posse de propriedade urbana visa a moradia, princípio da igualdade, da dignidade humana, a propriedade rural dignifica o homem a partir do direito ao trabalho, recuperação de valores sociais como cidadania e justiça. (GONÇALVES, S. L., 2012, p.185)</w:t>
      </w:r>
    </w:p>
    <w:p w:rsidR="00CA55C9" w:rsidRDefault="0010447A" w:rsidP="0010447A">
      <w:pPr>
        <w:pStyle w:val="texto"/>
      </w:pPr>
      <w:r>
        <w:t>A posse, então</w:t>
      </w:r>
      <w:r w:rsidR="00CA55C9">
        <w:t>,</w:t>
      </w:r>
      <w:r>
        <w:t xml:space="preserve"> cumpre um importante papel social para o alcance de direitos fundamentais</w:t>
      </w:r>
      <w:r w:rsidR="00CA55C9">
        <w:t xml:space="preserve"> em especial os direitos à moradia e ao trabalho.</w:t>
      </w:r>
      <w:r w:rsidR="009412D8">
        <w:t xml:space="preserve"> </w:t>
      </w:r>
      <w:r w:rsidR="00CA55C9">
        <w:t>Podemos observar esse pensamento, também:</w:t>
      </w:r>
    </w:p>
    <w:p w:rsidR="0010447A" w:rsidRDefault="00CA55C9" w:rsidP="009412D8">
      <w:pPr>
        <w:pStyle w:val="citdirlonga"/>
      </w:pPr>
      <w:r>
        <w:t xml:space="preserve"> A função social da posse como princípio constitucional positivado, além de atender à unidade e completude do ordenamento jurídico, é exigência da funcionalização das situações patrimoniais, especificamente para atender as exigências de moradia, de aproveitamento do solo, bem como aos programas de erradicação da pobreza, elevando o </w:t>
      </w:r>
      <w:r w:rsidR="0010447A">
        <w:t xml:space="preserve"> </w:t>
      </w:r>
      <w:r>
        <w:t>conceito da dignidade da pessoa humana a um plano substancial e não meramente formal. É forma ainda de melhor se efetivar os preceitos infraconstitucionais relativos ao tema possessório, já que a funcionalidade pelo uso e aproveitamento da coisa juridiciza a posse como direito autônomo e independente da propriedade, retirando-a daquele estado de simples defesa contra o esbulho, para se impor perante todos. (ALBUQUERQUE, 2002, p. 40 apud</w:t>
      </w:r>
      <w:r w:rsidR="00CC555E" w:rsidRPr="00CC555E">
        <w:t xml:space="preserve"> </w:t>
      </w:r>
      <w:r w:rsidR="00CC555E" w:rsidRPr="00BD2BE9">
        <w:t>GONÇALVES, S. L., 2012, p.18</w:t>
      </w:r>
      <w:r w:rsidR="00CC555E">
        <w:t>3-184</w:t>
      </w:r>
      <w:r>
        <w:t>)</w:t>
      </w:r>
    </w:p>
    <w:p w:rsidR="009B7F80" w:rsidRDefault="009B7F80" w:rsidP="009B7F80">
      <w:pPr>
        <w:pStyle w:val="texto"/>
      </w:pPr>
      <w:r>
        <w:t>Reforçando o entendimento defendido nessa seção tem-se a observação de Moraes Filho (2015):</w:t>
      </w:r>
    </w:p>
    <w:p w:rsidR="009B7F80" w:rsidRDefault="009B7F80" w:rsidP="009B7F80">
      <w:pPr>
        <w:pStyle w:val="citdirlonga"/>
      </w:pPr>
      <w:r>
        <w:t>Admitir a função social da posse é admitir direito subjetivo ao não-proprietário de, através da terra, obter uma vida digna, assegurando um patrimônio mínimo, ou seja, uma existência autônoma. Ao contrário, negar a função social da posse, é continuar acreditando que apenas os proprietários têm direito subjetivo sobre a terra,e, de certa forma, respaldar as doutrinas tradicionais clássicas que entendem, na função social, apenas seu caráter negativo (p.19)</w:t>
      </w:r>
    </w:p>
    <w:p w:rsidR="005801DD" w:rsidRPr="00BD2BE9" w:rsidRDefault="005801DD" w:rsidP="009B7F80">
      <w:pPr>
        <w:pStyle w:val="citdirlonga"/>
      </w:pPr>
    </w:p>
    <w:p w:rsidR="00132FA4" w:rsidRPr="009412D8" w:rsidRDefault="00D46A44" w:rsidP="009412D8">
      <w:pPr>
        <w:pStyle w:val="PargrafodaLista"/>
        <w:numPr>
          <w:ilvl w:val="1"/>
          <w:numId w:val="5"/>
        </w:numPr>
        <w:spacing w:after="200" w:line="360" w:lineRule="auto"/>
        <w:jc w:val="both"/>
        <w:rPr>
          <w:rFonts w:ascii="Times New Roman" w:eastAsia="Calibri" w:hAnsi="Times New Roman" w:cs="Times New Roman"/>
          <w:b/>
          <w:sz w:val="24"/>
          <w:szCs w:val="24"/>
        </w:rPr>
      </w:pPr>
      <w:r w:rsidRPr="009412D8">
        <w:rPr>
          <w:rFonts w:ascii="Times New Roman" w:eastAsia="Calibri" w:hAnsi="Times New Roman" w:cs="Times New Roman"/>
          <w:b/>
          <w:sz w:val="24"/>
          <w:szCs w:val="24"/>
        </w:rPr>
        <w:t>O</w:t>
      </w:r>
      <w:r w:rsidR="00590849" w:rsidRPr="009412D8">
        <w:rPr>
          <w:rFonts w:ascii="Times New Roman" w:eastAsia="Calibri" w:hAnsi="Times New Roman" w:cs="Times New Roman"/>
          <w:b/>
          <w:sz w:val="24"/>
          <w:szCs w:val="24"/>
        </w:rPr>
        <w:t>s</w:t>
      </w:r>
      <w:r w:rsidRPr="009412D8">
        <w:rPr>
          <w:rFonts w:ascii="Times New Roman" w:eastAsia="Calibri" w:hAnsi="Times New Roman" w:cs="Times New Roman"/>
          <w:b/>
          <w:sz w:val="24"/>
          <w:szCs w:val="24"/>
        </w:rPr>
        <w:t xml:space="preserve"> Direito</w:t>
      </w:r>
      <w:r w:rsidR="00590849" w:rsidRPr="009412D8">
        <w:rPr>
          <w:rFonts w:ascii="Times New Roman" w:eastAsia="Calibri" w:hAnsi="Times New Roman" w:cs="Times New Roman"/>
          <w:b/>
          <w:sz w:val="24"/>
          <w:szCs w:val="24"/>
        </w:rPr>
        <w:t>s</w:t>
      </w:r>
      <w:r w:rsidRPr="009412D8">
        <w:rPr>
          <w:rFonts w:ascii="Times New Roman" w:eastAsia="Calibri" w:hAnsi="Times New Roman" w:cs="Times New Roman"/>
          <w:b/>
          <w:sz w:val="24"/>
          <w:szCs w:val="24"/>
        </w:rPr>
        <w:t xml:space="preserve"> </w:t>
      </w:r>
      <w:r w:rsidR="00590849" w:rsidRPr="009412D8">
        <w:rPr>
          <w:rFonts w:ascii="Times New Roman" w:eastAsia="Calibri" w:hAnsi="Times New Roman" w:cs="Times New Roman"/>
          <w:b/>
          <w:sz w:val="24"/>
          <w:szCs w:val="24"/>
        </w:rPr>
        <w:t>Sociais</w:t>
      </w:r>
      <w:r w:rsidRPr="009412D8">
        <w:rPr>
          <w:rFonts w:ascii="Times New Roman" w:eastAsia="Calibri" w:hAnsi="Times New Roman" w:cs="Times New Roman"/>
          <w:b/>
          <w:sz w:val="24"/>
          <w:szCs w:val="24"/>
        </w:rPr>
        <w:t xml:space="preserve"> à Moradia e ao Trabalho na perspectiva </w:t>
      </w:r>
      <w:r w:rsidR="0010447A" w:rsidRPr="009412D8">
        <w:rPr>
          <w:rFonts w:ascii="Times New Roman" w:eastAsia="Calibri" w:hAnsi="Times New Roman" w:cs="Times New Roman"/>
          <w:b/>
          <w:sz w:val="24"/>
          <w:szCs w:val="24"/>
        </w:rPr>
        <w:t xml:space="preserve">dos direitos </w:t>
      </w:r>
      <w:r w:rsidR="00590849" w:rsidRPr="009412D8">
        <w:rPr>
          <w:rFonts w:ascii="Times New Roman" w:eastAsia="Calibri" w:hAnsi="Times New Roman" w:cs="Times New Roman"/>
          <w:b/>
          <w:sz w:val="24"/>
          <w:szCs w:val="24"/>
        </w:rPr>
        <w:t>Fundamentais</w:t>
      </w:r>
    </w:p>
    <w:p w:rsidR="00CC555E" w:rsidRDefault="00BB3A7C" w:rsidP="00CC555E">
      <w:pPr>
        <w:pStyle w:val="texto"/>
      </w:pPr>
      <w:r w:rsidRPr="00BB3A7C">
        <w:t>A Constituição Federal brasileira de 1988 é celebrada por muitos como a constituição cidadã, pois “adotou o mais amplo catálogo de direitos sociais da história do nosso constitucionalismo, incluindo os direitos trabalhistas em capítulo próprio, o dos “Direitos Sociais”</w:t>
      </w:r>
      <w:r w:rsidR="00CE76BC">
        <w:t xml:space="preserve"> </w:t>
      </w:r>
      <w:r w:rsidRPr="00BB3A7C">
        <w:t xml:space="preserve">(BRANCO </w:t>
      </w:r>
      <w:r w:rsidR="00CE76BC">
        <w:t>;</w:t>
      </w:r>
      <w:r w:rsidRPr="00BB3A7C">
        <w:t xml:space="preserve"> MENDES, 2012, p.760).</w:t>
      </w:r>
    </w:p>
    <w:p w:rsidR="00F55D69" w:rsidRDefault="00BB3A7C" w:rsidP="00F55D69">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Os direitos Sociais para </w:t>
      </w:r>
      <w:proofErr w:type="spellStart"/>
      <w:r>
        <w:rPr>
          <w:rFonts w:ascii="Times New Roman" w:hAnsi="Times New Roman" w:cs="Times New Roman"/>
          <w:sz w:val="24"/>
          <w:szCs w:val="24"/>
        </w:rPr>
        <w:t>Sarlet</w:t>
      </w:r>
      <w:proofErr w:type="spellEnd"/>
      <w:r>
        <w:rPr>
          <w:rFonts w:ascii="Times New Roman" w:hAnsi="Times New Roman" w:cs="Times New Roman"/>
          <w:sz w:val="24"/>
          <w:szCs w:val="24"/>
        </w:rPr>
        <w:t xml:space="preserve"> (2010) são direitos fundamentais de segunda </w:t>
      </w:r>
      <w:r>
        <w:rPr>
          <w:rFonts w:ascii="Times New Roman" w:hAnsi="Times New Roman" w:cs="Times New Roman"/>
          <w:sz w:val="24"/>
          <w:szCs w:val="24"/>
        </w:rPr>
        <w:lastRenderedPageBreak/>
        <w:t>dimensão, isso implica dizer que são direitos frutos de um Estado que deve agir em busca da justiça social através de prestações positivas que diferentemente dos direitos de primeira dimensão não buscam apenas uma consagração formal de direitos, mas sim que busquem também “</w:t>
      </w:r>
      <w:r w:rsidRPr="000B167C">
        <w:rPr>
          <w:rFonts w:ascii="Times New Roman" w:hAnsi="Times New Roman" w:cs="Times New Roman"/>
          <w:sz w:val="24"/>
          <w:szCs w:val="24"/>
        </w:rPr>
        <w:t>por outorgarem ao indivíduo direitos a prestações sociais estatais,</w:t>
      </w:r>
      <w:r w:rsidRPr="000B167C">
        <w:rPr>
          <w:rFonts w:ascii="Times New Roman" w:hAnsi="Times New Roman" w:cs="Times New Roman"/>
          <w:sz w:val="24"/>
          <w:szCs w:val="24"/>
        </w:rPr>
        <w:br/>
        <w:t>como assistência social, saúde, educação, trabalho, etc., revelando uma transição das</w:t>
      </w:r>
      <w:r w:rsidRPr="000B167C">
        <w:rPr>
          <w:rFonts w:ascii="Times New Roman" w:hAnsi="Times New Roman" w:cs="Times New Roman"/>
          <w:sz w:val="24"/>
          <w:szCs w:val="24"/>
        </w:rPr>
        <w:br/>
        <w:t>liberdades formais abstratas para as liberdades materiais concretas</w:t>
      </w:r>
      <w:r>
        <w:rPr>
          <w:rFonts w:ascii="Times New Roman" w:hAnsi="Times New Roman" w:cs="Times New Roman"/>
          <w:sz w:val="24"/>
          <w:szCs w:val="24"/>
        </w:rPr>
        <w:t>” (p. 47).</w:t>
      </w:r>
    </w:p>
    <w:p w:rsidR="00F55D69" w:rsidRDefault="00F55D69" w:rsidP="00F55D69">
      <w:pPr>
        <w:widowControl w:val="0"/>
        <w:autoSpaceDE w:val="0"/>
        <w:autoSpaceDN w:val="0"/>
        <w:adjustRightInd w:val="0"/>
        <w:spacing w:after="320" w:line="360" w:lineRule="auto"/>
        <w:ind w:firstLine="1134"/>
        <w:jc w:val="both"/>
        <w:rPr>
          <w:rFonts w:ascii="Times New Roman" w:hAnsi="Times New Roman" w:cs="Times New Roman"/>
          <w:sz w:val="24"/>
          <w:szCs w:val="24"/>
        </w:rPr>
      </w:pPr>
      <w:proofErr w:type="spellStart"/>
      <w:r w:rsidRPr="00F55D69">
        <w:rPr>
          <w:rFonts w:ascii="Times New Roman" w:eastAsia="Calibri" w:hAnsi="Times New Roman" w:cs="Times New Roman"/>
          <w:sz w:val="24"/>
          <w:szCs w:val="24"/>
        </w:rPr>
        <w:t>Sarlet</w:t>
      </w:r>
      <w:proofErr w:type="spellEnd"/>
      <w:r w:rsidRPr="00F55D69">
        <w:rPr>
          <w:rFonts w:ascii="Times New Roman" w:eastAsia="Calibri" w:hAnsi="Times New Roman" w:cs="Times New Roman"/>
          <w:sz w:val="24"/>
          <w:szCs w:val="24"/>
        </w:rPr>
        <w:t xml:space="preserve"> (2008) que observa que os direitos Sociais no Brasil tem aplicabilidade imediata por serem direitos fundamentais, isso implica dizer que existe uma exigibilidade, inclusive judicial, decorrente diretamente do texto constitucional que obriga o Estado a prestar esses direitos à população dessa forma garante-se maior efetividade e busca-se “</w:t>
      </w:r>
      <w:r w:rsidRPr="00F55D69">
        <w:rPr>
          <w:rFonts w:ascii="Times New Roman" w:eastAsia="Calibri" w:hAnsi="Times New Roman" w:cs="Times New Roman"/>
          <w:color w:val="000000"/>
          <w:sz w:val="24"/>
          <w:szCs w:val="24"/>
        </w:rPr>
        <w:t>tutela contra intervenções ilegítimas por parte dos poderes públicos e dos particulares”(p.36) na busca de um mínimo existencial que garanta a vida digna.</w:t>
      </w:r>
    </w:p>
    <w:p w:rsidR="00590849" w:rsidRDefault="00590849" w:rsidP="00BB3A7C">
      <w:pPr>
        <w:widowControl w:val="0"/>
        <w:autoSpaceDE w:val="0"/>
        <w:autoSpaceDN w:val="0"/>
        <w:adjustRightInd w:val="0"/>
        <w:spacing w:after="320" w:line="360" w:lineRule="auto"/>
        <w:ind w:firstLine="1134"/>
        <w:jc w:val="both"/>
        <w:rPr>
          <w:rFonts w:ascii="Times New Roman" w:eastAsia="Times New Roman" w:hAnsi="Times New Roman" w:cs="Times New Roman"/>
          <w:sz w:val="24"/>
          <w:szCs w:val="24"/>
          <w:lang w:eastAsia="pt-BR"/>
        </w:rPr>
      </w:pPr>
      <w:r>
        <w:rPr>
          <w:rFonts w:ascii="Times New Roman" w:hAnsi="Times New Roman" w:cs="Times New Roman"/>
          <w:sz w:val="24"/>
          <w:szCs w:val="24"/>
        </w:rPr>
        <w:t>O direito fundamental à moradia está disposto 23, IX da constituição de 1988 onde é fixada a competência comum dos entes da Federação para que promovam políticas de efetivação através da construção de moradias e também de saneamento básico dando a todos o direito a possuir uma residência não significando, porém, direito à casa própria, mas sim direito de ter um local que proporcione higiene, privacidade e conforto respeitando a dignidade humana (</w:t>
      </w:r>
      <w:r w:rsidRPr="00590849">
        <w:rPr>
          <w:rFonts w:ascii="Times New Roman" w:eastAsia="Times New Roman" w:hAnsi="Times New Roman" w:cs="Times New Roman"/>
          <w:sz w:val="24"/>
          <w:szCs w:val="24"/>
          <w:lang w:eastAsia="pt-BR"/>
        </w:rPr>
        <w:t>FERNANDES</w:t>
      </w:r>
      <w:r>
        <w:rPr>
          <w:rFonts w:ascii="Times New Roman" w:eastAsia="Times New Roman" w:hAnsi="Times New Roman" w:cs="Times New Roman"/>
          <w:sz w:val="24"/>
          <w:szCs w:val="24"/>
          <w:lang w:eastAsia="pt-BR"/>
        </w:rPr>
        <w:t>, 2014)</w:t>
      </w:r>
    </w:p>
    <w:p w:rsidR="00883ABD" w:rsidRDefault="00883ABD" w:rsidP="00CE76BC">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Para</w:t>
      </w:r>
      <w:r w:rsidR="00E87D8C">
        <w:rPr>
          <w:rFonts w:ascii="Times New Roman" w:hAnsi="Times New Roman" w:cs="Times New Roman"/>
          <w:sz w:val="24"/>
          <w:szCs w:val="24"/>
        </w:rPr>
        <w:t xml:space="preserve"> Branco e Mendes</w:t>
      </w:r>
      <w:r>
        <w:rPr>
          <w:rFonts w:ascii="Times New Roman" w:hAnsi="Times New Roman" w:cs="Times New Roman"/>
          <w:sz w:val="24"/>
          <w:szCs w:val="24"/>
        </w:rPr>
        <w:t xml:space="preserve"> </w:t>
      </w:r>
      <w:r w:rsidR="00E87D8C">
        <w:rPr>
          <w:rFonts w:ascii="Times New Roman" w:hAnsi="Times New Roman" w:cs="Times New Roman"/>
          <w:sz w:val="24"/>
          <w:szCs w:val="24"/>
        </w:rPr>
        <w:t xml:space="preserve">(2012) </w:t>
      </w:r>
      <w:r w:rsidR="00CE76BC">
        <w:rPr>
          <w:rFonts w:ascii="Times New Roman" w:hAnsi="Times New Roman" w:cs="Times New Roman"/>
          <w:sz w:val="24"/>
          <w:szCs w:val="24"/>
        </w:rPr>
        <w:t>n</w:t>
      </w:r>
      <w:r>
        <w:rPr>
          <w:rFonts w:ascii="Times New Roman" w:hAnsi="Times New Roman" w:cs="Times New Roman"/>
          <w:sz w:val="24"/>
          <w:szCs w:val="24"/>
        </w:rPr>
        <w:t xml:space="preserve">a CF a moradia é um direito social </w:t>
      </w:r>
      <w:r w:rsidR="00CE76BC">
        <w:rPr>
          <w:rFonts w:ascii="Times New Roman" w:hAnsi="Times New Roman" w:cs="Times New Roman"/>
          <w:sz w:val="24"/>
          <w:szCs w:val="24"/>
        </w:rPr>
        <w:t xml:space="preserve">contida no artigo 6º e “ </w:t>
      </w:r>
      <w:r w:rsidR="00E87D8C" w:rsidRPr="00883ABD">
        <w:rPr>
          <w:rFonts w:ascii="Times New Roman" w:hAnsi="Times New Roman" w:cs="Times New Roman"/>
          <w:sz w:val="24"/>
          <w:szCs w:val="24"/>
        </w:rPr>
        <w:t xml:space="preserve">que está incluída entre as </w:t>
      </w:r>
      <w:r w:rsidR="00E87D8C">
        <w:rPr>
          <w:rFonts w:ascii="Times New Roman" w:hAnsi="Times New Roman" w:cs="Times New Roman"/>
          <w:sz w:val="24"/>
          <w:szCs w:val="24"/>
        </w:rPr>
        <w:t>‘</w:t>
      </w:r>
      <w:r w:rsidR="00E87D8C" w:rsidRPr="00883ABD">
        <w:rPr>
          <w:rFonts w:ascii="Times New Roman" w:hAnsi="Times New Roman" w:cs="Times New Roman"/>
          <w:sz w:val="24"/>
          <w:szCs w:val="24"/>
        </w:rPr>
        <w:t>necessidades vitais básicas</w:t>
      </w:r>
      <w:r w:rsidR="00E87D8C">
        <w:rPr>
          <w:rFonts w:ascii="Times New Roman" w:hAnsi="Times New Roman" w:cs="Times New Roman"/>
          <w:sz w:val="24"/>
          <w:szCs w:val="24"/>
        </w:rPr>
        <w:t>’</w:t>
      </w:r>
      <w:r w:rsidR="00E87D8C" w:rsidRPr="00883ABD">
        <w:rPr>
          <w:rFonts w:ascii="Times New Roman" w:hAnsi="Times New Roman" w:cs="Times New Roman"/>
          <w:sz w:val="24"/>
          <w:szCs w:val="24"/>
        </w:rPr>
        <w:t xml:space="preserve"> do trabalha</w:t>
      </w:r>
      <w:r w:rsidR="00E87D8C" w:rsidRPr="00883ABD">
        <w:rPr>
          <w:rFonts w:ascii="Times New Roman" w:hAnsi="Times New Roman" w:cs="Times New Roman"/>
          <w:sz w:val="24"/>
          <w:szCs w:val="24"/>
        </w:rPr>
        <w:softHyphen/>
        <w:t>dor e de sua família (art. 7, IV)</w:t>
      </w:r>
      <w:r w:rsidR="00CE76BC">
        <w:rPr>
          <w:rFonts w:ascii="Times New Roman" w:hAnsi="Times New Roman" w:cs="Times New Roman"/>
          <w:sz w:val="24"/>
          <w:szCs w:val="24"/>
        </w:rPr>
        <w:t xml:space="preserve"> </w:t>
      </w:r>
      <w:r w:rsidR="00E87D8C">
        <w:rPr>
          <w:rFonts w:ascii="Times New Roman" w:hAnsi="Times New Roman" w:cs="Times New Roman"/>
          <w:sz w:val="24"/>
          <w:szCs w:val="24"/>
        </w:rPr>
        <w:t>”</w:t>
      </w:r>
      <w:r w:rsidR="00CE76BC">
        <w:rPr>
          <w:rFonts w:ascii="Times New Roman" w:hAnsi="Times New Roman" w:cs="Times New Roman"/>
          <w:sz w:val="24"/>
          <w:szCs w:val="24"/>
        </w:rPr>
        <w:t xml:space="preserve"> </w:t>
      </w:r>
      <w:r w:rsidR="00E87D8C">
        <w:rPr>
          <w:rFonts w:ascii="Times New Roman" w:hAnsi="Times New Roman" w:cs="Times New Roman"/>
          <w:sz w:val="24"/>
          <w:szCs w:val="24"/>
        </w:rPr>
        <w:t xml:space="preserve">(p. 657).Os autores destacam </w:t>
      </w:r>
      <w:r w:rsidR="00CE76BC">
        <w:rPr>
          <w:rFonts w:ascii="Times New Roman" w:hAnsi="Times New Roman" w:cs="Times New Roman"/>
          <w:sz w:val="24"/>
          <w:szCs w:val="24"/>
        </w:rPr>
        <w:t>a</w:t>
      </w:r>
      <w:r w:rsidR="00E87D8C">
        <w:rPr>
          <w:rFonts w:ascii="Times New Roman" w:hAnsi="Times New Roman" w:cs="Times New Roman"/>
          <w:sz w:val="24"/>
          <w:szCs w:val="24"/>
        </w:rPr>
        <w:t xml:space="preserve"> usucapião especial como instrumento estabelecido no art. 183 da CF para a efetivação desse direito no âmbito urbano e no âmbito rural é destacado o art. 191 da CF que estabelece dentre outros requisitos que tenham mantido na área “</w:t>
      </w:r>
      <w:r w:rsidR="00E87D8C" w:rsidRPr="00883ABD">
        <w:rPr>
          <w:rFonts w:ascii="Times New Roman" w:hAnsi="Times New Roman" w:cs="Times New Roman"/>
          <w:sz w:val="24"/>
          <w:szCs w:val="24"/>
        </w:rPr>
        <w:t>moradia e tornando-a produtiva por seu trabalho ou de sua família</w:t>
      </w:r>
      <w:r w:rsidR="00E87D8C">
        <w:rPr>
          <w:rFonts w:ascii="Times New Roman" w:hAnsi="Times New Roman" w:cs="Times New Roman"/>
          <w:sz w:val="24"/>
          <w:szCs w:val="24"/>
        </w:rPr>
        <w:t>”</w:t>
      </w:r>
      <w:r w:rsidR="00E87D8C" w:rsidRPr="00E87D8C">
        <w:rPr>
          <w:rFonts w:ascii="Times New Roman" w:hAnsi="Times New Roman" w:cs="Times New Roman"/>
          <w:sz w:val="24"/>
          <w:szCs w:val="24"/>
        </w:rPr>
        <w:t xml:space="preserve"> </w:t>
      </w:r>
      <w:r w:rsidR="00E87D8C">
        <w:rPr>
          <w:rFonts w:ascii="Times New Roman" w:hAnsi="Times New Roman" w:cs="Times New Roman"/>
          <w:sz w:val="24"/>
          <w:szCs w:val="24"/>
        </w:rPr>
        <w:t>(p. 658).</w:t>
      </w:r>
    </w:p>
    <w:p w:rsidR="00E87D8C" w:rsidRDefault="008B0E6C" w:rsidP="00BB3A7C">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É bom destacar que o nosso ordenamento jurídico tem a intenção de proteger o possuidor e até de torná-lo proprietário pelo instituto da usucapião. Gonçalves, C. R. (2012) destaca que: “</w:t>
      </w:r>
      <w:r w:rsidRPr="008B0E6C">
        <w:rPr>
          <w:rFonts w:ascii="Times New Roman" w:hAnsi="Times New Roman" w:cs="Times New Roman"/>
          <w:sz w:val="24"/>
          <w:szCs w:val="24"/>
        </w:rPr>
        <w:t>O princípio que norteia a usucapião dos móveis é o mesmo que inspira a</w:t>
      </w:r>
      <w:r w:rsidRPr="008B0E6C">
        <w:rPr>
          <w:rFonts w:ascii="Times New Roman" w:hAnsi="Times New Roman" w:cs="Times New Roman"/>
          <w:sz w:val="24"/>
          <w:szCs w:val="24"/>
        </w:rPr>
        <w:br/>
        <w:t>usucapião dos imóveis, i</w:t>
      </w:r>
      <w:r>
        <w:rPr>
          <w:rFonts w:ascii="Times New Roman" w:hAnsi="Times New Roman" w:cs="Times New Roman"/>
          <w:sz w:val="24"/>
          <w:szCs w:val="24"/>
        </w:rPr>
        <w:t>sto é, o intuito de emprestar j</w:t>
      </w:r>
      <w:r w:rsidRPr="008B0E6C">
        <w:rPr>
          <w:rFonts w:ascii="Times New Roman" w:hAnsi="Times New Roman" w:cs="Times New Roman"/>
          <w:sz w:val="24"/>
          <w:szCs w:val="24"/>
        </w:rPr>
        <w:t>uridicidade a situações de</w:t>
      </w:r>
      <w:r w:rsidRPr="008B0E6C">
        <w:rPr>
          <w:rFonts w:ascii="Times New Roman" w:hAnsi="Times New Roman" w:cs="Times New Roman"/>
          <w:sz w:val="24"/>
          <w:szCs w:val="24"/>
        </w:rPr>
        <w:br/>
        <w:t>fato que se alongaram no tempo</w:t>
      </w:r>
      <w:r>
        <w:rPr>
          <w:rFonts w:ascii="Times New Roman" w:hAnsi="Times New Roman" w:cs="Times New Roman"/>
          <w:sz w:val="24"/>
          <w:szCs w:val="24"/>
        </w:rPr>
        <w:t>”(p.</w:t>
      </w:r>
      <w:r w:rsidR="00CE76BC">
        <w:rPr>
          <w:rFonts w:ascii="Times New Roman" w:hAnsi="Times New Roman" w:cs="Times New Roman"/>
          <w:sz w:val="24"/>
          <w:szCs w:val="24"/>
        </w:rPr>
        <w:t xml:space="preserve"> </w:t>
      </w:r>
      <w:r>
        <w:rPr>
          <w:rFonts w:ascii="Times New Roman" w:hAnsi="Times New Roman" w:cs="Times New Roman"/>
          <w:sz w:val="24"/>
          <w:szCs w:val="24"/>
        </w:rPr>
        <w:t xml:space="preserve">276).  </w:t>
      </w:r>
    </w:p>
    <w:p w:rsidR="008B0E6C" w:rsidRDefault="00373E10" w:rsidP="008B0E6C">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Coelho (</w:t>
      </w:r>
      <w:r w:rsidR="00FF64D5">
        <w:rPr>
          <w:rFonts w:ascii="Times New Roman" w:hAnsi="Times New Roman" w:cs="Times New Roman"/>
          <w:sz w:val="24"/>
          <w:szCs w:val="24"/>
        </w:rPr>
        <w:t>2012</w:t>
      </w:r>
      <w:r>
        <w:rPr>
          <w:rFonts w:ascii="Times New Roman" w:hAnsi="Times New Roman" w:cs="Times New Roman"/>
          <w:sz w:val="24"/>
          <w:szCs w:val="24"/>
        </w:rPr>
        <w:t xml:space="preserve">, </w:t>
      </w:r>
      <w:r w:rsidR="008B0E6C">
        <w:rPr>
          <w:rFonts w:ascii="Times New Roman" w:hAnsi="Times New Roman" w:cs="Times New Roman"/>
          <w:sz w:val="24"/>
          <w:szCs w:val="24"/>
        </w:rPr>
        <w:t>p.194) destaca que: “</w:t>
      </w:r>
      <w:r w:rsidR="008B0E6C" w:rsidRPr="008B0E6C">
        <w:rPr>
          <w:rFonts w:ascii="Times New Roman" w:hAnsi="Times New Roman" w:cs="Times New Roman"/>
          <w:sz w:val="24"/>
          <w:szCs w:val="24"/>
        </w:rPr>
        <w:t>é racional, econômico e justo que a</w:t>
      </w:r>
      <w:r w:rsidR="008B0E6C" w:rsidRPr="008B0E6C">
        <w:rPr>
          <w:rFonts w:ascii="Times New Roman" w:hAnsi="Times New Roman" w:cs="Times New Roman"/>
          <w:sz w:val="24"/>
          <w:szCs w:val="24"/>
        </w:rPr>
        <w:br/>
      </w:r>
      <w:r w:rsidR="008B0E6C" w:rsidRPr="008B0E6C">
        <w:rPr>
          <w:rFonts w:ascii="Times New Roman" w:hAnsi="Times New Roman" w:cs="Times New Roman"/>
          <w:sz w:val="24"/>
          <w:szCs w:val="24"/>
        </w:rPr>
        <w:lastRenderedPageBreak/>
        <w:t>posse reiterada de uma pessoa sobre certo bem, quando</w:t>
      </w:r>
      <w:r w:rsidR="008B0E6C">
        <w:rPr>
          <w:rFonts w:ascii="Times New Roman" w:hAnsi="Times New Roman" w:cs="Times New Roman"/>
          <w:sz w:val="24"/>
          <w:szCs w:val="24"/>
        </w:rPr>
        <w:t xml:space="preserve"> </w:t>
      </w:r>
      <w:r w:rsidR="008B0E6C" w:rsidRPr="008B0E6C">
        <w:rPr>
          <w:rFonts w:ascii="Times New Roman" w:hAnsi="Times New Roman" w:cs="Times New Roman"/>
          <w:sz w:val="24"/>
          <w:szCs w:val="24"/>
        </w:rPr>
        <w:t>ninguém se opõe a essa situação, implique a atribuição ao</w:t>
      </w:r>
      <w:r w:rsidR="008B0E6C">
        <w:rPr>
          <w:rFonts w:ascii="Times New Roman" w:hAnsi="Times New Roman" w:cs="Times New Roman"/>
          <w:sz w:val="24"/>
          <w:szCs w:val="24"/>
        </w:rPr>
        <w:t xml:space="preserve"> </w:t>
      </w:r>
      <w:r w:rsidR="008B0E6C" w:rsidRPr="008B0E6C">
        <w:rPr>
          <w:rFonts w:ascii="Times New Roman" w:hAnsi="Times New Roman" w:cs="Times New Roman"/>
          <w:sz w:val="24"/>
          <w:szCs w:val="24"/>
        </w:rPr>
        <w:t>possuidor do direito de propriedade</w:t>
      </w:r>
      <w:r w:rsidR="008B0E6C">
        <w:rPr>
          <w:rFonts w:ascii="Times New Roman" w:hAnsi="Times New Roman" w:cs="Times New Roman"/>
          <w:sz w:val="24"/>
          <w:szCs w:val="24"/>
        </w:rPr>
        <w:t>”. Vale ressaltar que existe no nosso Código Civil</w:t>
      </w:r>
      <w:r>
        <w:rPr>
          <w:rFonts w:ascii="Times New Roman" w:hAnsi="Times New Roman" w:cs="Times New Roman"/>
          <w:sz w:val="24"/>
          <w:szCs w:val="24"/>
        </w:rPr>
        <w:t>, além da usucapião,</w:t>
      </w:r>
      <w:r w:rsidR="008B0E6C">
        <w:rPr>
          <w:rFonts w:ascii="Times New Roman" w:hAnsi="Times New Roman" w:cs="Times New Roman"/>
          <w:sz w:val="24"/>
          <w:szCs w:val="24"/>
        </w:rPr>
        <w:t xml:space="preserve"> as ações possessórias que visam defender o possuidor da ameaça, do esbulho e da turbação da sua posse</w:t>
      </w:r>
      <w:r>
        <w:rPr>
          <w:rFonts w:ascii="Times New Roman" w:hAnsi="Times New Roman" w:cs="Times New Roman"/>
          <w:sz w:val="24"/>
          <w:szCs w:val="24"/>
        </w:rPr>
        <w:t>:</w:t>
      </w:r>
      <w:r w:rsidRPr="00373E10">
        <w:rPr>
          <w:rFonts w:ascii="Arial" w:hAnsi="Arial" w:cs="Arial"/>
          <w:color w:val="000000"/>
          <w:shd w:val="clear" w:color="auto" w:fill="FFFFFF"/>
        </w:rPr>
        <w:t xml:space="preserve"> </w:t>
      </w:r>
      <w:r w:rsidRPr="00373E10">
        <w:rPr>
          <w:rFonts w:ascii="Times New Roman" w:hAnsi="Times New Roman" w:cs="Times New Roman"/>
          <w:color w:val="000000"/>
          <w:shd w:val="clear" w:color="auto" w:fill="FFFFFF"/>
        </w:rPr>
        <w:t>“</w:t>
      </w:r>
      <w:r w:rsidRPr="00373E10">
        <w:rPr>
          <w:rFonts w:ascii="Times New Roman" w:hAnsi="Times New Roman" w:cs="Times New Roman"/>
          <w:sz w:val="24"/>
          <w:szCs w:val="24"/>
        </w:rPr>
        <w:t>Art. 1.210. O possuidor tem direito a ser mantido na posse em caso de turbação, restituído no de esbulho, e segurado de violência iminente, se tiver justo receio de ser molestado</w:t>
      </w:r>
      <w:r>
        <w:rPr>
          <w:rFonts w:ascii="Times New Roman" w:hAnsi="Times New Roman" w:cs="Times New Roman"/>
          <w:sz w:val="24"/>
          <w:szCs w:val="24"/>
        </w:rPr>
        <w:t xml:space="preserve">” </w:t>
      </w:r>
      <w:r w:rsidR="008B0E6C">
        <w:rPr>
          <w:rFonts w:ascii="Times New Roman" w:hAnsi="Times New Roman" w:cs="Times New Roman"/>
          <w:sz w:val="24"/>
          <w:szCs w:val="24"/>
        </w:rPr>
        <w:t>(BRASIL, 2002).</w:t>
      </w:r>
      <w:r w:rsidR="00FF64D5">
        <w:rPr>
          <w:rFonts w:ascii="Times New Roman" w:hAnsi="Times New Roman" w:cs="Times New Roman"/>
          <w:sz w:val="24"/>
          <w:szCs w:val="24"/>
        </w:rPr>
        <w:t xml:space="preserve"> </w:t>
      </w:r>
      <w:r>
        <w:rPr>
          <w:rFonts w:ascii="Times New Roman" w:hAnsi="Times New Roman" w:cs="Times New Roman"/>
          <w:sz w:val="24"/>
          <w:szCs w:val="24"/>
        </w:rPr>
        <w:t>Dessa forma a nossa legislação infraconstitucional também zela pela defesa do possuidor não o deixando desamparado e segue os preceitos constitucionais.</w:t>
      </w:r>
    </w:p>
    <w:p w:rsidR="00415D67" w:rsidRDefault="00415D67" w:rsidP="004D2FF3">
      <w:pPr>
        <w:widowControl w:val="0"/>
        <w:autoSpaceDE w:val="0"/>
        <w:autoSpaceDN w:val="0"/>
        <w:adjustRightInd w:val="0"/>
        <w:spacing w:after="320" w:line="360" w:lineRule="auto"/>
        <w:ind w:firstLine="1134"/>
        <w:jc w:val="both"/>
        <w:rPr>
          <w:rFonts w:ascii="Times New Roman" w:hAnsi="Times New Roman" w:cs="Times New Roman"/>
          <w:sz w:val="24"/>
          <w:szCs w:val="24"/>
        </w:rPr>
      </w:pPr>
      <w:r>
        <w:rPr>
          <w:rFonts w:ascii="Times New Roman" w:hAnsi="Times New Roman" w:cs="Times New Roman"/>
          <w:sz w:val="24"/>
          <w:szCs w:val="24"/>
        </w:rPr>
        <w:t>Em relação ao direito ao trabalho a posse cumpre um papel determinante pois</w:t>
      </w:r>
      <w:r w:rsidR="004D2FF3">
        <w:rPr>
          <w:rFonts w:ascii="Times New Roman" w:hAnsi="Times New Roman" w:cs="Times New Roman"/>
          <w:sz w:val="24"/>
          <w:szCs w:val="24"/>
        </w:rPr>
        <w:t xml:space="preserve"> o</w:t>
      </w:r>
      <w:r w:rsidRPr="00415D67">
        <w:rPr>
          <w:rFonts w:ascii="Times New Roman" w:hAnsi="Times New Roman" w:cs="Times New Roman"/>
          <w:sz w:val="24"/>
          <w:szCs w:val="24"/>
        </w:rPr>
        <w:t xml:space="preserve"> </w:t>
      </w:r>
      <w:r w:rsidR="004D2FF3">
        <w:rPr>
          <w:rFonts w:ascii="Times New Roman" w:hAnsi="Times New Roman" w:cs="Times New Roman"/>
          <w:sz w:val="24"/>
          <w:szCs w:val="24"/>
        </w:rPr>
        <w:t>“</w:t>
      </w:r>
      <w:r w:rsidRPr="00415D67">
        <w:rPr>
          <w:rFonts w:ascii="Times New Roman" w:hAnsi="Times New Roman" w:cs="Times New Roman"/>
          <w:sz w:val="24"/>
          <w:szCs w:val="24"/>
        </w:rPr>
        <w:t>instituto da posse é ditado pela necessidade social,</w:t>
      </w:r>
      <w:r w:rsidR="004D2FF3">
        <w:rPr>
          <w:rFonts w:ascii="Times New Roman" w:hAnsi="Times New Roman" w:cs="Times New Roman"/>
          <w:sz w:val="24"/>
          <w:szCs w:val="24"/>
        </w:rPr>
        <w:t xml:space="preserve"> </w:t>
      </w:r>
      <w:r w:rsidRPr="00415D67">
        <w:rPr>
          <w:rFonts w:ascii="Times New Roman" w:hAnsi="Times New Roman" w:cs="Times New Roman"/>
          <w:sz w:val="24"/>
          <w:szCs w:val="24"/>
        </w:rPr>
        <w:t>pela necessidade da terra para o trabalho, para a moradia, enfim, necessidades básicas que</w:t>
      </w:r>
      <w:r w:rsidR="004D2FF3">
        <w:rPr>
          <w:rFonts w:ascii="Times New Roman" w:hAnsi="Times New Roman" w:cs="Times New Roman"/>
          <w:sz w:val="24"/>
          <w:szCs w:val="24"/>
        </w:rPr>
        <w:t xml:space="preserve"> </w:t>
      </w:r>
      <w:r w:rsidRPr="00415D67">
        <w:rPr>
          <w:rFonts w:ascii="Times New Roman" w:hAnsi="Times New Roman" w:cs="Times New Roman"/>
          <w:sz w:val="24"/>
          <w:szCs w:val="24"/>
        </w:rPr>
        <w:t>pressupõem o valor de dignidade do ser humano, o conceito de cidadania, o direito de</w:t>
      </w:r>
      <w:r w:rsidR="004D2FF3">
        <w:rPr>
          <w:rFonts w:ascii="Times New Roman" w:hAnsi="Times New Roman" w:cs="Times New Roman"/>
          <w:sz w:val="24"/>
          <w:szCs w:val="24"/>
        </w:rPr>
        <w:t xml:space="preserve"> </w:t>
      </w:r>
      <w:r w:rsidRPr="00415D67">
        <w:rPr>
          <w:rFonts w:ascii="Times New Roman" w:hAnsi="Times New Roman" w:cs="Times New Roman"/>
          <w:sz w:val="24"/>
          <w:szCs w:val="24"/>
        </w:rPr>
        <w:t xml:space="preserve">proteção à personalidade e à própria </w:t>
      </w:r>
      <w:r w:rsidR="004D2FF3" w:rsidRPr="00415D67">
        <w:rPr>
          <w:rFonts w:ascii="Times New Roman" w:hAnsi="Times New Roman" w:cs="Times New Roman"/>
          <w:sz w:val="24"/>
          <w:szCs w:val="24"/>
        </w:rPr>
        <w:t>vida.</w:t>
      </w:r>
      <w:r w:rsidR="004D2FF3">
        <w:rPr>
          <w:rFonts w:ascii="Times New Roman" w:hAnsi="Times New Roman" w:cs="Times New Roman"/>
          <w:sz w:val="24"/>
          <w:szCs w:val="24"/>
        </w:rPr>
        <w:t xml:space="preserve"> ”</w:t>
      </w:r>
      <w:r w:rsidR="004D2FF3" w:rsidRPr="004D2FF3">
        <w:rPr>
          <w:color w:val="000000"/>
          <w:sz w:val="18"/>
          <w:szCs w:val="18"/>
        </w:rPr>
        <w:t xml:space="preserve"> </w:t>
      </w:r>
      <w:r w:rsidR="004D2FF3">
        <w:rPr>
          <w:rFonts w:ascii="Times New Roman" w:hAnsi="Times New Roman" w:cs="Times New Roman"/>
          <w:sz w:val="24"/>
          <w:szCs w:val="24"/>
        </w:rPr>
        <w:t>(</w:t>
      </w:r>
      <w:r w:rsidR="00CE76BC">
        <w:rPr>
          <w:rFonts w:ascii="Times New Roman" w:hAnsi="Times New Roman" w:cs="Times New Roman"/>
          <w:sz w:val="24"/>
          <w:szCs w:val="24"/>
        </w:rPr>
        <w:t>ALBUQUERQUE,</w:t>
      </w:r>
      <w:r w:rsidR="004D2FF3" w:rsidRPr="004D2FF3">
        <w:rPr>
          <w:rFonts w:ascii="Times New Roman" w:hAnsi="Times New Roman" w:cs="Times New Roman"/>
          <w:sz w:val="24"/>
          <w:szCs w:val="24"/>
        </w:rPr>
        <w:t xml:space="preserve"> 2002, p. 12</w:t>
      </w:r>
      <w:r w:rsidR="004D2FF3">
        <w:rPr>
          <w:rFonts w:ascii="Times New Roman" w:hAnsi="Times New Roman" w:cs="Times New Roman"/>
          <w:sz w:val="24"/>
          <w:szCs w:val="24"/>
        </w:rPr>
        <w:t xml:space="preserve"> apud </w:t>
      </w:r>
      <w:r w:rsidR="004D2FF3" w:rsidRPr="004D2FF3">
        <w:rPr>
          <w:rFonts w:ascii="Times New Roman" w:hAnsi="Times New Roman" w:cs="Times New Roman"/>
          <w:sz w:val="24"/>
          <w:szCs w:val="24"/>
        </w:rPr>
        <w:t>GONÇALVES, S. L., 2012, p. 184)</w:t>
      </w:r>
    </w:p>
    <w:p w:rsidR="004D2FF3" w:rsidRDefault="004D2FF3" w:rsidP="004B47FD">
      <w:pPr>
        <w:pStyle w:val="texto"/>
      </w:pPr>
      <w:r>
        <w:t>O direito ao trabalho está elencado na CF</w:t>
      </w:r>
      <w:r w:rsidR="004B47FD">
        <w:t>, dentre vários outros,</w:t>
      </w:r>
      <w:r>
        <w:t xml:space="preserve"> no </w:t>
      </w:r>
      <w:r w:rsidRPr="004D2FF3">
        <w:t>Art. 7º</w:t>
      </w:r>
      <w:r>
        <w:t xml:space="preserve">, </w:t>
      </w:r>
      <w:r w:rsidR="004B47FD">
        <w:t>n</w:t>
      </w:r>
      <w:r>
        <w:t xml:space="preserve">o </w:t>
      </w:r>
      <w:r w:rsidRPr="004D2FF3">
        <w:t>Art. 193</w:t>
      </w:r>
      <w:r>
        <w:t xml:space="preserve"> que determina:</w:t>
      </w:r>
      <w:r w:rsidRPr="004D2FF3">
        <w:t xml:space="preserve"> </w:t>
      </w:r>
      <w:r>
        <w:t>“</w:t>
      </w:r>
      <w:r w:rsidR="00CE76BC">
        <w:t xml:space="preserve"> </w:t>
      </w:r>
      <w:r w:rsidRPr="004D2FF3">
        <w:t xml:space="preserve">A ordem social tem como base o primado do trabalho, e como objetivo </w:t>
      </w:r>
      <w:r w:rsidR="00CE76BC">
        <w:t xml:space="preserve">o bem-estar e a justiça sociais </w:t>
      </w:r>
      <w:r>
        <w:t>”</w:t>
      </w:r>
      <w:r w:rsidR="00CE76BC">
        <w:t xml:space="preserve">. </w:t>
      </w:r>
      <w:r w:rsidR="004B47FD">
        <w:t>A CF tem no direito ao trabalho um elemento essencial para o alcance da vida digna, dessa forma, a posse com o intuito de estabelecer atividade profissional e subsistência são tutelados pela CF e pela nossa legislação infraconstitucional.</w:t>
      </w:r>
    </w:p>
    <w:p w:rsidR="004B47FD" w:rsidRDefault="004B47FD" w:rsidP="004B47FD">
      <w:pPr>
        <w:pStyle w:val="texto"/>
      </w:pPr>
      <w:r>
        <w:t>Como já citado anteriormente a usucapião é um instituto do direito que comprova a ligação do valor da posse ao trabalho. No código civil (BRASIL, 2002) temos:</w:t>
      </w:r>
    </w:p>
    <w:p w:rsidR="004B47FD" w:rsidRDefault="004B47FD" w:rsidP="004B47FD">
      <w:pPr>
        <w:pStyle w:val="citdirlonga"/>
      </w:pPr>
      <w:r>
        <w:t xml:space="preserve">Art. 1.238. Aquele que, por quinze anos, sem interrupção, nem oposição, possuir como seu um imóvel, adquire-lhe a propriedade, independentemente de título e boa-fé; podendo requerer ao juiz que assim o declare por sentença, a qual servirá de título para o registro no Cartório de Registro de Imóveis. Parágrafo único. O prazo estabelecido neste artigo reduzir-se-á a dez anos se o possuidor houver estabelecido no imóvel a sua moradia habitual, ou nele </w:t>
      </w:r>
      <w:r w:rsidRPr="004B47FD">
        <w:rPr>
          <w:b/>
        </w:rPr>
        <w:t>realizado obras ou serviços de caráter produtivo</w:t>
      </w:r>
      <w:r w:rsidRPr="004B47FD">
        <w:t>.(grifo nosso)</w:t>
      </w:r>
    </w:p>
    <w:p w:rsidR="004B47FD" w:rsidRDefault="004B47FD" w:rsidP="004B47FD">
      <w:pPr>
        <w:pStyle w:val="texto"/>
      </w:pPr>
      <w:r>
        <w:t>Podemos citar ainda:</w:t>
      </w:r>
    </w:p>
    <w:p w:rsidR="004B47FD" w:rsidRDefault="00C6467A" w:rsidP="00C6467A">
      <w:pPr>
        <w:pStyle w:val="citdirlonga"/>
      </w:pPr>
      <w:r w:rsidRPr="00C6467A">
        <w:t xml:space="preserve">Art. 1.239. Aquele que, não sendo proprietário de imóvel rural ou urbano, possua como sua, por cinco anos ininterruptos, sem oposição, área de terra em zona rural não superior a cinqüenta hectares, </w:t>
      </w:r>
      <w:r w:rsidRPr="00C6467A">
        <w:rPr>
          <w:b/>
        </w:rPr>
        <w:t>tornando-a produtiva por seu trabalho ou de sua família</w:t>
      </w:r>
      <w:r w:rsidRPr="00C6467A">
        <w:t xml:space="preserve">, tendo nela sua moradia, adquirir-lhe-á a propriedade. </w:t>
      </w:r>
      <w:r>
        <w:t>(BRASIL, 2002,</w:t>
      </w:r>
      <w:r w:rsidRPr="00C6467A">
        <w:t xml:space="preserve"> </w:t>
      </w:r>
      <w:r w:rsidRPr="004B47FD">
        <w:t>grifo nosso</w:t>
      </w:r>
      <w:r>
        <w:t>)</w:t>
      </w:r>
    </w:p>
    <w:p w:rsidR="00C6467A" w:rsidRDefault="00C6467A" w:rsidP="00C6467A">
      <w:pPr>
        <w:pStyle w:val="texto"/>
      </w:pPr>
      <w:r>
        <w:lastRenderedPageBreak/>
        <w:t>Os dois artigos citados anteriormente comprovam a ligação entre a intenção do nosso ordenamento jurídico em proteger o possuidor através da usucapião e, também, garantir condições de trabalho e subsistência.</w:t>
      </w:r>
    </w:p>
    <w:p w:rsidR="00C6467A" w:rsidRDefault="00C6467A" w:rsidP="00C6467A">
      <w:pPr>
        <w:pStyle w:val="texto"/>
      </w:pPr>
      <w:r>
        <w:t>Por fim é impo</w:t>
      </w:r>
      <w:r w:rsidR="00E468A1">
        <w:t>r</w:t>
      </w:r>
      <w:r>
        <w:t>tante destacar o Estatuto da Terra (L</w:t>
      </w:r>
      <w:r w:rsidRPr="00C6467A">
        <w:t>ei nº 4</w:t>
      </w:r>
      <w:r>
        <w:t>.504, de 30 de novembro de 1964) que também relaciona o direito à terra ao trabalho e à função social da propriedade e, para nós, de forma extensiva, da posse:</w:t>
      </w:r>
    </w:p>
    <w:p w:rsidR="00CE76BC" w:rsidRPr="00714BC1" w:rsidRDefault="00C6467A" w:rsidP="00CE76BC">
      <w:pPr>
        <w:pStyle w:val="citdirlonga"/>
      </w:pPr>
      <w:r>
        <w:t xml:space="preserve"> Art. 2° É assegurada a todos a oportunidade de </w:t>
      </w:r>
      <w:r w:rsidRPr="00C6467A">
        <w:rPr>
          <w:b/>
        </w:rPr>
        <w:t>acesso à propriedade da terra</w:t>
      </w:r>
      <w:r>
        <w:t xml:space="preserve">, </w:t>
      </w:r>
      <w:r w:rsidRPr="00C6467A">
        <w:rPr>
          <w:b/>
        </w:rPr>
        <w:t>condicionada pela sua função social</w:t>
      </w:r>
      <w:r>
        <w:t xml:space="preserve">, na forma prevista nesta Lei. § 1° A propriedade da terra desempenha integralmente a sua função social quando, simultaneamente: a) favorece o </w:t>
      </w:r>
      <w:r w:rsidRPr="00C6467A">
        <w:rPr>
          <w:b/>
        </w:rPr>
        <w:t>bem-estar dos proprietários e dos trabalhadores</w:t>
      </w:r>
      <w:r>
        <w:t xml:space="preserve"> que nela labutam, assim como de suas famílias; b) </w:t>
      </w:r>
      <w:r w:rsidRPr="00C6467A">
        <w:rPr>
          <w:b/>
        </w:rPr>
        <w:t>mantém níveis satisfatórios de produtividade</w:t>
      </w:r>
      <w:r>
        <w:t xml:space="preserve">;c) assegura a conservação dos recursos naturais;d) observa as disposições legais que regulam as </w:t>
      </w:r>
      <w:r w:rsidRPr="00C6467A">
        <w:rPr>
          <w:b/>
        </w:rPr>
        <w:t>justas relações de trabalho entre os que a possuem e a cultivem</w:t>
      </w:r>
      <w:r>
        <w:t>.</w:t>
      </w:r>
      <w:r w:rsidR="00714BC1" w:rsidRPr="00714BC1">
        <w:t xml:space="preserve"> </w:t>
      </w:r>
      <w:r w:rsidR="00CE76BC">
        <w:t>(BRASIL, 1964, grifo nosso).</w:t>
      </w:r>
    </w:p>
    <w:p w:rsidR="007F164C" w:rsidRDefault="007F164C" w:rsidP="00714BC1">
      <w:pPr>
        <w:pStyle w:val="citdirlonga"/>
      </w:pPr>
    </w:p>
    <w:p w:rsidR="007F164C" w:rsidRDefault="007F164C" w:rsidP="007F164C">
      <w:pPr>
        <w:pStyle w:val="texto"/>
      </w:pPr>
      <w:r>
        <w:t xml:space="preserve">O parágrafo segundo do Art. 2° do Estatuto da Terra,  por sua vez, destaca que: </w:t>
      </w:r>
    </w:p>
    <w:p w:rsidR="00D46A44" w:rsidRPr="00714BC1" w:rsidRDefault="00714BC1" w:rsidP="00714BC1">
      <w:pPr>
        <w:pStyle w:val="citdirlonga"/>
      </w:pPr>
      <w:r>
        <w:t xml:space="preserve">§ 2° </w:t>
      </w:r>
      <w:r w:rsidRPr="00714BC1">
        <w:rPr>
          <w:b/>
        </w:rPr>
        <w:t>É dever do Poder Público</w:t>
      </w:r>
      <w:r>
        <w:t xml:space="preserve">: a) </w:t>
      </w:r>
      <w:r w:rsidRPr="00714BC1">
        <w:rPr>
          <w:b/>
        </w:rPr>
        <w:t>promover e criar as condições de acesso do trabalhador rural à propriedade da terra economicamente útil</w:t>
      </w:r>
      <w:r>
        <w:t xml:space="preserve">, de preferência nas regiões onde habita, ou, quando as circunstâncias regionais, o aconselhem em zonas previamente ajustadas na forma do disposto na regulamentação desta Lei; b) </w:t>
      </w:r>
      <w:r w:rsidRPr="00714BC1">
        <w:rPr>
          <w:b/>
        </w:rPr>
        <w:t>zelar para que a propriedade da terra desempenhe sua função social</w:t>
      </w:r>
      <w:r>
        <w:t xml:space="preserve">, estimulando planos para a sua racional utilização, promovendo a justa remuneração e o acesso do </w:t>
      </w:r>
      <w:r w:rsidRPr="00714BC1">
        <w:rPr>
          <w:b/>
        </w:rPr>
        <w:t>trabalhador aos benefícios do aumento da produtividade e ao bem-estar coletivo</w:t>
      </w:r>
      <w:r>
        <w:t xml:space="preserve">. </w:t>
      </w:r>
      <w:r w:rsidR="00C6467A">
        <w:t>(BRASIL, 1964, grifo nosso)</w:t>
      </w:r>
      <w:r>
        <w:t>.</w:t>
      </w:r>
    </w:p>
    <w:p w:rsidR="00714BC1" w:rsidRDefault="00714BC1" w:rsidP="00132FA4">
      <w:pPr>
        <w:spacing w:after="0" w:line="360" w:lineRule="auto"/>
        <w:jc w:val="both"/>
        <w:rPr>
          <w:rFonts w:ascii="Times New Roman" w:eastAsia="Calibri" w:hAnsi="Times New Roman" w:cs="Times New Roman"/>
          <w:b/>
          <w:sz w:val="24"/>
          <w:szCs w:val="24"/>
        </w:rPr>
      </w:pPr>
    </w:p>
    <w:p w:rsidR="00132FA4" w:rsidRPr="00714BC1" w:rsidRDefault="00132FA4" w:rsidP="00760594">
      <w:pPr>
        <w:pStyle w:val="PargrafodaLista"/>
        <w:numPr>
          <w:ilvl w:val="0"/>
          <w:numId w:val="4"/>
        </w:numPr>
        <w:spacing w:after="0" w:line="360" w:lineRule="auto"/>
        <w:jc w:val="both"/>
        <w:rPr>
          <w:rFonts w:ascii="Times New Roman" w:eastAsia="Calibri" w:hAnsi="Times New Roman" w:cs="Times New Roman"/>
          <w:b/>
          <w:sz w:val="24"/>
          <w:szCs w:val="24"/>
        </w:rPr>
      </w:pPr>
      <w:r w:rsidRPr="00714BC1">
        <w:rPr>
          <w:rFonts w:ascii="Times New Roman" w:eastAsia="Calibri" w:hAnsi="Times New Roman" w:cs="Times New Roman"/>
          <w:b/>
          <w:sz w:val="24"/>
          <w:szCs w:val="24"/>
        </w:rPr>
        <w:t>CONCLUSÃO:</w:t>
      </w:r>
    </w:p>
    <w:p w:rsidR="00E468A1" w:rsidRDefault="00E468A1" w:rsidP="00714BC1">
      <w:pPr>
        <w:spacing w:after="0" w:line="240" w:lineRule="auto"/>
        <w:jc w:val="center"/>
        <w:rPr>
          <w:rFonts w:ascii="Times New Roman" w:eastAsia="Calibri" w:hAnsi="Times New Roman" w:cs="Times New Roman"/>
          <w:b/>
          <w:sz w:val="24"/>
          <w:szCs w:val="24"/>
        </w:rPr>
      </w:pPr>
    </w:p>
    <w:p w:rsidR="00E468A1" w:rsidRDefault="00E468A1" w:rsidP="00714BC1">
      <w:pPr>
        <w:spacing w:after="0" w:line="240" w:lineRule="auto"/>
        <w:jc w:val="center"/>
        <w:rPr>
          <w:rFonts w:ascii="Times New Roman" w:eastAsia="Calibri" w:hAnsi="Times New Roman" w:cs="Times New Roman"/>
          <w:b/>
          <w:sz w:val="24"/>
          <w:szCs w:val="24"/>
        </w:rPr>
      </w:pPr>
    </w:p>
    <w:p w:rsidR="00E468A1" w:rsidRDefault="00E468A1" w:rsidP="00E468A1">
      <w:pPr>
        <w:pStyle w:val="texto"/>
      </w:pPr>
      <w:r>
        <w:t>Podemos concluir que através da mudança de paradigma ocorrida em virtude da Constituição de 1988 que ocasionou a constitucionalização do direito civil, ou seja, tornou a linha de distinção entre direito privado e direito público cada vez mais tênue foi possível que matérias de cunho social fossem inseridas no contexto que antes era primordialmente privatista.</w:t>
      </w:r>
    </w:p>
    <w:p w:rsidR="00E468A1" w:rsidRDefault="00E468A1" w:rsidP="00E468A1">
      <w:pPr>
        <w:pStyle w:val="texto"/>
      </w:pPr>
      <w:r>
        <w:t>A perspectiva burguesa-liberal e privatista trazida da Europa é substituída em vários aspectos por um estado social que visa a igualdade, mas sob um prisma material e não meramente formal exigindo do Estado um comportamento ativo para que se concretize.</w:t>
      </w:r>
    </w:p>
    <w:p w:rsidR="00E468A1" w:rsidRDefault="00E468A1" w:rsidP="00E468A1">
      <w:pPr>
        <w:pStyle w:val="texto"/>
      </w:pPr>
      <w:r>
        <w:t xml:space="preserve">Com essa mudança a função social da propriedade passa a limitar a propriedade privada, pois agora o proprietário não possui o poder ilimitado sobre </w:t>
      </w:r>
      <w:r w:rsidR="000267E2">
        <w:t>ela</w:t>
      </w:r>
      <w:r>
        <w:t xml:space="preserve">, agora, ele tem que se </w:t>
      </w:r>
      <w:r>
        <w:lastRenderedPageBreak/>
        <w:t xml:space="preserve">reportar </w:t>
      </w:r>
      <w:r w:rsidR="000267E2">
        <w:t xml:space="preserve">à </w:t>
      </w:r>
      <w:r>
        <w:t>coletividade e cumprir requisitos de interesse social para que continue a ser proprietário.</w:t>
      </w:r>
    </w:p>
    <w:p w:rsidR="00E468A1" w:rsidRDefault="00E468A1" w:rsidP="00E468A1">
      <w:pPr>
        <w:pStyle w:val="texto"/>
      </w:pPr>
      <w:r>
        <w:t xml:space="preserve">Com discordância na doutrina em relação ao fato de a posse também possuir função social nos filiamos aqui </w:t>
      </w:r>
      <w:r w:rsidR="000267E2">
        <w:t>à</w:t>
      </w:r>
      <w:r>
        <w:t xml:space="preserve"> parte da doutrina que aceita que isso seja possível. A posse como foi visto é de fundamental importância para </w:t>
      </w:r>
      <w:r w:rsidR="000267E2">
        <w:t>à</w:t>
      </w:r>
      <w:r>
        <w:t xml:space="preserve"> consecução de alguns direitos fundamentais. Destacamos o direito ao trabalho e à moradia que são direitos sociais que exigem prestações tanto positivas quanto negativas por parte do Estado e, por serem direitos fundamentais também são exigíveis pois possuem aplicabilidade imediata.</w:t>
      </w:r>
    </w:p>
    <w:p w:rsidR="00E468A1" w:rsidRDefault="00E468A1" w:rsidP="00E468A1">
      <w:pPr>
        <w:pStyle w:val="texto"/>
      </w:pPr>
      <w:r>
        <w:t>Através da posse e de instrumentos trazidos pelo nosso direito como as ações possessórias e a usucapião temos a confirmação que</w:t>
      </w:r>
      <w:r w:rsidR="000267E2">
        <w:t>,</w:t>
      </w:r>
      <w:r>
        <w:t xml:space="preserve"> também</w:t>
      </w:r>
      <w:r w:rsidR="000267E2">
        <w:t>,</w:t>
      </w:r>
      <w:r>
        <w:t xml:space="preserve"> o legislador infraconstitucional admite que a posse possui uma função social a ser observada.  </w:t>
      </w:r>
    </w:p>
    <w:p w:rsidR="000267E2" w:rsidRDefault="000267E2" w:rsidP="00E468A1">
      <w:pPr>
        <w:pStyle w:val="texto"/>
      </w:pPr>
    </w:p>
    <w:p w:rsidR="00373E10" w:rsidRPr="000267E2" w:rsidRDefault="00BD2BE9" w:rsidP="000267E2">
      <w:pPr>
        <w:pStyle w:val="texto"/>
        <w:jc w:val="center"/>
      </w:pPr>
      <w:r w:rsidRPr="00BD2BE9">
        <w:rPr>
          <w:b/>
        </w:rPr>
        <w:t>REFERÊNCIAS</w:t>
      </w:r>
    </w:p>
    <w:p w:rsidR="00373E10" w:rsidRPr="00714BC1" w:rsidRDefault="00373E10" w:rsidP="00714BC1">
      <w:pPr>
        <w:pStyle w:val="refs"/>
        <w:rPr>
          <w:b/>
        </w:rPr>
      </w:pPr>
      <w:r>
        <w:t>BRAGA,</w:t>
      </w:r>
      <w:r w:rsidRPr="00B87227">
        <w:rPr>
          <w:color w:val="000000"/>
          <w:sz w:val="26"/>
          <w:szCs w:val="26"/>
        </w:rPr>
        <w:t xml:space="preserve"> </w:t>
      </w:r>
      <w:r>
        <w:rPr>
          <w:color w:val="000000"/>
          <w:sz w:val="26"/>
          <w:szCs w:val="26"/>
        </w:rPr>
        <w:t>Roberta Chaves.</w:t>
      </w:r>
      <w:r w:rsidRPr="00B87227">
        <w:t xml:space="preserve"> </w:t>
      </w:r>
      <w:r w:rsidRPr="004B2817">
        <w:rPr>
          <w:b/>
          <w:color w:val="000000"/>
          <w:sz w:val="26"/>
          <w:szCs w:val="26"/>
        </w:rPr>
        <w:t>Direito de propriedade e a Constituição</w:t>
      </w:r>
      <w:r w:rsidR="00714BC1" w:rsidRPr="00714BC1">
        <w:rPr>
          <w:b/>
          <w:color w:val="000000"/>
          <w:sz w:val="26"/>
          <w:szCs w:val="26"/>
        </w:rPr>
        <w:t xml:space="preserve"> </w:t>
      </w:r>
      <w:r w:rsidR="00714BC1" w:rsidRPr="004B2817">
        <w:rPr>
          <w:b/>
          <w:color w:val="000000"/>
          <w:sz w:val="26"/>
          <w:szCs w:val="26"/>
        </w:rPr>
        <w:t>Federal de 1988</w:t>
      </w:r>
      <w:r w:rsidR="00714BC1" w:rsidRPr="004B2817">
        <w:rPr>
          <w:color w:val="000000"/>
          <w:sz w:val="26"/>
          <w:szCs w:val="26"/>
        </w:rPr>
        <w:t>.</w:t>
      </w:r>
      <w:r w:rsidR="00714BC1" w:rsidRPr="004B2817">
        <w:rPr>
          <w:color w:val="000000"/>
        </w:rPr>
        <w:t xml:space="preserve"> </w:t>
      </w:r>
      <w:r w:rsidR="00714BC1">
        <w:rPr>
          <w:color w:val="000000"/>
        </w:rPr>
        <w:t>Fortaleza - Ceará, 20 de julho de 2009. Disponível em:</w:t>
      </w:r>
      <w:r w:rsidR="00714BC1" w:rsidRPr="004B2817">
        <w:rPr>
          <w:color w:val="000000"/>
        </w:rPr>
        <w:t xml:space="preserve"> http://portais.tjce.jus.br/esmec/wp-content/uploads/2014/12/Roberta-Chaves-Braga.pdf.</w:t>
      </w:r>
      <w:r w:rsidR="00714BC1" w:rsidRPr="004B2817">
        <w:rPr>
          <w:rFonts w:eastAsia="Calibri"/>
        </w:rPr>
        <w:t xml:space="preserve"> </w:t>
      </w:r>
      <w:r w:rsidR="00714BC1" w:rsidRPr="00BD2BE9">
        <w:rPr>
          <w:rFonts w:eastAsia="Calibri"/>
        </w:rPr>
        <w:t>Acesso em: 10 set. 2015</w:t>
      </w:r>
    </w:p>
    <w:p w:rsidR="00373E10" w:rsidRPr="004B2817" w:rsidRDefault="00373E10" w:rsidP="00714BC1">
      <w:pPr>
        <w:pStyle w:val="refs"/>
        <w:rPr>
          <w:b/>
          <w:color w:val="000000"/>
          <w:sz w:val="26"/>
          <w:szCs w:val="26"/>
        </w:rPr>
      </w:pPr>
    </w:p>
    <w:p w:rsidR="00373E10" w:rsidRDefault="00373E10" w:rsidP="00714BC1">
      <w:pPr>
        <w:pStyle w:val="refs"/>
      </w:pPr>
      <w:r w:rsidRPr="00BD2BE9">
        <w:t>BRANCO, Paulo Gustav</w:t>
      </w:r>
      <w:bookmarkStart w:id="0" w:name="_GoBack"/>
      <w:bookmarkEnd w:id="0"/>
      <w:r w:rsidRPr="00BD2BE9">
        <w:t xml:space="preserve">o </w:t>
      </w:r>
      <w:proofErr w:type="spellStart"/>
      <w:r w:rsidRPr="00BD2BE9">
        <w:t>Gonet</w:t>
      </w:r>
      <w:proofErr w:type="spellEnd"/>
      <w:r w:rsidRPr="00BD2BE9">
        <w:t xml:space="preserve">; MENDES, Gilmar Ferreira. </w:t>
      </w:r>
      <w:r w:rsidRPr="00BD2BE9">
        <w:rPr>
          <w:b/>
        </w:rPr>
        <w:t>Curso de Direito Constitucional</w:t>
      </w:r>
      <w:r w:rsidRPr="00BD2BE9">
        <w:t>.7 ed. São Paulo: Saraiva, 2012.</w:t>
      </w:r>
    </w:p>
    <w:p w:rsidR="00373E10" w:rsidRPr="00BD2BE9" w:rsidRDefault="00373E10" w:rsidP="00714BC1">
      <w:pPr>
        <w:pStyle w:val="refs"/>
      </w:pPr>
    </w:p>
    <w:p w:rsidR="00373E10" w:rsidRDefault="00373E10" w:rsidP="00714BC1">
      <w:pPr>
        <w:pStyle w:val="refs"/>
        <w:rPr>
          <w:rFonts w:eastAsia="Calibri"/>
        </w:rPr>
      </w:pPr>
      <w:r w:rsidRPr="00BD2BE9">
        <w:rPr>
          <w:rFonts w:eastAsia="Calibri"/>
        </w:rPr>
        <w:t xml:space="preserve">BRASIL. </w:t>
      </w:r>
      <w:r w:rsidRPr="00BD2BE9">
        <w:rPr>
          <w:rFonts w:eastAsia="Calibri"/>
          <w:b/>
        </w:rPr>
        <w:t>Constituição da República Federativa do Brasil de 1988</w:t>
      </w:r>
      <w:r w:rsidRPr="00BD2BE9">
        <w:rPr>
          <w:rFonts w:eastAsia="Calibri"/>
        </w:rPr>
        <w:t>. Presidência da República Casa Civil Subchefia para Assuntos Jurídicos. Disponível em: http://www.planalto.gov.br/ccivil_03/constituicao/constituicao.htm.  Acesso em: 10 set. 2015</w:t>
      </w:r>
    </w:p>
    <w:p w:rsidR="00373E10" w:rsidRPr="00BD2BE9" w:rsidRDefault="00373E10" w:rsidP="00714BC1">
      <w:pPr>
        <w:pStyle w:val="refs"/>
        <w:rPr>
          <w:rFonts w:eastAsia="Calibri"/>
        </w:rPr>
      </w:pPr>
    </w:p>
    <w:p w:rsidR="00714BC1" w:rsidRDefault="00714BC1" w:rsidP="00714BC1">
      <w:pPr>
        <w:pStyle w:val="refs"/>
        <w:rPr>
          <w:rFonts w:eastAsia="Calibri"/>
        </w:rPr>
      </w:pPr>
      <w:r w:rsidRPr="00BD2BE9">
        <w:rPr>
          <w:rFonts w:eastAsia="Calibri"/>
        </w:rPr>
        <w:t xml:space="preserve">BRASIL. </w:t>
      </w:r>
      <w:r w:rsidRPr="00714BC1">
        <w:rPr>
          <w:rFonts w:eastAsia="Calibri"/>
          <w:b/>
        </w:rPr>
        <w:t xml:space="preserve">LEI Nº 4.504, DE 30 DE NOVEMBRO DE </w:t>
      </w:r>
      <w:proofErr w:type="gramStart"/>
      <w:r w:rsidRPr="00714BC1">
        <w:rPr>
          <w:rFonts w:eastAsia="Calibri"/>
          <w:b/>
        </w:rPr>
        <w:t>1964.</w:t>
      </w:r>
      <w:r w:rsidRPr="00BD2BE9">
        <w:rPr>
          <w:rFonts w:eastAsia="Calibri"/>
        </w:rPr>
        <w:t>.</w:t>
      </w:r>
      <w:proofErr w:type="gramEnd"/>
      <w:r w:rsidRPr="00BD2BE9">
        <w:rPr>
          <w:rFonts w:eastAsia="Calibri"/>
        </w:rPr>
        <w:t xml:space="preserve"> Presidência da República Casa Civil Subchefia para Assuntos Jurídicos. Disponível em: </w:t>
      </w:r>
      <w:r w:rsidRPr="00714BC1">
        <w:rPr>
          <w:rFonts w:eastAsia="Calibri"/>
        </w:rPr>
        <w:t>http://www.planalto.gov.br/ccivil_03/Leis/L4504.htm</w:t>
      </w:r>
      <w:r>
        <w:rPr>
          <w:rFonts w:eastAsia="Calibri"/>
        </w:rPr>
        <w:t xml:space="preserve">. </w:t>
      </w:r>
      <w:r w:rsidRPr="00BD2BE9">
        <w:rPr>
          <w:rFonts w:eastAsia="Calibri"/>
        </w:rPr>
        <w:t>Acesso em: 10 set. 2015</w:t>
      </w:r>
    </w:p>
    <w:p w:rsidR="00714BC1" w:rsidRPr="00714BC1" w:rsidRDefault="00714BC1" w:rsidP="00714BC1">
      <w:pPr>
        <w:pStyle w:val="refs"/>
        <w:rPr>
          <w:rFonts w:eastAsia="Calibri"/>
        </w:rPr>
      </w:pPr>
    </w:p>
    <w:p w:rsidR="00373E10" w:rsidRPr="00714BC1" w:rsidRDefault="00373E10" w:rsidP="00714BC1">
      <w:pPr>
        <w:pStyle w:val="ref"/>
      </w:pPr>
      <w:r w:rsidRPr="00C8696D">
        <w:t xml:space="preserve">BRASIL. </w:t>
      </w:r>
      <w:proofErr w:type="gramStart"/>
      <w:r w:rsidRPr="00C8696D">
        <w:rPr>
          <w:b/>
        </w:rPr>
        <w:t>LEI No</w:t>
      </w:r>
      <w:proofErr w:type="gramEnd"/>
      <w:r w:rsidRPr="00C8696D">
        <w:rPr>
          <w:b/>
        </w:rPr>
        <w:t xml:space="preserve"> 10.406, DE 10 DE JANEIRO DE 2002</w:t>
      </w:r>
      <w:r w:rsidRPr="00C8696D">
        <w:t>.</w:t>
      </w:r>
      <w:r w:rsidRPr="00C8696D">
        <w:rPr>
          <w:rFonts w:ascii="Calibri" w:hAnsi="Calibri"/>
        </w:rPr>
        <w:t xml:space="preserve"> </w:t>
      </w:r>
      <w:r w:rsidRPr="00C8696D">
        <w:t xml:space="preserve">Institui o Código Civil. Presidência da República Casa Civil Subchefia para Assuntos Jurídicos. Disponível em: http://www.planalto.gov.br/ccivil_03/leis/2002/l10406.htm.  Acesso em: </w:t>
      </w:r>
      <w:r>
        <w:t>15</w:t>
      </w:r>
      <w:r w:rsidRPr="00C8696D">
        <w:t xml:space="preserve"> </w:t>
      </w:r>
      <w:r>
        <w:t>out</w:t>
      </w:r>
      <w:r w:rsidRPr="00C8696D">
        <w:t xml:space="preserve">. </w:t>
      </w:r>
      <w:proofErr w:type="gramStart"/>
      <w:r w:rsidRPr="00C8696D">
        <w:t>de</w:t>
      </w:r>
      <w:proofErr w:type="gramEnd"/>
      <w:r w:rsidRPr="00C8696D">
        <w:t xml:space="preserve"> 201</w:t>
      </w:r>
      <w:r>
        <w:t>5</w:t>
      </w:r>
      <w:r w:rsidRPr="00C8696D">
        <w:t>.</w:t>
      </w:r>
    </w:p>
    <w:p w:rsidR="00373E10" w:rsidRPr="00373E10" w:rsidRDefault="00373E10" w:rsidP="00714BC1">
      <w:pPr>
        <w:spacing w:line="240" w:lineRule="auto"/>
        <w:rPr>
          <w:rFonts w:ascii="Times New Roman" w:hAnsi="Times New Roman" w:cs="Times New Roman"/>
          <w:sz w:val="24"/>
          <w:szCs w:val="24"/>
        </w:rPr>
      </w:pPr>
      <w:r w:rsidRPr="00373E10">
        <w:rPr>
          <w:rFonts w:ascii="Times New Roman" w:hAnsi="Times New Roman" w:cs="Times New Roman"/>
          <w:sz w:val="24"/>
          <w:szCs w:val="24"/>
        </w:rPr>
        <w:t xml:space="preserve">COELHO, Fábio </w:t>
      </w:r>
      <w:proofErr w:type="spellStart"/>
      <w:r w:rsidRPr="00373E10">
        <w:rPr>
          <w:rFonts w:ascii="Times New Roman" w:hAnsi="Times New Roman" w:cs="Times New Roman"/>
          <w:sz w:val="24"/>
          <w:szCs w:val="24"/>
        </w:rPr>
        <w:t>Ulhoa</w:t>
      </w:r>
      <w:proofErr w:type="spellEnd"/>
      <w:r w:rsidRPr="00373E10">
        <w:rPr>
          <w:rFonts w:ascii="Times New Roman" w:hAnsi="Times New Roman" w:cs="Times New Roman"/>
          <w:sz w:val="24"/>
          <w:szCs w:val="24"/>
        </w:rPr>
        <w:t xml:space="preserve">. </w:t>
      </w:r>
      <w:r w:rsidRPr="00373E10">
        <w:rPr>
          <w:rFonts w:ascii="Times New Roman" w:hAnsi="Times New Roman" w:cs="Times New Roman"/>
          <w:b/>
          <w:sz w:val="24"/>
          <w:szCs w:val="24"/>
        </w:rPr>
        <w:t>Curso de direito civil, volume 4</w:t>
      </w:r>
      <w:r w:rsidRPr="00373E10">
        <w:rPr>
          <w:rFonts w:ascii="Times New Roman" w:hAnsi="Times New Roman" w:cs="Times New Roman"/>
          <w:sz w:val="24"/>
          <w:szCs w:val="24"/>
        </w:rPr>
        <w:t xml:space="preserve">: direito das coisas. 4. ed. </w:t>
      </w:r>
      <w:r>
        <w:rPr>
          <w:rFonts w:ascii="Times New Roman" w:hAnsi="Times New Roman" w:cs="Times New Roman"/>
          <w:sz w:val="24"/>
          <w:szCs w:val="24"/>
        </w:rPr>
        <w:t>São Paulo</w:t>
      </w:r>
      <w:r w:rsidRPr="00373E10">
        <w:rPr>
          <w:rFonts w:ascii="Times New Roman" w:hAnsi="Times New Roman" w:cs="Times New Roman"/>
          <w:sz w:val="24"/>
          <w:szCs w:val="24"/>
        </w:rPr>
        <w:t>:</w:t>
      </w:r>
      <w:r>
        <w:rPr>
          <w:rFonts w:ascii="Times New Roman" w:hAnsi="Times New Roman" w:cs="Times New Roman"/>
          <w:sz w:val="24"/>
          <w:szCs w:val="24"/>
        </w:rPr>
        <w:t xml:space="preserve"> </w:t>
      </w:r>
      <w:r w:rsidRPr="00373E10">
        <w:rPr>
          <w:rFonts w:ascii="Times New Roman" w:hAnsi="Times New Roman" w:cs="Times New Roman"/>
          <w:sz w:val="24"/>
          <w:szCs w:val="24"/>
        </w:rPr>
        <w:t>Saraiva, 2012.</w:t>
      </w:r>
    </w:p>
    <w:p w:rsidR="00373E10" w:rsidRPr="00BD2BE9" w:rsidRDefault="00373E10" w:rsidP="00714BC1">
      <w:pPr>
        <w:pStyle w:val="refs"/>
        <w:rPr>
          <w:rFonts w:eastAsia="Calibri"/>
        </w:rPr>
      </w:pPr>
      <w:r w:rsidRPr="00BD2BE9">
        <w:rPr>
          <w:rFonts w:eastAsia="Calibri"/>
        </w:rPr>
        <w:t>COSTA FILHO,</w:t>
      </w:r>
      <w:r w:rsidRPr="00BD2BE9">
        <w:rPr>
          <w:color w:val="000000"/>
        </w:rPr>
        <w:t xml:space="preserve"> </w:t>
      </w:r>
      <w:r w:rsidRPr="00BD2BE9">
        <w:rPr>
          <w:rFonts w:eastAsia="Calibri"/>
        </w:rPr>
        <w:t>Venceslau Tavares.</w:t>
      </w:r>
      <w:r w:rsidRPr="00BD2BE9">
        <w:t xml:space="preserve"> </w:t>
      </w:r>
      <w:r w:rsidRPr="00BD2BE9">
        <w:rPr>
          <w:rFonts w:eastAsia="Calibri"/>
          <w:b/>
        </w:rPr>
        <w:t xml:space="preserve">Constitucionalização do Direito Civil e eficácia dos direitos fundamentais nas relações entre particulares. </w:t>
      </w:r>
      <w:r w:rsidRPr="00BD2BE9">
        <w:rPr>
          <w:rFonts w:eastAsia="Calibri"/>
        </w:rPr>
        <w:t>Disponível em:</w:t>
      </w:r>
      <w:r w:rsidRPr="00BD2BE9">
        <w:t xml:space="preserve"> </w:t>
      </w:r>
      <w:r w:rsidRPr="00BD2BE9">
        <w:rPr>
          <w:rFonts w:eastAsia="Calibri"/>
        </w:rPr>
        <w:t xml:space="preserve">http://www.oab.org.br/editora/revista/users/revista/1235066798174218181901.pdf. Acesso </w:t>
      </w:r>
      <w:r w:rsidR="000267E2" w:rsidRPr="00BD2BE9">
        <w:rPr>
          <w:rFonts w:eastAsia="Calibri"/>
        </w:rPr>
        <w:t>em: 10 set. 2015</w:t>
      </w:r>
    </w:p>
    <w:p w:rsidR="00373E10" w:rsidRDefault="00373E10" w:rsidP="00714BC1">
      <w:pPr>
        <w:pStyle w:val="refs"/>
      </w:pPr>
    </w:p>
    <w:p w:rsidR="00373E10" w:rsidRPr="00BD2BE9" w:rsidRDefault="00373E10" w:rsidP="00714BC1">
      <w:pPr>
        <w:pStyle w:val="refs"/>
        <w:rPr>
          <w:b/>
        </w:rPr>
      </w:pPr>
      <w:r w:rsidRPr="00BD2BE9">
        <w:t xml:space="preserve">DIDIER JR, </w:t>
      </w:r>
      <w:proofErr w:type="spellStart"/>
      <w:r w:rsidRPr="00BD2BE9">
        <w:t>Fredie</w:t>
      </w:r>
      <w:proofErr w:type="spellEnd"/>
      <w:r w:rsidRPr="00BD2BE9">
        <w:t xml:space="preserve">. </w:t>
      </w:r>
      <w:r w:rsidRPr="00BD2BE9">
        <w:rPr>
          <w:b/>
        </w:rPr>
        <w:t xml:space="preserve">A função social da propriedade e a tutela processual da posse. </w:t>
      </w:r>
    </w:p>
    <w:p w:rsidR="00373E10" w:rsidRPr="00BD2BE9" w:rsidRDefault="00373E10" w:rsidP="00714BC1">
      <w:pPr>
        <w:pStyle w:val="refs"/>
        <w:rPr>
          <w:rFonts w:eastAsia="Calibri"/>
        </w:rPr>
      </w:pPr>
      <w:r w:rsidRPr="00BD2BE9">
        <w:lastRenderedPageBreak/>
        <w:t>Disponível em: http://www.mpma.mp.br/arquivos/CAOPDH/a-funcao-social-e-a-tutela-da-posse-fredie-didier.pdf. Acesso em:</w:t>
      </w:r>
      <w:r w:rsidRPr="00BD2BE9">
        <w:rPr>
          <w:rFonts w:eastAsia="Calibri"/>
        </w:rPr>
        <w:t xml:space="preserve"> 10 set. 2015</w:t>
      </w:r>
    </w:p>
    <w:p w:rsidR="00373E10" w:rsidRDefault="00373E10" w:rsidP="00714BC1">
      <w:pPr>
        <w:spacing w:after="0" w:line="240" w:lineRule="auto"/>
        <w:rPr>
          <w:rFonts w:ascii="Times New Roman" w:eastAsia="Times New Roman" w:hAnsi="Times New Roman" w:cs="Times New Roman"/>
          <w:sz w:val="24"/>
          <w:szCs w:val="24"/>
          <w:lang w:eastAsia="pt-BR"/>
        </w:rPr>
      </w:pPr>
    </w:p>
    <w:p w:rsidR="00373E10" w:rsidRPr="00590849" w:rsidRDefault="00373E10" w:rsidP="00714BC1">
      <w:pPr>
        <w:spacing w:after="0" w:line="240" w:lineRule="auto"/>
        <w:rPr>
          <w:rFonts w:ascii="Times New Roman" w:eastAsia="Times New Roman" w:hAnsi="Times New Roman" w:cs="Times New Roman"/>
          <w:sz w:val="24"/>
          <w:szCs w:val="24"/>
          <w:lang w:eastAsia="pt-BR"/>
        </w:rPr>
      </w:pPr>
      <w:r w:rsidRPr="00590849">
        <w:rPr>
          <w:rFonts w:ascii="Times New Roman" w:eastAsia="Times New Roman" w:hAnsi="Times New Roman" w:cs="Times New Roman"/>
          <w:sz w:val="24"/>
          <w:szCs w:val="24"/>
          <w:lang w:eastAsia="pt-BR"/>
        </w:rPr>
        <w:t xml:space="preserve">FERNANDES, Bernardo Gonçalves. </w:t>
      </w:r>
      <w:r w:rsidRPr="00590849">
        <w:rPr>
          <w:rFonts w:ascii="Times New Roman" w:eastAsia="Times New Roman" w:hAnsi="Times New Roman" w:cs="Times New Roman"/>
          <w:b/>
          <w:sz w:val="24"/>
          <w:szCs w:val="24"/>
          <w:lang w:eastAsia="pt-BR"/>
        </w:rPr>
        <w:t>Curso de Direito Constitucional</w:t>
      </w:r>
      <w:r w:rsidRPr="00590849">
        <w:rPr>
          <w:rFonts w:ascii="Times New Roman" w:eastAsia="Times New Roman" w:hAnsi="Times New Roman" w:cs="Times New Roman"/>
          <w:sz w:val="24"/>
          <w:szCs w:val="24"/>
          <w:lang w:eastAsia="pt-BR"/>
        </w:rPr>
        <w:t xml:space="preserve">. 6 ed. Salvador, BA: </w:t>
      </w:r>
      <w:proofErr w:type="spellStart"/>
      <w:r w:rsidRPr="00590849">
        <w:rPr>
          <w:rFonts w:ascii="Times New Roman" w:eastAsia="Times New Roman" w:hAnsi="Times New Roman" w:cs="Times New Roman"/>
          <w:sz w:val="24"/>
          <w:szCs w:val="24"/>
          <w:lang w:eastAsia="pt-BR"/>
        </w:rPr>
        <w:t>Juspodivm</w:t>
      </w:r>
      <w:proofErr w:type="spellEnd"/>
      <w:r w:rsidRPr="00590849">
        <w:rPr>
          <w:rFonts w:ascii="Times New Roman" w:eastAsia="Times New Roman" w:hAnsi="Times New Roman" w:cs="Times New Roman"/>
          <w:sz w:val="24"/>
          <w:szCs w:val="24"/>
          <w:lang w:eastAsia="pt-BR"/>
        </w:rPr>
        <w:t xml:space="preserve">, 2014. </w:t>
      </w:r>
    </w:p>
    <w:p w:rsidR="00373E10" w:rsidRDefault="00373E10" w:rsidP="00714BC1">
      <w:pPr>
        <w:pStyle w:val="refs"/>
        <w:rPr>
          <w:rFonts w:eastAsia="Calibri"/>
        </w:rPr>
      </w:pPr>
    </w:p>
    <w:p w:rsidR="00373E10" w:rsidRPr="00BD2BE9" w:rsidRDefault="00373E10" w:rsidP="00714BC1">
      <w:pPr>
        <w:pStyle w:val="refs"/>
        <w:rPr>
          <w:rFonts w:eastAsia="Calibri"/>
        </w:rPr>
      </w:pPr>
      <w:r w:rsidRPr="00BD2BE9">
        <w:rPr>
          <w:rFonts w:eastAsia="Calibri"/>
        </w:rPr>
        <w:t xml:space="preserve">GAZELLA, Gustavo </w:t>
      </w:r>
      <w:proofErr w:type="spellStart"/>
      <w:r w:rsidRPr="00BD2BE9">
        <w:rPr>
          <w:rFonts w:eastAsia="Calibri"/>
        </w:rPr>
        <w:t>Kratz</w:t>
      </w:r>
      <w:proofErr w:type="spellEnd"/>
      <w:r w:rsidRPr="00BD2BE9">
        <w:rPr>
          <w:rFonts w:eastAsia="Calibri"/>
        </w:rPr>
        <w:t xml:space="preserve">. </w:t>
      </w:r>
      <w:r w:rsidRPr="00BD2BE9">
        <w:rPr>
          <w:rFonts w:eastAsia="Calibri"/>
          <w:b/>
        </w:rPr>
        <w:t>Posse e ações possessórias</w:t>
      </w:r>
      <w:r w:rsidRPr="00BD2BE9">
        <w:rPr>
          <w:rFonts w:eastAsia="Calibri"/>
        </w:rPr>
        <w:t xml:space="preserve">. Coleção prática do direito; v. 14/ coordenação Edilson </w:t>
      </w:r>
      <w:proofErr w:type="spellStart"/>
      <w:r w:rsidRPr="00BD2BE9">
        <w:rPr>
          <w:rFonts w:eastAsia="Calibri"/>
        </w:rPr>
        <w:t>Mougenot</w:t>
      </w:r>
      <w:proofErr w:type="spellEnd"/>
      <w:r w:rsidRPr="00BD2BE9">
        <w:rPr>
          <w:rFonts w:eastAsia="Calibri"/>
        </w:rPr>
        <w:t xml:space="preserve"> Bonfim. São Paulo: Saraiva, 2009</w:t>
      </w:r>
    </w:p>
    <w:p w:rsidR="00373E10" w:rsidRDefault="00373E10" w:rsidP="00714BC1">
      <w:pPr>
        <w:pStyle w:val="refs"/>
      </w:pPr>
    </w:p>
    <w:p w:rsidR="00373E10" w:rsidRPr="00BD2BE9" w:rsidRDefault="00373E10" w:rsidP="00714BC1">
      <w:pPr>
        <w:pStyle w:val="refs"/>
      </w:pPr>
      <w:r w:rsidRPr="00BD2BE9">
        <w:t xml:space="preserve">GONÇALVES, Carlos Roberto. </w:t>
      </w:r>
      <w:r w:rsidRPr="00BD2BE9">
        <w:rPr>
          <w:b/>
        </w:rPr>
        <w:t xml:space="preserve">Direito civil brasileiro, volume </w:t>
      </w:r>
      <w:proofErr w:type="gramStart"/>
      <w:r w:rsidRPr="00BD2BE9">
        <w:rPr>
          <w:b/>
        </w:rPr>
        <w:t>5</w:t>
      </w:r>
      <w:r w:rsidRPr="00BD2BE9">
        <w:t xml:space="preserve"> :</w:t>
      </w:r>
      <w:proofErr w:type="gramEnd"/>
      <w:r w:rsidRPr="00BD2BE9">
        <w:t xml:space="preserve"> direito das coisas. 7. Ed. São Paulo: Saraiva, 2012.</w:t>
      </w:r>
    </w:p>
    <w:p w:rsidR="00373E10" w:rsidRDefault="00373E10" w:rsidP="00714BC1">
      <w:pPr>
        <w:pStyle w:val="refs"/>
        <w:rPr>
          <w:sz w:val="23"/>
          <w:szCs w:val="23"/>
        </w:rPr>
      </w:pPr>
    </w:p>
    <w:p w:rsidR="00373E10" w:rsidRPr="00BD2BE9" w:rsidRDefault="00373E10" w:rsidP="00714BC1">
      <w:pPr>
        <w:pStyle w:val="refs"/>
        <w:rPr>
          <w:rFonts w:eastAsia="Calibri"/>
        </w:rPr>
      </w:pPr>
      <w:r w:rsidRPr="00BD2BE9">
        <w:rPr>
          <w:sz w:val="23"/>
          <w:szCs w:val="23"/>
        </w:rPr>
        <w:t xml:space="preserve">GONÇALVES, Sérgio Luiz. </w:t>
      </w:r>
      <w:r w:rsidRPr="00BD2BE9">
        <w:t xml:space="preserve"> </w:t>
      </w:r>
      <w:r w:rsidRPr="00BD2BE9">
        <w:rPr>
          <w:bCs/>
        </w:rPr>
        <w:t>A função social da posse e da propriedade nos direitos reais enquanto instrumento de efetivação dos direitos fundamentais.</w:t>
      </w:r>
      <w:r w:rsidRPr="00BD2BE9">
        <w:t xml:space="preserve"> </w:t>
      </w:r>
      <w:r w:rsidRPr="00BD2BE9">
        <w:rPr>
          <w:b/>
        </w:rPr>
        <w:t xml:space="preserve">Revista da </w:t>
      </w:r>
      <w:proofErr w:type="spellStart"/>
      <w:r w:rsidRPr="00BD2BE9">
        <w:rPr>
          <w:b/>
        </w:rPr>
        <w:t>Unifebe</w:t>
      </w:r>
      <w:proofErr w:type="spellEnd"/>
      <w:r w:rsidRPr="00BD2BE9">
        <w:t xml:space="preserve"> (Online) 2012; 11 (dez):180-186.Artigo Original. Disponível em: http://www.unifebe.edu.br/revistadaunifebe/20122/artigo018.pdf. Acesso em:</w:t>
      </w:r>
      <w:r w:rsidRPr="00BD2BE9">
        <w:rPr>
          <w:rFonts w:eastAsia="Calibri"/>
        </w:rPr>
        <w:t xml:space="preserve"> 10 set. 2015</w:t>
      </w:r>
    </w:p>
    <w:p w:rsidR="00373E10" w:rsidRDefault="00373E10" w:rsidP="00714BC1">
      <w:pPr>
        <w:pStyle w:val="refs"/>
      </w:pPr>
    </w:p>
    <w:p w:rsidR="00373E10" w:rsidRDefault="00373E10" w:rsidP="00714BC1">
      <w:pPr>
        <w:pStyle w:val="refs"/>
        <w:rPr>
          <w:rFonts w:eastAsia="Calibri"/>
        </w:rPr>
      </w:pPr>
      <w:r w:rsidRPr="00BD2BE9">
        <w:t xml:space="preserve">LÔBO, Paulo Luiz Netto. </w:t>
      </w:r>
      <w:r w:rsidRPr="00BD2BE9">
        <w:rPr>
          <w:b/>
        </w:rPr>
        <w:t>Constitucionalização do Direito Civil</w:t>
      </w:r>
      <w:r w:rsidRPr="00BD2BE9">
        <w:t>. Disponível em: http://www.oab.org.br/editora/revista/users/revista/1235066798174218181901.pdf. Acesso em:</w:t>
      </w:r>
      <w:r w:rsidRPr="00BD2BE9">
        <w:rPr>
          <w:rFonts w:eastAsia="Calibri"/>
        </w:rPr>
        <w:t xml:space="preserve"> 10 set. 2015</w:t>
      </w:r>
    </w:p>
    <w:p w:rsidR="00714BC1" w:rsidRPr="00BD2BE9" w:rsidRDefault="00714BC1" w:rsidP="00714BC1">
      <w:pPr>
        <w:pStyle w:val="refs"/>
        <w:rPr>
          <w:rFonts w:eastAsia="Calibri"/>
        </w:rPr>
      </w:pPr>
    </w:p>
    <w:p w:rsidR="00373E10" w:rsidRDefault="00373E10" w:rsidP="00714BC1">
      <w:pPr>
        <w:pStyle w:val="refs"/>
        <w:rPr>
          <w:rFonts w:eastAsia="Calibri"/>
        </w:rPr>
      </w:pPr>
      <w:r w:rsidRPr="00BD2BE9">
        <w:t xml:space="preserve">MORAES FILHO, Odilon Carpes. </w:t>
      </w:r>
      <w:r w:rsidRPr="00BD2BE9">
        <w:rPr>
          <w:b/>
        </w:rPr>
        <w:t>A fun</w:t>
      </w:r>
      <w:r w:rsidRPr="00BD2BE9">
        <w:rPr>
          <w:rFonts w:hint="eastAsia"/>
          <w:b/>
        </w:rPr>
        <w:t>çã</w:t>
      </w:r>
      <w:r w:rsidRPr="00BD2BE9">
        <w:rPr>
          <w:b/>
        </w:rPr>
        <w:t>o social da posse e da propriedade nos direitos reais.</w:t>
      </w:r>
      <w:r w:rsidRPr="00BD2BE9">
        <w:t xml:space="preserve"> Disponível em: http://www.amprs.org.br/arquivos/comunicao_noticia/odilonm2.pdf Acesso em:</w:t>
      </w:r>
      <w:r w:rsidRPr="00BD2BE9">
        <w:rPr>
          <w:rFonts w:eastAsia="Calibri"/>
        </w:rPr>
        <w:t xml:space="preserve"> 14 set. 2015</w:t>
      </w:r>
    </w:p>
    <w:p w:rsidR="00F55D69" w:rsidRPr="00373E10" w:rsidRDefault="00F55D69" w:rsidP="00714BC1">
      <w:pPr>
        <w:pStyle w:val="refs"/>
        <w:rPr>
          <w:rFonts w:eastAsia="Calibri"/>
        </w:rPr>
      </w:pPr>
    </w:p>
    <w:p w:rsidR="00373E10" w:rsidRDefault="00373E10" w:rsidP="00714BC1">
      <w:pPr>
        <w:spacing w:line="240" w:lineRule="auto"/>
        <w:rPr>
          <w:rFonts w:ascii="Times New Roman" w:hAnsi="Times New Roman" w:cs="Times New Roman"/>
          <w:sz w:val="24"/>
          <w:szCs w:val="24"/>
        </w:rPr>
      </w:pPr>
      <w:r w:rsidRPr="00490F68">
        <w:rPr>
          <w:rFonts w:ascii="Times New Roman" w:hAnsi="Times New Roman" w:cs="Times New Roman"/>
          <w:sz w:val="24"/>
          <w:szCs w:val="24"/>
        </w:rPr>
        <w:t xml:space="preserve">SARLET, Ingo Wolfgang. </w:t>
      </w:r>
      <w:r w:rsidRPr="00490F68">
        <w:rPr>
          <w:rFonts w:ascii="Times New Roman" w:hAnsi="Times New Roman" w:cs="Times New Roman"/>
          <w:b/>
          <w:sz w:val="24"/>
          <w:szCs w:val="24"/>
        </w:rPr>
        <w:t>A Eficácia dos Direitos Fundamentais</w:t>
      </w:r>
      <w:r>
        <w:rPr>
          <w:rFonts w:ascii="Times New Roman" w:hAnsi="Times New Roman" w:cs="Times New Roman"/>
          <w:sz w:val="24"/>
          <w:szCs w:val="24"/>
        </w:rPr>
        <w:t xml:space="preserve">: uma teoria geral dos </w:t>
      </w:r>
      <w:r w:rsidRPr="00490F68">
        <w:rPr>
          <w:rFonts w:ascii="Times New Roman" w:hAnsi="Times New Roman" w:cs="Times New Roman"/>
          <w:sz w:val="24"/>
          <w:szCs w:val="24"/>
        </w:rPr>
        <w:t>direitos fundamentais na perspectiva constitucional.</w:t>
      </w:r>
      <w:proofErr w:type="gramStart"/>
      <w:r w:rsidRPr="00490F68">
        <w:rPr>
          <w:rFonts w:ascii="Times New Roman" w:hAnsi="Times New Roman" w:cs="Times New Roman"/>
          <w:sz w:val="24"/>
          <w:szCs w:val="24"/>
        </w:rPr>
        <w:t>10 ed.</w:t>
      </w:r>
      <w:proofErr w:type="gramEnd"/>
      <w:r w:rsidRPr="00490F68">
        <w:rPr>
          <w:rFonts w:ascii="Times New Roman" w:hAnsi="Times New Roman" w:cs="Times New Roman"/>
          <w:sz w:val="24"/>
          <w:szCs w:val="24"/>
        </w:rPr>
        <w:t xml:space="preserve"> rev. atual. </w:t>
      </w:r>
      <w:proofErr w:type="spellStart"/>
      <w:proofErr w:type="gramStart"/>
      <w:r w:rsidRPr="00490F68">
        <w:rPr>
          <w:rFonts w:ascii="Times New Roman" w:hAnsi="Times New Roman" w:cs="Times New Roman"/>
          <w:sz w:val="24"/>
          <w:szCs w:val="24"/>
        </w:rPr>
        <w:t>ampl</w:t>
      </w:r>
      <w:proofErr w:type="spellEnd"/>
      <w:proofErr w:type="gramEnd"/>
      <w:r w:rsidRPr="00490F68">
        <w:rPr>
          <w:rFonts w:ascii="Times New Roman" w:hAnsi="Times New Roman" w:cs="Times New Roman"/>
          <w:sz w:val="24"/>
          <w:szCs w:val="24"/>
        </w:rPr>
        <w:t>.; Porto Alegre: Livraria do Advogado, 2010</w:t>
      </w:r>
    </w:p>
    <w:p w:rsidR="00F55D69" w:rsidRPr="002051DC" w:rsidRDefault="00F55D69" w:rsidP="00F55D69">
      <w:pPr>
        <w:spacing w:line="240" w:lineRule="auto"/>
        <w:rPr>
          <w:rFonts w:ascii="Times New Roman" w:hAnsi="Times New Roman" w:cs="Times New Roman"/>
          <w:sz w:val="24"/>
          <w:szCs w:val="24"/>
        </w:rPr>
      </w:pPr>
      <w:r w:rsidRPr="002051DC">
        <w:rPr>
          <w:rFonts w:ascii="Times New Roman" w:hAnsi="Times New Roman" w:cs="Times New Roman"/>
          <w:sz w:val="24"/>
          <w:szCs w:val="24"/>
        </w:rPr>
        <w:t>SARLET,</w:t>
      </w:r>
      <w:r w:rsidRPr="002051DC">
        <w:rPr>
          <w:rFonts w:ascii="Times New Roman" w:hAnsi="Times New Roman" w:cs="Times New Roman"/>
          <w:color w:val="000000"/>
          <w:sz w:val="18"/>
          <w:szCs w:val="18"/>
        </w:rPr>
        <w:t xml:space="preserve"> </w:t>
      </w:r>
      <w:r w:rsidRPr="002051DC">
        <w:rPr>
          <w:rFonts w:ascii="Times New Roman" w:hAnsi="Times New Roman" w:cs="Times New Roman"/>
          <w:sz w:val="24"/>
          <w:szCs w:val="24"/>
        </w:rPr>
        <w:t>Wolfgang.</w:t>
      </w:r>
      <w:r w:rsidRPr="002051DC">
        <w:rPr>
          <w:rFonts w:ascii="Times New Roman" w:hAnsi="Times New Roman" w:cs="Times New Roman"/>
          <w:color w:val="000000"/>
          <w:sz w:val="24"/>
          <w:szCs w:val="24"/>
        </w:rPr>
        <w:t xml:space="preserve"> </w:t>
      </w:r>
      <w:r w:rsidRPr="002051DC">
        <w:rPr>
          <w:rFonts w:ascii="Times New Roman" w:hAnsi="Times New Roman" w:cs="Times New Roman"/>
          <w:sz w:val="24"/>
          <w:szCs w:val="24"/>
        </w:rPr>
        <w:t>Os Direitos Sociais como Direitos Fundamentais: contributo para um balanço aos vinte anos da Constituição Federal de 1988.</w:t>
      </w:r>
      <w:r w:rsidRPr="002051DC">
        <w:rPr>
          <w:color w:val="000000"/>
          <w:sz w:val="18"/>
          <w:szCs w:val="18"/>
        </w:rPr>
        <w:t xml:space="preserve"> </w:t>
      </w:r>
      <w:r w:rsidRPr="002051DC">
        <w:rPr>
          <w:rFonts w:ascii="Times New Roman" w:hAnsi="Times New Roman" w:cs="Times New Roman"/>
          <w:b/>
          <w:sz w:val="24"/>
          <w:szCs w:val="24"/>
        </w:rPr>
        <w:t>Revista do Instituto de Hermenêutica Jurídica.</w:t>
      </w:r>
      <w:r w:rsidRPr="002051DC">
        <w:rPr>
          <w:rFonts w:ascii="Times New Roman" w:hAnsi="Times New Roman" w:cs="Times New Roman"/>
          <w:sz w:val="24"/>
          <w:szCs w:val="24"/>
        </w:rPr>
        <w:t xml:space="preserve"> 20 Anos de Constitucionalismo Democrático – E Agora? Porto Alegre-Belo Horizonte, 2008, p.163-206.</w:t>
      </w:r>
    </w:p>
    <w:p w:rsidR="00F55D69" w:rsidRPr="002051DC" w:rsidRDefault="00F55D69" w:rsidP="00F55D69">
      <w:pPr>
        <w:spacing w:line="240" w:lineRule="auto"/>
        <w:rPr>
          <w:rFonts w:ascii="Times New Roman" w:hAnsi="Times New Roman" w:cs="Times New Roman"/>
          <w:sz w:val="24"/>
          <w:szCs w:val="24"/>
        </w:rPr>
      </w:pPr>
    </w:p>
    <w:p w:rsidR="00132FA4" w:rsidRPr="00132FA4" w:rsidRDefault="00132FA4" w:rsidP="00132FA4">
      <w:pPr>
        <w:spacing w:after="0" w:line="240" w:lineRule="auto"/>
        <w:rPr>
          <w:rFonts w:ascii="Times New Roman" w:eastAsia="Calibri" w:hAnsi="Times New Roman" w:cs="Times New Roman"/>
          <w:b/>
          <w:sz w:val="24"/>
          <w:szCs w:val="24"/>
        </w:rPr>
      </w:pPr>
    </w:p>
    <w:sectPr w:rsidR="00132FA4" w:rsidRPr="00132FA4" w:rsidSect="009B70A9">
      <w:pgSz w:w="11906" w:h="16838"/>
      <w:pgMar w:top="1701"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54" w:rsidRDefault="008F0E54" w:rsidP="00132FA4">
      <w:pPr>
        <w:spacing w:after="0" w:line="240" w:lineRule="auto"/>
      </w:pPr>
      <w:r>
        <w:separator/>
      </w:r>
    </w:p>
  </w:endnote>
  <w:endnote w:type="continuationSeparator" w:id="0">
    <w:p w:rsidR="008F0E54" w:rsidRDefault="008F0E54" w:rsidP="0013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54" w:rsidRDefault="008F0E54" w:rsidP="00132FA4">
      <w:pPr>
        <w:spacing w:after="0" w:line="240" w:lineRule="auto"/>
      </w:pPr>
      <w:r>
        <w:separator/>
      </w:r>
    </w:p>
  </w:footnote>
  <w:footnote w:type="continuationSeparator" w:id="0">
    <w:p w:rsidR="008F0E54" w:rsidRDefault="008F0E54" w:rsidP="00132FA4">
      <w:pPr>
        <w:spacing w:after="0" w:line="240" w:lineRule="auto"/>
      </w:pPr>
      <w:r>
        <w:continuationSeparator/>
      </w:r>
    </w:p>
  </w:footnote>
  <w:footnote w:id="1">
    <w:p w:rsidR="00132FA4" w:rsidRPr="00A72E08" w:rsidRDefault="00132FA4" w:rsidP="00132FA4">
      <w:pPr>
        <w:pStyle w:val="Textodenotaderodap"/>
        <w:rPr>
          <w:rFonts w:ascii="Times New Roman" w:hAnsi="Times New Roman" w:cs="Times New Roman"/>
        </w:rPr>
      </w:pPr>
      <w:r>
        <w:rPr>
          <w:rStyle w:val="Refdenotaderodap"/>
        </w:rPr>
        <w:footnoteRef/>
      </w:r>
      <w:r>
        <w:t xml:space="preserve"> </w:t>
      </w:r>
      <w:proofErr w:type="spellStart"/>
      <w:r w:rsidRPr="00A72E08">
        <w:rPr>
          <w:rFonts w:ascii="Times New Roman" w:hAnsi="Times New Roman" w:cs="Times New Roman"/>
        </w:rPr>
        <w:t>Paper</w:t>
      </w:r>
      <w:proofErr w:type="spellEnd"/>
      <w:r w:rsidRPr="00A72E08">
        <w:rPr>
          <w:rFonts w:ascii="Times New Roman" w:hAnsi="Times New Roman" w:cs="Times New Roman"/>
        </w:rPr>
        <w:t xml:space="preserve"> apresentado à disciplina </w:t>
      </w:r>
      <w:r>
        <w:rPr>
          <w:rFonts w:ascii="Times New Roman" w:hAnsi="Times New Roman" w:cs="Times New Roman"/>
        </w:rPr>
        <w:t>Direitos Reais</w:t>
      </w:r>
      <w:r w:rsidRPr="00A72E08">
        <w:rPr>
          <w:rFonts w:ascii="Times New Roman" w:hAnsi="Times New Roman" w:cs="Times New Roman"/>
        </w:rPr>
        <w:t>, da Unidade de Ensino Superior Dom Bosco - UNDB.</w:t>
      </w:r>
    </w:p>
  </w:footnote>
  <w:footnote w:id="2">
    <w:p w:rsidR="00132FA4" w:rsidRPr="00A72E08" w:rsidRDefault="00132FA4" w:rsidP="00132FA4">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Aluno do </w:t>
      </w:r>
      <w:r>
        <w:rPr>
          <w:rFonts w:ascii="Times New Roman" w:hAnsi="Times New Roman" w:cs="Times New Roman"/>
        </w:rPr>
        <w:t>5</w:t>
      </w:r>
      <w:r w:rsidRPr="00A72E08">
        <w:rPr>
          <w:rFonts w:ascii="Times New Roman" w:hAnsi="Times New Roman" w:cs="Times New Roman"/>
        </w:rPr>
        <w:t>º período do Curso de Direito, da UNDB.</w:t>
      </w:r>
    </w:p>
  </w:footnote>
  <w:footnote w:id="3">
    <w:p w:rsidR="00132FA4" w:rsidRPr="00A72E08" w:rsidRDefault="00132FA4" w:rsidP="00132FA4">
      <w:pPr>
        <w:pStyle w:val="Textodenotaderodap"/>
        <w:rPr>
          <w:rFonts w:ascii="Times New Roman" w:hAnsi="Times New Roman" w:cs="Times New Roman"/>
        </w:rPr>
      </w:pPr>
      <w:r w:rsidRPr="00A72E08">
        <w:rPr>
          <w:rStyle w:val="Refdenotaderodap"/>
          <w:rFonts w:ascii="Times New Roman" w:hAnsi="Times New Roman" w:cs="Times New Roman"/>
        </w:rPr>
        <w:footnoteRef/>
      </w:r>
      <w:r w:rsidRPr="00A72E08">
        <w:rPr>
          <w:rFonts w:ascii="Times New Roman" w:hAnsi="Times New Roman" w:cs="Times New Roman"/>
        </w:rPr>
        <w:t xml:space="preserve"> Aluna do </w:t>
      </w:r>
      <w:r>
        <w:rPr>
          <w:rFonts w:ascii="Times New Roman" w:hAnsi="Times New Roman" w:cs="Times New Roman"/>
        </w:rPr>
        <w:t>5</w:t>
      </w:r>
      <w:r w:rsidRPr="00A72E08">
        <w:rPr>
          <w:rFonts w:ascii="Times New Roman" w:hAnsi="Times New Roman" w:cs="Times New Roman"/>
        </w:rPr>
        <w:t>º período do Curso de Direito, da UNDB</w:t>
      </w:r>
      <w:r>
        <w:rPr>
          <w:rFonts w:ascii="Times New Roman" w:hAnsi="Times New Roman" w:cs="Times New Roman"/>
        </w:rPr>
        <w:t>.</w:t>
      </w:r>
    </w:p>
  </w:footnote>
  <w:footnote w:id="4">
    <w:p w:rsidR="00132FA4" w:rsidRDefault="00132FA4" w:rsidP="00132FA4">
      <w:pPr>
        <w:pStyle w:val="Textodenotaderodap"/>
      </w:pPr>
      <w:r w:rsidRPr="00A72E08">
        <w:rPr>
          <w:rStyle w:val="Refdenotaderodap"/>
          <w:rFonts w:ascii="Times New Roman" w:hAnsi="Times New Roman" w:cs="Times New Roman"/>
        </w:rPr>
        <w:footnoteRef/>
      </w:r>
      <w:r w:rsidRPr="00A72E08">
        <w:rPr>
          <w:rFonts w:ascii="Times New Roman" w:hAnsi="Times New Roman" w:cs="Times New Roman"/>
        </w:rPr>
        <w:t xml:space="preserve"> </w:t>
      </w:r>
      <w:r w:rsidRPr="00132FA4">
        <w:rPr>
          <w:rFonts w:ascii="Times New Roman" w:hAnsi="Times New Roman" w:cs="Times New Roman"/>
        </w:rPr>
        <w:t>Profe</w:t>
      </w:r>
      <w:r>
        <w:rPr>
          <w:rFonts w:ascii="Times New Roman" w:hAnsi="Times New Roman" w:cs="Times New Roman"/>
        </w:rPr>
        <w:t>ssora Especialista, Orientadora</w:t>
      </w:r>
      <w:r w:rsidRPr="00A72E08">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C3F"/>
    <w:multiLevelType w:val="multilevel"/>
    <w:tmpl w:val="FE5245EC"/>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DFF2AB3"/>
    <w:multiLevelType w:val="multilevel"/>
    <w:tmpl w:val="834A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C72C60"/>
    <w:multiLevelType w:val="multilevel"/>
    <w:tmpl w:val="E6747490"/>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68E5365"/>
    <w:multiLevelType w:val="hybridMultilevel"/>
    <w:tmpl w:val="73F4F56C"/>
    <w:lvl w:ilvl="0" w:tplc="76E6B8A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E4D3255"/>
    <w:multiLevelType w:val="hybridMultilevel"/>
    <w:tmpl w:val="62B8B32A"/>
    <w:lvl w:ilvl="0" w:tplc="47CE2AD4">
      <w:start w:val="4"/>
      <w:numFmt w:val="decimal"/>
      <w:lvlText w:val="%1"/>
      <w:lvlJc w:val="left"/>
      <w:pPr>
        <w:ind w:left="360" w:hanging="360"/>
      </w:pPr>
      <w:rPr>
        <w:rFonts w:hint="default"/>
      </w:rPr>
    </w:lvl>
    <w:lvl w:ilvl="1" w:tplc="04160019">
      <w:start w:val="1"/>
      <w:numFmt w:val="lowerLetter"/>
      <w:lvlText w:val="%2."/>
      <w:lvlJc w:val="left"/>
      <w:pPr>
        <w:ind w:left="1069"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A4"/>
    <w:rsid w:val="000267E2"/>
    <w:rsid w:val="00090517"/>
    <w:rsid w:val="00101944"/>
    <w:rsid w:val="0010447A"/>
    <w:rsid w:val="0012092F"/>
    <w:rsid w:val="00132FA4"/>
    <w:rsid w:val="001A25B2"/>
    <w:rsid w:val="002B22C6"/>
    <w:rsid w:val="00300851"/>
    <w:rsid w:val="00320A0A"/>
    <w:rsid w:val="00373E10"/>
    <w:rsid w:val="00415D67"/>
    <w:rsid w:val="00430109"/>
    <w:rsid w:val="0047381C"/>
    <w:rsid w:val="004808F9"/>
    <w:rsid w:val="004965FA"/>
    <w:rsid w:val="004B2817"/>
    <w:rsid w:val="004B47FD"/>
    <w:rsid w:val="004D2FF3"/>
    <w:rsid w:val="004E2740"/>
    <w:rsid w:val="005735FF"/>
    <w:rsid w:val="005801DD"/>
    <w:rsid w:val="00590849"/>
    <w:rsid w:val="005C023C"/>
    <w:rsid w:val="0062007F"/>
    <w:rsid w:val="00714BC1"/>
    <w:rsid w:val="00721349"/>
    <w:rsid w:val="0075153F"/>
    <w:rsid w:val="00760594"/>
    <w:rsid w:val="00764CF2"/>
    <w:rsid w:val="007F164C"/>
    <w:rsid w:val="00883ABD"/>
    <w:rsid w:val="008B0E6C"/>
    <w:rsid w:val="008E5398"/>
    <w:rsid w:val="008F0E54"/>
    <w:rsid w:val="009412D8"/>
    <w:rsid w:val="009B7F80"/>
    <w:rsid w:val="00A83EFE"/>
    <w:rsid w:val="00B210B0"/>
    <w:rsid w:val="00B87227"/>
    <w:rsid w:val="00BB3A7C"/>
    <w:rsid w:val="00BD2BE9"/>
    <w:rsid w:val="00C6467A"/>
    <w:rsid w:val="00C6510D"/>
    <w:rsid w:val="00C97905"/>
    <w:rsid w:val="00CA55C9"/>
    <w:rsid w:val="00CC555E"/>
    <w:rsid w:val="00CE76BC"/>
    <w:rsid w:val="00D25115"/>
    <w:rsid w:val="00D46A44"/>
    <w:rsid w:val="00D70766"/>
    <w:rsid w:val="00DB41E9"/>
    <w:rsid w:val="00E06004"/>
    <w:rsid w:val="00E468A1"/>
    <w:rsid w:val="00E87D8C"/>
    <w:rsid w:val="00ED2523"/>
    <w:rsid w:val="00EF0294"/>
    <w:rsid w:val="00F55D69"/>
    <w:rsid w:val="00FF64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26BB"/>
  <w15:chartTrackingRefBased/>
  <w15:docId w15:val="{E6E4C437-52AE-4132-A71E-C18A490DB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132FA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32FA4"/>
    <w:rPr>
      <w:sz w:val="20"/>
      <w:szCs w:val="20"/>
    </w:rPr>
  </w:style>
  <w:style w:type="character" w:styleId="Refdenotaderodap">
    <w:name w:val="footnote reference"/>
    <w:basedOn w:val="Fontepargpadro"/>
    <w:uiPriority w:val="99"/>
    <w:semiHidden/>
    <w:unhideWhenUsed/>
    <w:rsid w:val="00132FA4"/>
    <w:rPr>
      <w:vertAlign w:val="superscript"/>
    </w:rPr>
  </w:style>
  <w:style w:type="paragraph" w:styleId="PargrafodaLista">
    <w:name w:val="List Paragraph"/>
    <w:basedOn w:val="Normal"/>
    <w:uiPriority w:val="34"/>
    <w:qFormat/>
    <w:rsid w:val="00BD2BE9"/>
    <w:pPr>
      <w:ind w:left="720"/>
      <w:contextualSpacing/>
    </w:pPr>
  </w:style>
  <w:style w:type="paragraph" w:customStyle="1" w:styleId="refs">
    <w:name w:val="refs"/>
    <w:basedOn w:val="Normal"/>
    <w:qFormat/>
    <w:rsid w:val="00E06004"/>
    <w:pPr>
      <w:spacing w:after="0" w:line="240" w:lineRule="auto"/>
    </w:pPr>
    <w:rPr>
      <w:rFonts w:ascii="Times New Roman" w:eastAsia="Times New Roman" w:hAnsi="Times New Roman" w:cs="Times New Roman"/>
      <w:sz w:val="24"/>
      <w:szCs w:val="24"/>
      <w:lang w:eastAsia="pt-BR"/>
    </w:rPr>
  </w:style>
  <w:style w:type="paragraph" w:customStyle="1" w:styleId="citdirlonga">
    <w:name w:val="cit dir longa"/>
    <w:basedOn w:val="Normal"/>
    <w:qFormat/>
    <w:rsid w:val="00E06004"/>
    <w:pPr>
      <w:spacing w:after="200" w:line="240" w:lineRule="auto"/>
      <w:ind w:left="2268"/>
      <w:jc w:val="both"/>
    </w:pPr>
    <w:rPr>
      <w:rFonts w:ascii="Times New Roman" w:eastAsia="Calibri" w:hAnsi="Times New Roman" w:cs="Times New Roman"/>
      <w:noProof/>
      <w:sz w:val="20"/>
      <w:szCs w:val="20"/>
    </w:rPr>
  </w:style>
  <w:style w:type="paragraph" w:customStyle="1" w:styleId="texto">
    <w:name w:val="texto"/>
    <w:basedOn w:val="Normal"/>
    <w:qFormat/>
    <w:rsid w:val="00E06004"/>
    <w:pPr>
      <w:spacing w:after="200" w:line="360" w:lineRule="auto"/>
      <w:ind w:firstLine="1134"/>
      <w:jc w:val="both"/>
    </w:pPr>
    <w:rPr>
      <w:rFonts w:ascii="Times New Roman" w:eastAsia="Calibri" w:hAnsi="Times New Roman" w:cs="Times New Roman"/>
      <w:noProof/>
      <w:sz w:val="24"/>
      <w:szCs w:val="24"/>
    </w:rPr>
  </w:style>
  <w:style w:type="paragraph" w:customStyle="1" w:styleId="Estilo3">
    <w:name w:val="Estilo3"/>
    <w:basedOn w:val="Normal"/>
    <w:qFormat/>
    <w:rsid w:val="00DB41E9"/>
    <w:pPr>
      <w:spacing w:after="200" w:line="360" w:lineRule="auto"/>
      <w:ind w:firstLine="1134"/>
      <w:jc w:val="both"/>
    </w:pPr>
    <w:rPr>
      <w:rFonts w:ascii="Times New Roman" w:hAnsi="Times New Roman" w:cs="Times New Roman"/>
      <w:sz w:val="24"/>
      <w:szCs w:val="24"/>
    </w:rPr>
  </w:style>
  <w:style w:type="paragraph" w:customStyle="1" w:styleId="ref">
    <w:name w:val="ref"/>
    <w:basedOn w:val="Normal"/>
    <w:qFormat/>
    <w:rsid w:val="00373E10"/>
    <w:pPr>
      <w:spacing w:after="200" w:line="240" w:lineRule="auto"/>
    </w:pPr>
    <w:rPr>
      <w:rFonts w:ascii="Times New Roman" w:hAnsi="Times New Roman" w:cs="Times New Roman"/>
      <w:sz w:val="24"/>
      <w:szCs w:val="24"/>
    </w:rPr>
  </w:style>
  <w:style w:type="character" w:styleId="Hyperlink">
    <w:name w:val="Hyperlink"/>
    <w:basedOn w:val="Fontepargpadro"/>
    <w:uiPriority w:val="99"/>
    <w:unhideWhenUsed/>
    <w:rsid w:val="00714B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4422</Words>
  <Characters>23881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ajf_murici@hotmail.com</dc:creator>
  <cp:keywords/>
  <dc:description/>
  <cp:lastModifiedBy>ajf_murici@hotmail.com</cp:lastModifiedBy>
  <cp:revision>8</cp:revision>
  <dcterms:created xsi:type="dcterms:W3CDTF">2015-10-25T02:52:00Z</dcterms:created>
  <dcterms:modified xsi:type="dcterms:W3CDTF">2015-10-25T20:05:00Z</dcterms:modified>
</cp:coreProperties>
</file>