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58E" w:rsidRPr="008E41AA" w:rsidRDefault="0042658E" w:rsidP="004265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5B28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3DE1A" wp14:editId="6B9C35B4">
                <wp:simplePos x="0" y="0"/>
                <wp:positionH relativeFrom="column">
                  <wp:posOffset>4090670</wp:posOffset>
                </wp:positionH>
                <wp:positionV relativeFrom="paragraph">
                  <wp:posOffset>-694690</wp:posOffset>
                </wp:positionV>
                <wp:extent cx="2374265" cy="1403985"/>
                <wp:effectExtent l="0" t="0" r="20320" b="1460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58E" w:rsidRDefault="0042658E" w:rsidP="0042658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F3DE1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22.1pt;margin-top:-54.7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" strokecolor="white [3212]">
                <v:textbox style="mso-fit-shape-to-text:t">
                  <w:txbxContent>
                    <w:p w:rsidR="0042658E" w:rsidRDefault="0042658E" w:rsidP="0042658E"/>
                  </w:txbxContent>
                </v:textbox>
              </v:shape>
            </w:pict>
          </mc:Fallback>
        </mc:AlternateContent>
      </w:r>
      <w:r w:rsidRPr="00864F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41AA">
        <w:rPr>
          <w:rFonts w:ascii="Times New Roman" w:hAnsi="Times New Roman" w:cs="Times New Roman"/>
          <w:b/>
          <w:sz w:val="24"/>
          <w:szCs w:val="24"/>
        </w:rPr>
        <w:t>CASE</w:t>
      </w:r>
      <w:r w:rsidR="008E41AA" w:rsidRPr="008E41AA">
        <w:rPr>
          <w:rFonts w:ascii="Times New Roman" w:hAnsi="Times New Roman" w:cs="Times New Roman"/>
          <w:b/>
          <w:sz w:val="24"/>
          <w:szCs w:val="24"/>
        </w:rPr>
        <w:t>:</w:t>
      </w:r>
      <w:r w:rsidR="008E41AA" w:rsidRPr="008E41A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EXECUÇÃO POR QUANTIA CERTA FUNDADA EM TÍTULO EXTRAJUDICIAL</w:t>
      </w:r>
      <w:r w:rsidRPr="008E41AA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:rsidR="0042658E" w:rsidRPr="00864F1A" w:rsidRDefault="0042658E" w:rsidP="0042658E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42658E" w:rsidRPr="00321F21" w:rsidRDefault="0042658E" w:rsidP="0042658E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321F21">
        <w:rPr>
          <w:rFonts w:ascii="Times New Roman" w:hAnsi="Times New Roman" w:cs="Times New Roman"/>
          <w:bCs/>
          <w:iCs/>
          <w:sz w:val="24"/>
          <w:szCs w:val="24"/>
        </w:rPr>
        <w:t>Letícia de Lima Farias</w:t>
      </w:r>
      <w:r w:rsidRPr="00321F21">
        <w:rPr>
          <w:rStyle w:val="Refdenotaderodap"/>
          <w:rFonts w:ascii="Times New Roman" w:hAnsi="Times New Roman" w:cs="Times New Roman"/>
          <w:bCs/>
          <w:iCs/>
          <w:sz w:val="24"/>
          <w:szCs w:val="24"/>
        </w:rPr>
        <w:footnoteReference w:id="2"/>
      </w:r>
    </w:p>
    <w:p w:rsidR="0042658E" w:rsidRPr="00864F1A" w:rsidRDefault="0042658E" w:rsidP="004265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2658E" w:rsidRDefault="0042658E" w:rsidP="006521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softHyphen/>
        <w:t xml:space="preserve">1 </w:t>
      </w:r>
      <w:r w:rsidRPr="00864F1A">
        <w:rPr>
          <w:rFonts w:ascii="Times New Roman" w:hAnsi="Times New Roman" w:cs="Times New Roman"/>
          <w:b/>
          <w:sz w:val="24"/>
          <w:szCs w:val="24"/>
        </w:rPr>
        <w:t>DESCRIÇÃO DO CASO</w:t>
      </w:r>
    </w:p>
    <w:p w:rsidR="004C5601" w:rsidRDefault="004C5601" w:rsidP="006521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2124" w:rsidRDefault="004C5601" w:rsidP="00A22B9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C5601">
        <w:rPr>
          <w:rFonts w:ascii="Times New Roman" w:hAnsi="Times New Roman" w:cs="Times New Roman"/>
          <w:sz w:val="24"/>
          <w:szCs w:val="24"/>
        </w:rPr>
        <w:t xml:space="preserve">Calebe </w:t>
      </w:r>
      <w:r w:rsidR="00652124">
        <w:rPr>
          <w:rFonts w:ascii="Times New Roman" w:hAnsi="Times New Roman" w:cs="Times New Roman"/>
          <w:sz w:val="24"/>
          <w:szCs w:val="24"/>
        </w:rPr>
        <w:t>e sua esposa Raabe assinaram na presença de duas testemunhas, em fevereiro de 2010,</w:t>
      </w:r>
      <w:r w:rsidRPr="004C5601">
        <w:rPr>
          <w:rFonts w:ascii="Times New Roman" w:hAnsi="Times New Roman" w:cs="Times New Roman"/>
          <w:sz w:val="24"/>
          <w:szCs w:val="24"/>
        </w:rPr>
        <w:t xml:space="preserve"> um protocolo de intenções, com o objetivo de adquirir de Moabe (até então detentor de 100% das quotas) 50% das quotas do capital social de BETSAIDA VEÍCULOS LTDA. </w:t>
      </w:r>
      <w:r w:rsidR="00652124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icou ajustado que C</w:t>
      </w:r>
      <w:r w:rsidRPr="004C5601">
        <w:rPr>
          <w:rFonts w:ascii="Times New Roman" w:hAnsi="Times New Roman" w:cs="Times New Roman"/>
          <w:sz w:val="24"/>
          <w:szCs w:val="24"/>
        </w:rPr>
        <w:t>alebe</w:t>
      </w:r>
      <w:r w:rsidR="00652124">
        <w:rPr>
          <w:rFonts w:ascii="Times New Roman" w:hAnsi="Times New Roman" w:cs="Times New Roman"/>
          <w:sz w:val="24"/>
          <w:szCs w:val="24"/>
        </w:rPr>
        <w:t xml:space="preserve">, </w:t>
      </w:r>
      <w:r w:rsidRPr="004C5601">
        <w:rPr>
          <w:rFonts w:ascii="Times New Roman" w:hAnsi="Times New Roman" w:cs="Times New Roman"/>
          <w:sz w:val="24"/>
          <w:szCs w:val="24"/>
        </w:rPr>
        <w:t xml:space="preserve">no ato da assinatura da carta de intenções, </w:t>
      </w:r>
      <w:r w:rsidR="00652124">
        <w:rPr>
          <w:rFonts w:ascii="Times New Roman" w:hAnsi="Times New Roman" w:cs="Times New Roman"/>
          <w:sz w:val="24"/>
          <w:szCs w:val="24"/>
        </w:rPr>
        <w:t xml:space="preserve">pagaria </w:t>
      </w:r>
      <w:r w:rsidRPr="004C5601">
        <w:rPr>
          <w:rFonts w:ascii="Times New Roman" w:hAnsi="Times New Roman" w:cs="Times New Roman"/>
          <w:sz w:val="24"/>
          <w:szCs w:val="24"/>
        </w:rPr>
        <w:t>1 milhão de reais,</w:t>
      </w:r>
      <w:r>
        <w:rPr>
          <w:rFonts w:ascii="Times New Roman" w:hAnsi="Times New Roman" w:cs="Times New Roman"/>
          <w:sz w:val="24"/>
          <w:szCs w:val="24"/>
        </w:rPr>
        <w:t xml:space="preserve"> valor esse destinado a pagamento de dívidas </w:t>
      </w:r>
      <w:r w:rsidR="003F0CEA">
        <w:rPr>
          <w:rFonts w:ascii="Times New Roman" w:hAnsi="Times New Roman" w:cs="Times New Roman"/>
          <w:sz w:val="24"/>
          <w:szCs w:val="24"/>
        </w:rPr>
        <w:t xml:space="preserve">da empresa, e depois de fazer levantamento contábil da empresa o preço seria ajustado. </w:t>
      </w:r>
    </w:p>
    <w:p w:rsidR="00A22B9B" w:rsidRDefault="00652124" w:rsidP="00652124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Posteriormente, após repasse de 200 mil, Calebe descobriu que a empresa encontrava-se a beira da falência, assim destistiu do negócio.  </w:t>
      </w:r>
      <w:r w:rsidR="00A22B9B">
        <w:rPr>
          <w:rFonts w:ascii="Times New Roman" w:hAnsi="Times New Roman" w:cs="Times New Roman"/>
          <w:sz w:val="24"/>
          <w:szCs w:val="24"/>
        </w:rPr>
        <w:t>Diante da desistência, M</w:t>
      </w:r>
      <w:r w:rsidR="00A22B9B" w:rsidRPr="004C5601">
        <w:rPr>
          <w:rFonts w:ascii="Times New Roman" w:hAnsi="Times New Roman" w:cs="Times New Roman"/>
          <w:sz w:val="24"/>
          <w:szCs w:val="24"/>
        </w:rPr>
        <w:t xml:space="preserve">oabe e BETSAIDA </w:t>
      </w:r>
      <w:r w:rsidR="0050319F">
        <w:rPr>
          <w:rFonts w:ascii="Times New Roman" w:hAnsi="Times New Roman" w:cs="Times New Roman"/>
          <w:sz w:val="24"/>
          <w:szCs w:val="24"/>
        </w:rPr>
        <w:t>ajuizaram</w:t>
      </w:r>
      <w:r w:rsidR="00A22B9B" w:rsidRPr="004C5601">
        <w:rPr>
          <w:rFonts w:ascii="Times New Roman" w:hAnsi="Times New Roman" w:cs="Times New Roman"/>
          <w:sz w:val="24"/>
          <w:szCs w:val="24"/>
        </w:rPr>
        <w:t xml:space="preserve"> conjuntamente, em 18 de março de 2016,</w:t>
      </w:r>
      <w:r w:rsidR="00A22B9B">
        <w:rPr>
          <w:rFonts w:ascii="Times New Roman" w:hAnsi="Times New Roman" w:cs="Times New Roman"/>
          <w:sz w:val="24"/>
          <w:szCs w:val="24"/>
        </w:rPr>
        <w:t xml:space="preserve"> </w:t>
      </w:r>
      <w:r w:rsidR="00A22B9B" w:rsidRPr="004C5601">
        <w:rPr>
          <w:rFonts w:ascii="Times New Roman" w:hAnsi="Times New Roman" w:cs="Times New Roman"/>
          <w:sz w:val="24"/>
          <w:szCs w:val="24"/>
        </w:rPr>
        <w:t>ação de execução fundada no Protocolo de Intenções,</w:t>
      </w:r>
      <w:r w:rsidR="00A22B9B">
        <w:rPr>
          <w:rFonts w:ascii="Times New Roman" w:hAnsi="Times New Roman" w:cs="Times New Roman"/>
          <w:sz w:val="24"/>
          <w:szCs w:val="24"/>
        </w:rPr>
        <w:t xml:space="preserve"> cobrando o </w:t>
      </w:r>
      <w:r w:rsidR="00A22B9B" w:rsidRPr="004C5601">
        <w:rPr>
          <w:rFonts w:ascii="Times New Roman" w:hAnsi="Times New Roman" w:cs="Times New Roman"/>
          <w:sz w:val="24"/>
          <w:szCs w:val="24"/>
        </w:rPr>
        <w:t>valor de R$ 800 mil</w:t>
      </w:r>
      <w:r w:rsidR="00A22B9B">
        <w:rPr>
          <w:rFonts w:ascii="Times New Roman" w:hAnsi="Times New Roman" w:cs="Times New Roman"/>
          <w:sz w:val="24"/>
          <w:szCs w:val="24"/>
        </w:rPr>
        <w:t xml:space="preserve"> </w:t>
      </w:r>
      <w:r w:rsidR="00A22B9B" w:rsidRPr="004C5601">
        <w:rPr>
          <w:rFonts w:ascii="Times New Roman" w:hAnsi="Times New Roman" w:cs="Times New Roman"/>
          <w:sz w:val="24"/>
          <w:szCs w:val="24"/>
        </w:rPr>
        <w:t>mais acréscimos legais.</w:t>
      </w:r>
      <w:r w:rsidR="0050319F">
        <w:rPr>
          <w:rFonts w:ascii="Times New Roman" w:hAnsi="Times New Roman" w:cs="Times New Roman"/>
          <w:sz w:val="24"/>
          <w:szCs w:val="24"/>
        </w:rPr>
        <w:t xml:space="preserve"> </w:t>
      </w:r>
      <w:r w:rsidR="004C5601" w:rsidRPr="004C5601">
        <w:rPr>
          <w:rFonts w:ascii="Times New Roman" w:hAnsi="Times New Roman" w:cs="Times New Roman"/>
          <w:sz w:val="24"/>
          <w:szCs w:val="24"/>
        </w:rPr>
        <w:t xml:space="preserve">Frustrada a penhora </w:t>
      </w:r>
      <w:r w:rsidR="004C5601" w:rsidRPr="004C5601">
        <w:rPr>
          <w:rFonts w:ascii="Times New Roman" w:hAnsi="Times New Roman" w:cs="Times New Roman"/>
          <w:i/>
          <w:iCs/>
          <w:sz w:val="24"/>
          <w:szCs w:val="24"/>
        </w:rPr>
        <w:t xml:space="preserve">online </w:t>
      </w:r>
      <w:r w:rsidR="004C5601" w:rsidRPr="004C5601">
        <w:rPr>
          <w:rFonts w:ascii="Times New Roman" w:hAnsi="Times New Roman" w:cs="Times New Roman"/>
          <w:sz w:val="24"/>
          <w:szCs w:val="24"/>
        </w:rPr>
        <w:t>de dinheiro</w:t>
      </w:r>
      <w:r w:rsidR="00A22B9B">
        <w:rPr>
          <w:rFonts w:ascii="Times New Roman" w:hAnsi="Times New Roman" w:cs="Times New Roman"/>
          <w:sz w:val="24"/>
          <w:szCs w:val="24"/>
        </w:rPr>
        <w:t xml:space="preserve"> </w:t>
      </w:r>
      <w:r w:rsidR="004C5601" w:rsidRPr="004C5601">
        <w:rPr>
          <w:rFonts w:ascii="Times New Roman" w:hAnsi="Times New Roman" w:cs="Times New Roman"/>
          <w:sz w:val="24"/>
          <w:szCs w:val="24"/>
        </w:rPr>
        <w:t>dos devedores, os Exequentes requereram a penhora dos direitos do devedor sobre 05 ônibus gravados de alienação</w:t>
      </w:r>
      <w:r w:rsidR="00A22B9B">
        <w:rPr>
          <w:rFonts w:ascii="Times New Roman" w:hAnsi="Times New Roman" w:cs="Times New Roman"/>
          <w:sz w:val="24"/>
          <w:szCs w:val="24"/>
        </w:rPr>
        <w:t xml:space="preserve"> </w:t>
      </w:r>
      <w:r w:rsidR="004C5601" w:rsidRPr="004C5601">
        <w:rPr>
          <w:rFonts w:ascii="Times New Roman" w:hAnsi="Times New Roman" w:cs="Times New Roman"/>
          <w:sz w:val="24"/>
          <w:szCs w:val="24"/>
        </w:rPr>
        <w:t>fiduciária perante um Banco.</w:t>
      </w:r>
      <w:r w:rsidR="00A22B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2124" w:rsidRDefault="00A22B9B" w:rsidP="00A22B9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Juizo competente, de </w:t>
      </w:r>
      <w:r w:rsidRPr="004C5601">
        <w:rPr>
          <w:rFonts w:ascii="Times New Roman" w:hAnsi="Times New Roman" w:cs="Times New Roman"/>
          <w:sz w:val="24"/>
          <w:szCs w:val="24"/>
        </w:rPr>
        <w:t xml:space="preserve">plano, indeferiu o pedido de penhora, sob </w:t>
      </w:r>
      <w:r>
        <w:rPr>
          <w:rFonts w:ascii="Times New Roman" w:hAnsi="Times New Roman" w:cs="Times New Roman"/>
          <w:sz w:val="24"/>
          <w:szCs w:val="24"/>
        </w:rPr>
        <w:t xml:space="preserve">o argumento de que </w:t>
      </w:r>
      <w:r w:rsidRPr="004C5601">
        <w:rPr>
          <w:rFonts w:ascii="Times New Roman" w:hAnsi="Times New Roman" w:cs="Times New Roman"/>
          <w:sz w:val="24"/>
          <w:szCs w:val="24"/>
        </w:rPr>
        <w:t>Calebe não seria proprietário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5601">
        <w:rPr>
          <w:rFonts w:ascii="Times New Roman" w:hAnsi="Times New Roman" w:cs="Times New Roman"/>
          <w:sz w:val="24"/>
          <w:szCs w:val="24"/>
        </w:rPr>
        <w:t>dos ônibus, e sim o Banco financiador</w:t>
      </w:r>
      <w:r>
        <w:rPr>
          <w:rFonts w:ascii="Times New Roman" w:hAnsi="Times New Roman" w:cs="Times New Roman"/>
          <w:sz w:val="24"/>
          <w:szCs w:val="24"/>
        </w:rPr>
        <w:t>.</w:t>
      </w:r>
      <w:r w:rsidR="00652124">
        <w:rPr>
          <w:rFonts w:ascii="Times New Roman" w:hAnsi="Times New Roman" w:cs="Times New Roman"/>
          <w:sz w:val="24"/>
          <w:szCs w:val="24"/>
        </w:rPr>
        <w:t xml:space="preserve"> L</w:t>
      </w:r>
      <w:r w:rsidRPr="004C5601">
        <w:rPr>
          <w:rFonts w:ascii="Times New Roman" w:hAnsi="Times New Roman" w:cs="Times New Roman"/>
          <w:sz w:val="24"/>
          <w:szCs w:val="24"/>
        </w:rPr>
        <w:t>ogo após a apresentação dos Embargos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5601">
        <w:rPr>
          <w:rFonts w:ascii="Times New Roman" w:hAnsi="Times New Roman" w:cs="Times New Roman"/>
          <w:sz w:val="24"/>
          <w:szCs w:val="24"/>
        </w:rPr>
        <w:t>do Devedor por CALEBE e sua esposa, o Magistrado, de ofício, det</w:t>
      </w:r>
      <w:r>
        <w:rPr>
          <w:rFonts w:ascii="Times New Roman" w:hAnsi="Times New Roman" w:cs="Times New Roman"/>
          <w:sz w:val="24"/>
          <w:szCs w:val="24"/>
        </w:rPr>
        <w:t xml:space="preserve">erminou a suspensão da execução. </w:t>
      </w:r>
      <w:r w:rsidR="00652124">
        <w:rPr>
          <w:rFonts w:ascii="Times New Roman" w:hAnsi="Times New Roman" w:cs="Times New Roman"/>
          <w:sz w:val="24"/>
          <w:szCs w:val="24"/>
        </w:rPr>
        <w:t xml:space="preserve">Após resposta aos embargos, o juiz extinguiu </w:t>
      </w:r>
      <w:r w:rsidR="00652124" w:rsidRPr="004C5601">
        <w:rPr>
          <w:rFonts w:ascii="Times New Roman" w:hAnsi="Times New Roman" w:cs="Times New Roman"/>
          <w:sz w:val="24"/>
          <w:szCs w:val="24"/>
        </w:rPr>
        <w:t>o feito</w:t>
      </w:r>
      <w:r w:rsidR="00652124">
        <w:rPr>
          <w:rFonts w:ascii="Times New Roman" w:hAnsi="Times New Roman" w:cs="Times New Roman"/>
          <w:sz w:val="24"/>
          <w:szCs w:val="24"/>
        </w:rPr>
        <w:t xml:space="preserve"> </w:t>
      </w:r>
      <w:r w:rsidR="00652124" w:rsidRPr="004C5601">
        <w:rPr>
          <w:rFonts w:ascii="Times New Roman" w:hAnsi="Times New Roman" w:cs="Times New Roman"/>
          <w:sz w:val="24"/>
          <w:szCs w:val="24"/>
        </w:rPr>
        <w:t>executivo</w:t>
      </w:r>
      <w:r w:rsidR="00652124">
        <w:rPr>
          <w:rFonts w:ascii="Times New Roman" w:hAnsi="Times New Roman" w:cs="Times New Roman"/>
          <w:sz w:val="24"/>
          <w:szCs w:val="24"/>
        </w:rPr>
        <w:t>, afirmando que o Protocolo de Intenções não tem natureza de título e mesmo assim, estava prescrito; além disso</w:t>
      </w:r>
      <w:r w:rsidR="004C5627">
        <w:rPr>
          <w:rFonts w:ascii="Times New Roman" w:hAnsi="Times New Roman" w:cs="Times New Roman"/>
          <w:sz w:val="24"/>
          <w:szCs w:val="24"/>
        </w:rPr>
        <w:t>,</w:t>
      </w:r>
      <w:r w:rsidR="00652124">
        <w:rPr>
          <w:rFonts w:ascii="Times New Roman" w:hAnsi="Times New Roman" w:cs="Times New Roman"/>
          <w:sz w:val="24"/>
          <w:szCs w:val="24"/>
        </w:rPr>
        <w:t xml:space="preserve"> </w:t>
      </w:r>
      <w:r w:rsidR="00652124" w:rsidRPr="004C5601">
        <w:rPr>
          <w:rFonts w:ascii="Times New Roman" w:hAnsi="Times New Roman" w:cs="Times New Roman"/>
          <w:sz w:val="24"/>
          <w:szCs w:val="24"/>
        </w:rPr>
        <w:t>BETSAIDA e RAABE não teriam legitimidade para figurarem no pólo ativo e passivo, respectivamente, da execução.</w:t>
      </w:r>
    </w:p>
    <w:p w:rsidR="0042658E" w:rsidRDefault="0042658E" w:rsidP="00CA5517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2658E" w:rsidRDefault="0042658E" w:rsidP="009251F1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2 </w:t>
      </w:r>
      <w:r w:rsidRPr="0042658E">
        <w:rPr>
          <w:rFonts w:ascii="Times New Roman" w:hAnsi="Times New Roman" w:cs="Times New Roman"/>
          <w:b/>
          <w:bCs/>
          <w:iCs/>
          <w:sz w:val="24"/>
          <w:szCs w:val="24"/>
        </w:rPr>
        <w:t>QUESTÕES PARA ANÁLISE</w:t>
      </w:r>
    </w:p>
    <w:p w:rsidR="009251F1" w:rsidRDefault="009251F1" w:rsidP="009251F1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80887" w:rsidRDefault="00680887" w:rsidP="00CA55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2.1 </w:t>
      </w:r>
      <w:r>
        <w:rPr>
          <w:rFonts w:ascii="Times New Roman" w:hAnsi="Times New Roman" w:cs="Times New Roman"/>
          <w:b/>
          <w:bCs/>
          <w:sz w:val="24"/>
          <w:szCs w:val="24"/>
        </w:rPr>
        <w:t>Questão P</w:t>
      </w:r>
      <w:r w:rsidRPr="0042658E">
        <w:rPr>
          <w:rFonts w:ascii="Times New Roman" w:hAnsi="Times New Roman" w:cs="Times New Roman"/>
          <w:b/>
          <w:bCs/>
          <w:sz w:val="24"/>
          <w:szCs w:val="24"/>
        </w:rPr>
        <w:t xml:space="preserve">rincipal: </w:t>
      </w:r>
      <w:r w:rsidRPr="0042658E">
        <w:rPr>
          <w:rFonts w:ascii="Times New Roman" w:hAnsi="Times New Roman" w:cs="Times New Roman"/>
          <w:sz w:val="24"/>
          <w:szCs w:val="24"/>
        </w:rPr>
        <w:t>O título apontado na inicial de execução é líquido, certo e exigível?</w:t>
      </w:r>
    </w:p>
    <w:p w:rsidR="00B20E40" w:rsidRDefault="00CA5517" w:rsidP="0034471A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protocolo de intenções ou Carta de intenções </w:t>
      </w:r>
      <w:r w:rsidR="00652124">
        <w:rPr>
          <w:rFonts w:ascii="Times New Roman" w:hAnsi="Times New Roman" w:cs="Times New Roman"/>
          <w:sz w:val="24"/>
          <w:szCs w:val="24"/>
        </w:rPr>
        <w:t xml:space="preserve">é um </w:t>
      </w:r>
      <w:r w:rsidR="0034471A">
        <w:rPr>
          <w:rFonts w:ascii="Times New Roman" w:hAnsi="Times New Roman" w:cs="Times New Roman"/>
          <w:sz w:val="24"/>
          <w:szCs w:val="24"/>
        </w:rPr>
        <w:t xml:space="preserve">instrumento </w:t>
      </w:r>
      <w:r w:rsidR="00652124">
        <w:rPr>
          <w:rFonts w:ascii="Times New Roman" w:hAnsi="Times New Roman" w:cs="Times New Roman"/>
          <w:sz w:val="24"/>
          <w:szCs w:val="24"/>
        </w:rPr>
        <w:t>de</w:t>
      </w:r>
      <w:r w:rsidR="0034471A">
        <w:rPr>
          <w:rFonts w:ascii="Times New Roman" w:hAnsi="Times New Roman" w:cs="Times New Roman"/>
          <w:sz w:val="24"/>
          <w:szCs w:val="24"/>
        </w:rPr>
        <w:t xml:space="preserve"> natureza prévia, ou seja, o seu conteúdo irá traçar as linhas gerais do negócio a ser firmado</w:t>
      </w:r>
      <w:r w:rsidR="00920870">
        <w:rPr>
          <w:rFonts w:ascii="Times New Roman" w:hAnsi="Times New Roman" w:cs="Times New Roman"/>
          <w:sz w:val="24"/>
          <w:szCs w:val="24"/>
        </w:rPr>
        <w:t xml:space="preserve"> (STOLAGLI; BRONSTEIN, 2009). </w:t>
      </w:r>
    </w:p>
    <w:p w:rsidR="00035296" w:rsidRDefault="00C975A3" w:rsidP="0034471A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52104F">
        <w:rPr>
          <w:rFonts w:ascii="Times New Roman" w:hAnsi="Times New Roman" w:cs="Times New Roman"/>
          <w:sz w:val="24"/>
          <w:szCs w:val="24"/>
        </w:rPr>
        <w:t xml:space="preserve">No caso em questão, Calebe e Raabe (casados em regime de comunhão universal de bens) assinaram o protocolo de intenções no intuito de </w:t>
      </w:r>
      <w:r w:rsidR="0052104F" w:rsidRPr="004E6262">
        <w:rPr>
          <w:rFonts w:ascii="Times New Roman" w:hAnsi="Times New Roman" w:cs="Times New Roman"/>
          <w:sz w:val="24"/>
          <w:szCs w:val="24"/>
        </w:rPr>
        <w:t xml:space="preserve">adquirir </w:t>
      </w:r>
      <w:r w:rsidR="004E6262" w:rsidRPr="004E6262">
        <w:rPr>
          <w:rFonts w:ascii="Times New Roman" w:hAnsi="Times New Roman" w:cs="Times New Roman"/>
          <w:sz w:val="24"/>
          <w:szCs w:val="24"/>
        </w:rPr>
        <w:t>50% das quotas do capital social de Betsaida</w:t>
      </w:r>
      <w:r w:rsidR="004E6262">
        <w:rPr>
          <w:rFonts w:ascii="Times New Roman" w:hAnsi="Times New Roman" w:cs="Times New Roman"/>
          <w:sz w:val="24"/>
          <w:szCs w:val="24"/>
        </w:rPr>
        <w:t xml:space="preserve"> </w:t>
      </w:r>
      <w:r w:rsidR="004E6262" w:rsidRPr="00C975A3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eículos LTDA. É</w:t>
      </w:r>
      <w:r w:rsidRPr="00C975A3">
        <w:rPr>
          <w:rFonts w:ascii="Times New Roman" w:hAnsi="Times New Roman" w:cs="Times New Roman"/>
          <w:sz w:val="24"/>
          <w:szCs w:val="24"/>
        </w:rPr>
        <w:t xml:space="preserve"> imprescindível enfatizar</w:t>
      </w:r>
      <w:r>
        <w:rPr>
          <w:rFonts w:ascii="Times New Roman" w:hAnsi="Times New Roman" w:cs="Times New Roman"/>
          <w:sz w:val="24"/>
          <w:szCs w:val="24"/>
        </w:rPr>
        <w:t xml:space="preserve"> ainda,</w:t>
      </w:r>
      <w:r w:rsidRPr="00C975A3">
        <w:rPr>
          <w:rFonts w:ascii="Times New Roman" w:hAnsi="Times New Roman" w:cs="Times New Roman"/>
          <w:sz w:val="24"/>
          <w:szCs w:val="24"/>
        </w:rPr>
        <w:t xml:space="preserve"> que </w:t>
      </w:r>
      <w:r w:rsidR="00035296">
        <w:rPr>
          <w:rFonts w:ascii="Times New Roman" w:hAnsi="Times New Roman" w:cs="Times New Roman"/>
          <w:sz w:val="24"/>
          <w:szCs w:val="24"/>
        </w:rPr>
        <w:t>Raabe</w:t>
      </w:r>
      <w:r w:rsidR="001076C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35296">
        <w:rPr>
          <w:rFonts w:ascii="Times New Roman" w:hAnsi="Times New Roman" w:cs="Times New Roman"/>
          <w:sz w:val="24"/>
          <w:szCs w:val="24"/>
        </w:rPr>
        <w:t xml:space="preserve"> por ser casada no regime de comunhão universal de bens, torna-se coobrigada na obrigação firmada. </w:t>
      </w:r>
    </w:p>
    <w:p w:rsidR="003F57CF" w:rsidRDefault="00A75A39" w:rsidP="003F57CF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Observando o caso em questão, é válido afirmar que o protocolo</w:t>
      </w:r>
      <w:r w:rsidR="00D02A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intenções assinado pelas partes, se formalizou, transformando-se em um instrumento p</w:t>
      </w:r>
      <w:r w:rsidR="00290E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articular, na medida em que preencheu os requisitos para se tornar um título executivo extrajudicial, a saber, assinatura do devedor, e a presença de duas testemunhas. </w:t>
      </w:r>
      <w:r w:rsidR="00D02A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 acordo com o artigo </w:t>
      </w:r>
      <w:r w:rsidR="005D5B12">
        <w:rPr>
          <w:rFonts w:ascii="Times New Roman" w:hAnsi="Times New Roman" w:cs="Times New Roman"/>
          <w:sz w:val="24"/>
          <w:szCs w:val="24"/>
          <w:shd w:val="clear" w:color="auto" w:fill="FFFFFF"/>
        </w:rPr>
        <w:t>784</w:t>
      </w:r>
      <w:r w:rsidR="00290E86">
        <w:rPr>
          <w:rFonts w:ascii="Times New Roman" w:hAnsi="Times New Roman" w:cs="Times New Roman"/>
          <w:sz w:val="24"/>
          <w:szCs w:val="24"/>
          <w:shd w:val="clear" w:color="auto" w:fill="FFFFFF"/>
        </w:rPr>
        <w:t>, inciso III</w:t>
      </w:r>
      <w:r w:rsidR="005D5B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Código de Processo Civil (2015)</w:t>
      </w:r>
      <w:r w:rsidR="00290E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“Constituem títulos executivos extrajudiciais: o documento particular assinado pelo devedor e por 2 (duas testemunhas)” (BRASIL, 2015). </w:t>
      </w:r>
    </w:p>
    <w:p w:rsidR="0081275D" w:rsidRDefault="003F57CF" w:rsidP="0081275D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título executivo em questão pode ser considerado </w:t>
      </w:r>
      <w:r w:rsidR="008471A7">
        <w:rPr>
          <w:rFonts w:ascii="Times New Roman" w:hAnsi="Times New Roman" w:cs="Times New Roman"/>
          <w:sz w:val="24"/>
          <w:szCs w:val="24"/>
          <w:shd w:val="clear" w:color="auto" w:fill="FFFFFF"/>
        </w:rPr>
        <w:t>certo</w:t>
      </w:r>
      <w:r w:rsidR="002635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uma vez que </w:t>
      </w:r>
      <w:r w:rsidR="008471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 </w:t>
      </w:r>
      <w:r w:rsidR="00DB41A8">
        <w:rPr>
          <w:rFonts w:ascii="Times New Roman" w:hAnsi="Times New Roman" w:cs="Times New Roman"/>
          <w:sz w:val="24"/>
          <w:szCs w:val="24"/>
          <w:shd w:val="clear" w:color="auto" w:fill="FFFFFF"/>
        </w:rPr>
        <w:t>observam</w:t>
      </w:r>
      <w:r w:rsidR="001A09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os elementos da obrigação, ficou claro </w:t>
      </w:r>
      <w:r w:rsidR="005369B1">
        <w:rPr>
          <w:rFonts w:ascii="Times New Roman" w:hAnsi="Times New Roman" w:cs="Times New Roman"/>
          <w:sz w:val="24"/>
          <w:szCs w:val="24"/>
          <w:shd w:val="clear" w:color="auto" w:fill="FFFFFF"/>
        </w:rPr>
        <w:t>pra quem irá ser pago (Moabe</w:t>
      </w:r>
      <w:r w:rsidR="005369B1">
        <w:rPr>
          <w:rFonts w:ascii="Times New Roman" w:hAnsi="Times New Roman" w:cs="Times New Roman"/>
          <w:sz w:val="24"/>
          <w:szCs w:val="24"/>
        </w:rPr>
        <w:t>)</w:t>
      </w:r>
      <w:r w:rsidR="005369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DB41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</w:t>
      </w:r>
      <w:r w:rsidR="005369B1">
        <w:rPr>
          <w:rFonts w:ascii="Times New Roman" w:hAnsi="Times New Roman" w:cs="Times New Roman"/>
          <w:sz w:val="24"/>
          <w:szCs w:val="24"/>
          <w:shd w:val="clear" w:color="auto" w:fill="FFFFFF"/>
        </w:rPr>
        <w:t>a forma de pagamento (parcelado)</w:t>
      </w:r>
      <w:r w:rsidR="008471A7">
        <w:rPr>
          <w:rFonts w:ascii="Times New Roman" w:hAnsi="Times New Roman" w:cs="Times New Roman"/>
          <w:sz w:val="24"/>
          <w:szCs w:val="24"/>
          <w:shd w:val="clear" w:color="auto" w:fill="FFFFFF"/>
        </w:rPr>
        <w:t>. É também um título líquido</w:t>
      </w:r>
      <w:r w:rsidR="008127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uma vez que o </w:t>
      </w:r>
      <w:r w:rsidR="0081275D" w:rsidRPr="0081275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quantum</w:t>
      </w:r>
      <w:r w:rsidR="0081275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="008127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quantia devida já está numerada, a saber, expressamente no protocolo de intenções consta o valor de </w:t>
      </w:r>
      <w:r w:rsidR="0081275D" w:rsidRPr="004C5601">
        <w:rPr>
          <w:rFonts w:ascii="Times New Roman" w:hAnsi="Times New Roman" w:cs="Times New Roman"/>
          <w:sz w:val="24"/>
          <w:szCs w:val="24"/>
        </w:rPr>
        <w:t>R$</w:t>
      </w:r>
      <w:r w:rsidR="008127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 milhão de reais a ser pago de imediato. </w:t>
      </w:r>
    </w:p>
    <w:p w:rsidR="006F4F52" w:rsidRPr="006F4F52" w:rsidRDefault="006F4F52" w:rsidP="006F4F52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Porém, n</w:t>
      </w:r>
      <w:r w:rsidR="00C21C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que tange a exigibilidade,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título não é mais exigível, pois se encontra prescrito, de acordo como o art. 206, §5, inciso I do Código Civil (2002): </w:t>
      </w:r>
      <w:r w:rsidRPr="006F4F52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Pr="006F4F52">
        <w:rPr>
          <w:rFonts w:ascii="Times New Roman" w:hAnsi="Times New Roman" w:cs="Times New Roman"/>
          <w:sz w:val="24"/>
          <w:szCs w:val="24"/>
        </w:rPr>
        <w:t>Prescreve em cinco anos a pretensão de cobrança de dívidas líquidas constantes de instrumento público ou particular”</w:t>
      </w:r>
      <w:r>
        <w:rPr>
          <w:rFonts w:ascii="Times New Roman" w:hAnsi="Times New Roman" w:cs="Times New Roman"/>
          <w:sz w:val="24"/>
          <w:szCs w:val="24"/>
        </w:rPr>
        <w:t xml:space="preserve"> (BRASIL, 2012). No caso em questão a assinatura do protocolo se deu em fevereiro de 2010, e o ajuizamento da ação de cobrança em 18 de março de 2016, ou seja, transcorreram 6 </w:t>
      </w:r>
      <w:r w:rsidR="00334FC7">
        <w:rPr>
          <w:rFonts w:ascii="Times New Roman" w:hAnsi="Times New Roman" w:cs="Times New Roman"/>
          <w:sz w:val="24"/>
          <w:szCs w:val="24"/>
        </w:rPr>
        <w:t xml:space="preserve">(seis) </w:t>
      </w:r>
      <w:r>
        <w:rPr>
          <w:rFonts w:ascii="Times New Roman" w:hAnsi="Times New Roman" w:cs="Times New Roman"/>
          <w:sz w:val="24"/>
          <w:szCs w:val="24"/>
        </w:rPr>
        <w:t xml:space="preserve">anos. </w:t>
      </w:r>
    </w:p>
    <w:p w:rsidR="006F4F52" w:rsidRDefault="006F4F52" w:rsidP="00456D4C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2658E" w:rsidRDefault="00456D4C" w:rsidP="009251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2.2 Questões S</w:t>
      </w:r>
      <w:r w:rsidRPr="0042658E">
        <w:rPr>
          <w:rFonts w:ascii="Times New Roman" w:hAnsi="Times New Roman" w:cs="Times New Roman"/>
          <w:b/>
          <w:bCs/>
          <w:sz w:val="24"/>
          <w:szCs w:val="24"/>
        </w:rPr>
        <w:t>ecundárias:</w:t>
      </w:r>
    </w:p>
    <w:p w:rsidR="009251F1" w:rsidRDefault="009251F1" w:rsidP="009251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658E" w:rsidRDefault="0042658E" w:rsidP="00D43F1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3F15">
        <w:rPr>
          <w:rFonts w:ascii="Times New Roman" w:hAnsi="Times New Roman" w:cs="Times New Roman"/>
          <w:sz w:val="24"/>
          <w:szCs w:val="24"/>
        </w:rPr>
        <w:t>O princípio do devido processo legal foi observado no feito?</w:t>
      </w:r>
    </w:p>
    <w:p w:rsidR="00EF257F" w:rsidRDefault="001B2CA9" w:rsidP="001B2CA9">
      <w:pPr>
        <w:pStyle w:val="PargrafodaLista"/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caso em pauta, houve violação ao principio do devido processo legal quando o magistrado, </w:t>
      </w:r>
      <w:r w:rsidRPr="001B2CA9">
        <w:rPr>
          <w:rFonts w:ascii="Times New Roman" w:hAnsi="Times New Roman" w:cs="Times New Roman"/>
          <w:sz w:val="24"/>
          <w:szCs w:val="24"/>
        </w:rPr>
        <w:t xml:space="preserve">após a apresentação dos Embargos do Devedor por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1B2CA9">
        <w:rPr>
          <w:rFonts w:ascii="Times New Roman" w:hAnsi="Times New Roman" w:cs="Times New Roman"/>
          <w:sz w:val="24"/>
          <w:szCs w:val="24"/>
        </w:rPr>
        <w:t xml:space="preserve">alebe </w:t>
      </w:r>
      <w:r>
        <w:rPr>
          <w:rFonts w:ascii="Times New Roman" w:hAnsi="Times New Roman" w:cs="Times New Roman"/>
          <w:sz w:val="24"/>
          <w:szCs w:val="24"/>
        </w:rPr>
        <w:t xml:space="preserve">e sua esposa, </w:t>
      </w:r>
      <w:r w:rsidRPr="001B2CA9">
        <w:rPr>
          <w:rFonts w:ascii="Times New Roman" w:hAnsi="Times New Roman" w:cs="Times New Roman"/>
          <w:sz w:val="24"/>
          <w:szCs w:val="24"/>
        </w:rPr>
        <w:t>de ofício, det</w:t>
      </w:r>
      <w:r>
        <w:rPr>
          <w:rFonts w:ascii="Times New Roman" w:hAnsi="Times New Roman" w:cs="Times New Roman"/>
          <w:sz w:val="24"/>
          <w:szCs w:val="24"/>
        </w:rPr>
        <w:t>erminou a suspensão da execução, determinação judicial que inexiste. De acordo com o artigo 919, CPC/2015: “</w:t>
      </w:r>
      <w:r w:rsidRPr="001B2CA9">
        <w:rPr>
          <w:rFonts w:ascii="Times New Roman" w:hAnsi="Times New Roman" w:cs="Times New Roman"/>
          <w:sz w:val="24"/>
          <w:szCs w:val="24"/>
        </w:rPr>
        <w:t>Os embargos à execu</w:t>
      </w:r>
      <w:r>
        <w:rPr>
          <w:rFonts w:ascii="Times New Roman" w:hAnsi="Times New Roman" w:cs="Times New Roman"/>
          <w:sz w:val="24"/>
          <w:szCs w:val="24"/>
        </w:rPr>
        <w:t>ção não terão efeito suspensivo” (BRASIL, 2015), porém, o paragrafo primeiro traz uma exceção, uma hipótese de cabimento, a saber: “</w:t>
      </w:r>
      <w:r w:rsidRPr="001B2CA9">
        <w:rPr>
          <w:rFonts w:ascii="Times New Roman" w:hAnsi="Times New Roman" w:cs="Times New Roman"/>
          <w:sz w:val="24"/>
          <w:szCs w:val="24"/>
        </w:rPr>
        <w:t>O juiz poderá, a requerimento do embargante, atribuir efeito suspensivo aos embargos quando verificados os requisitos para a concessão da tutela provisória e desde que a execução já esteja garantida por penhora,</w:t>
      </w:r>
      <w:r>
        <w:rPr>
          <w:rFonts w:ascii="Times New Roman" w:hAnsi="Times New Roman" w:cs="Times New Roman"/>
          <w:sz w:val="24"/>
          <w:szCs w:val="24"/>
        </w:rPr>
        <w:t xml:space="preserve"> depósito ou caução suficientes” (BRASIL, 2015).</w:t>
      </w:r>
    </w:p>
    <w:p w:rsidR="00D43F15" w:rsidRDefault="00D43F15" w:rsidP="00D43F15">
      <w:pPr>
        <w:pStyle w:val="PargrafodaLista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43F15" w:rsidRDefault="00D43F15" w:rsidP="0042031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3F15">
        <w:rPr>
          <w:rFonts w:ascii="Times New Roman" w:hAnsi="Times New Roman" w:cs="Times New Roman"/>
          <w:sz w:val="24"/>
          <w:szCs w:val="24"/>
        </w:rPr>
        <w:lastRenderedPageBreak/>
        <w:t>Seria possível a penhora de direitos do devedor sobre bem financiado via contrato de alienação fiduciária? Caso positivo, qual a medida cabível em face da decisão de indeferimento da penhora?</w:t>
      </w:r>
    </w:p>
    <w:p w:rsidR="00A56984" w:rsidRDefault="00A56984" w:rsidP="00A56984">
      <w:pPr>
        <w:pStyle w:val="Pargrafoda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06A30" w:rsidRPr="006654CD" w:rsidRDefault="00B06A30" w:rsidP="00B06A30">
      <w:pPr>
        <w:pStyle w:val="PargrafodaLista"/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06A30">
        <w:rPr>
          <w:rFonts w:ascii="Times New Roman" w:hAnsi="Times New Roman" w:cs="Times New Roman"/>
          <w:sz w:val="24"/>
          <w:szCs w:val="24"/>
        </w:rPr>
        <w:t xml:space="preserve">A alienação fiduciária na maioria das vezes consiste em um instrumento de financiamento, na prática,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B06A30">
        <w:rPr>
          <w:rFonts w:ascii="Times New Roman" w:hAnsi="Times New Roman" w:cs="Times New Roman"/>
          <w:sz w:val="24"/>
          <w:szCs w:val="24"/>
        </w:rPr>
        <w:t xml:space="preserve">o devedor procura uma instituição financeira visando à aquisição de determinado bem. Obtido o financiamento, o devedor adquire o bem e o aliena </w:t>
      </w:r>
      <w:r w:rsidRPr="006654CD">
        <w:rPr>
          <w:rFonts w:ascii="Times New Roman" w:hAnsi="Times New Roman" w:cs="Times New Roman"/>
          <w:sz w:val="24"/>
          <w:szCs w:val="24"/>
        </w:rPr>
        <w:t xml:space="preserve">fiduciariamente ao agente financeiro” (CUNHA [?]). </w:t>
      </w:r>
    </w:p>
    <w:p w:rsidR="00AF344A" w:rsidRDefault="00650C04" w:rsidP="000C67D7">
      <w:pPr>
        <w:pStyle w:val="PargrafodaLista"/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54CD">
        <w:rPr>
          <w:rFonts w:ascii="Times New Roman" w:hAnsi="Times New Roman" w:cs="Times New Roman"/>
          <w:sz w:val="24"/>
          <w:szCs w:val="24"/>
        </w:rPr>
        <w:t xml:space="preserve">No que tange a penhora </w:t>
      </w:r>
      <w:r w:rsidR="006654CD" w:rsidRPr="006654CD">
        <w:rPr>
          <w:rFonts w:ascii="Times New Roman" w:hAnsi="Times New Roman" w:cs="Times New Roman"/>
          <w:sz w:val="24"/>
          <w:szCs w:val="24"/>
        </w:rPr>
        <w:t xml:space="preserve">do </w:t>
      </w:r>
      <w:r w:rsidR="006654CD">
        <w:rPr>
          <w:rFonts w:ascii="Times New Roman" w:hAnsi="Times New Roman" w:cs="Times New Roman"/>
          <w:sz w:val="24"/>
          <w:szCs w:val="24"/>
        </w:rPr>
        <w:t xml:space="preserve">bem financiado </w:t>
      </w:r>
      <w:r w:rsidRPr="006654CD">
        <w:rPr>
          <w:rFonts w:ascii="Times New Roman" w:hAnsi="Times New Roman" w:cs="Times New Roman"/>
          <w:sz w:val="24"/>
          <w:szCs w:val="24"/>
        </w:rPr>
        <w:t>a</w:t>
      </w:r>
      <w:r w:rsidR="00AF344A" w:rsidRPr="006654CD">
        <w:rPr>
          <w:rFonts w:ascii="Times New Roman" w:hAnsi="Times New Roman" w:cs="Times New Roman"/>
          <w:sz w:val="24"/>
          <w:szCs w:val="24"/>
        </w:rPr>
        <w:t xml:space="preserve"> jurisprudência e o próprio Código de Processo Civil (2015) já firmou entendimento de que podem ser penhorados os direitos do devedor sobre bem financiado via contrato de alienação fiduciária, assim dispõe o artigo 589 do CPC/2015: “</w:t>
      </w:r>
      <w:r w:rsidR="00AF344A" w:rsidRPr="006654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Recaindo a penhora sobre direito à prestação ou a restituição de coisa determinada, o executado será intimado para, no vencimento, depositá-la, correndo sobre ela a execução” (BRASIL, 2015). </w:t>
      </w:r>
    </w:p>
    <w:p w:rsidR="00D43F15" w:rsidRPr="00AD0DB0" w:rsidRDefault="006654CD" w:rsidP="00AD0DB0">
      <w:pPr>
        <w:pStyle w:val="PargrafodaLista"/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11D5">
        <w:rPr>
          <w:rFonts w:ascii="Times New Roman" w:hAnsi="Times New Roman" w:cs="Times New Roman"/>
          <w:sz w:val="24"/>
          <w:szCs w:val="24"/>
          <w:shd w:val="clear" w:color="auto" w:fill="FFFFFF"/>
        </w:rPr>
        <w:t>No caso em questão</w:t>
      </w:r>
      <w:r w:rsidR="00E611D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E611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pedido de</w:t>
      </w:r>
      <w:r w:rsidR="00E611D5" w:rsidRPr="00E611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penhora </w:t>
      </w:r>
      <w:r w:rsidR="00E611D5" w:rsidRPr="00E611D5">
        <w:rPr>
          <w:rFonts w:ascii="Times New Roman" w:hAnsi="Times New Roman" w:cs="Times New Roman"/>
          <w:sz w:val="24"/>
          <w:szCs w:val="24"/>
        </w:rPr>
        <w:t xml:space="preserve">dos direitos do devedor sobre 05 ônibus gravados de alienação </w:t>
      </w:r>
      <w:r w:rsidR="00E611D5">
        <w:rPr>
          <w:rFonts w:ascii="Times New Roman" w:hAnsi="Times New Roman" w:cs="Times New Roman"/>
          <w:sz w:val="24"/>
          <w:szCs w:val="24"/>
        </w:rPr>
        <w:t xml:space="preserve">fiduciária perante um Banco fora indeferido pelo juiz. Diante da negativa, </w:t>
      </w:r>
      <w:r w:rsidR="00AD0DB0">
        <w:rPr>
          <w:rFonts w:ascii="Times New Roman" w:hAnsi="Times New Roman" w:cs="Times New Roman"/>
          <w:sz w:val="24"/>
          <w:szCs w:val="24"/>
        </w:rPr>
        <w:t xml:space="preserve">o recurso cabível é o agravo de instrumento, </w:t>
      </w:r>
      <w:r w:rsidR="001435B6">
        <w:rPr>
          <w:rFonts w:ascii="Times New Roman" w:hAnsi="Times New Roman" w:cs="Times New Roman"/>
          <w:sz w:val="24"/>
          <w:szCs w:val="24"/>
        </w:rPr>
        <w:t xml:space="preserve">uma vez que a decisão que indeferiu o pedido de penhora tem natureza interlocutória, </w:t>
      </w:r>
      <w:r w:rsidR="00AD0DB0">
        <w:rPr>
          <w:rFonts w:ascii="Times New Roman" w:hAnsi="Times New Roman" w:cs="Times New Roman"/>
          <w:sz w:val="24"/>
          <w:szCs w:val="24"/>
        </w:rPr>
        <w:t>de acordo com o artigo 1015, parágrafo único do CPC/2015</w:t>
      </w:r>
      <w:r w:rsidR="00AD0DB0" w:rsidRPr="00AD0DB0">
        <w:rPr>
          <w:rFonts w:ascii="Times New Roman" w:hAnsi="Times New Roman" w:cs="Times New Roman"/>
          <w:sz w:val="24"/>
          <w:szCs w:val="24"/>
        </w:rPr>
        <w:t>: “</w:t>
      </w:r>
      <w:r w:rsidR="00F64EA6">
        <w:rPr>
          <w:rFonts w:ascii="Times New Roman" w:hAnsi="Times New Roman" w:cs="Times New Roman"/>
          <w:sz w:val="24"/>
          <w:szCs w:val="24"/>
        </w:rPr>
        <w:t>T</w:t>
      </w:r>
      <w:r w:rsidR="00AD0DB0" w:rsidRPr="00AD0DB0">
        <w:rPr>
          <w:rFonts w:ascii="Times New Roman" w:hAnsi="Times New Roman" w:cs="Times New Roman"/>
          <w:sz w:val="24"/>
          <w:szCs w:val="24"/>
        </w:rPr>
        <w:t>ambém caberá agravo de instrumento contra decisões interlocutórias proferidas na fase de liquidação de sentença ou de cumprimento de sentença, no processo de execu</w:t>
      </w:r>
      <w:r w:rsidR="00F64EA6">
        <w:rPr>
          <w:rFonts w:ascii="Times New Roman" w:hAnsi="Times New Roman" w:cs="Times New Roman"/>
          <w:sz w:val="24"/>
          <w:szCs w:val="24"/>
        </w:rPr>
        <w:t xml:space="preserve">ção e no processo de inventário” (BRASIL, 2015). </w:t>
      </w:r>
    </w:p>
    <w:p w:rsidR="00D43F15" w:rsidRPr="00D43F15" w:rsidRDefault="00D43F15" w:rsidP="00D43F15">
      <w:pPr>
        <w:pStyle w:val="PargrafodaLista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43F15" w:rsidRDefault="00D43F15" w:rsidP="003A241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2658E">
        <w:rPr>
          <w:rFonts w:ascii="Times New Roman" w:hAnsi="Times New Roman" w:cs="Times New Roman"/>
          <w:sz w:val="24"/>
          <w:szCs w:val="24"/>
        </w:rPr>
        <w:t>Qual o(s) prazo(s) prescricional(ais) aplicáveis?</w:t>
      </w:r>
    </w:p>
    <w:p w:rsidR="003A241B" w:rsidRDefault="003A241B" w:rsidP="003A241B">
      <w:pPr>
        <w:pStyle w:val="PargrafodaLista"/>
        <w:autoSpaceDE w:val="0"/>
        <w:autoSpaceDN w:val="0"/>
        <w:adjustRightInd w:val="0"/>
        <w:spacing w:after="0" w:line="240" w:lineRule="auto"/>
        <w:ind w:left="284"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747FF0" w:rsidRDefault="002E559E" w:rsidP="003A241B">
      <w:pPr>
        <w:pStyle w:val="PargrafodaLista"/>
        <w:autoSpaceDE w:val="0"/>
        <w:autoSpaceDN w:val="0"/>
        <w:adjustRightInd w:val="0"/>
        <w:spacing w:after="0" w:line="360" w:lineRule="auto"/>
        <w:ind w:left="284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prazo prescricional para instrumento particular, caso do protocolo de intenções, como já fora mencionado é quinquenal (5 anos)</w:t>
      </w:r>
      <w:r w:rsidRPr="002E559E">
        <w:rPr>
          <w:rFonts w:ascii="Times New Roman" w:hAnsi="Times New Roman" w:cs="Times New Roman"/>
          <w:sz w:val="24"/>
          <w:szCs w:val="24"/>
        </w:rPr>
        <w:t xml:space="preserve"> (BRASIL, 2012).</w:t>
      </w:r>
    </w:p>
    <w:p w:rsidR="00D43F15" w:rsidRPr="00D43F15" w:rsidRDefault="00D43F15" w:rsidP="00D43F15">
      <w:pPr>
        <w:pStyle w:val="PargrafodaLista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43F15" w:rsidRDefault="00D43F15" w:rsidP="00C27FD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3F15">
        <w:rPr>
          <w:rFonts w:ascii="Times New Roman" w:hAnsi="Times New Roman" w:cs="Times New Roman"/>
          <w:sz w:val="24"/>
          <w:szCs w:val="24"/>
        </w:rPr>
        <w:t xml:space="preserve">Quais partes envolvidas possuem legitimidade </w:t>
      </w:r>
      <w:r w:rsidRPr="00087796">
        <w:rPr>
          <w:rFonts w:ascii="Times New Roman" w:hAnsi="Times New Roman" w:cs="Times New Roman"/>
          <w:i/>
          <w:iCs/>
          <w:sz w:val="24"/>
          <w:szCs w:val="24"/>
        </w:rPr>
        <w:t>ad causam</w:t>
      </w:r>
      <w:r w:rsidRPr="0008779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43F15">
        <w:rPr>
          <w:rFonts w:ascii="Times New Roman" w:hAnsi="Times New Roman" w:cs="Times New Roman"/>
          <w:sz w:val="24"/>
          <w:szCs w:val="24"/>
        </w:rPr>
        <w:t>para a execução e para os embargos</w:t>
      </w:r>
      <w:r w:rsidRPr="00087796">
        <w:rPr>
          <w:rFonts w:ascii="Times New Roman" w:hAnsi="Times New Roman" w:cs="Times New Roman"/>
          <w:iCs/>
          <w:sz w:val="24"/>
          <w:szCs w:val="24"/>
        </w:rPr>
        <w:t>?</w:t>
      </w:r>
    </w:p>
    <w:p w:rsidR="00A13BCB" w:rsidRPr="00087796" w:rsidRDefault="00A13BCB" w:rsidP="00C27FDD">
      <w:pPr>
        <w:pStyle w:val="Pargrafoda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66A8A" w:rsidRDefault="00277A3D" w:rsidP="00A13BCB">
      <w:pPr>
        <w:pStyle w:val="PargrafodaLista"/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</w:t>
      </w:r>
      <w:r w:rsidR="0008779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B0382">
        <w:rPr>
          <w:rFonts w:ascii="Times New Roman" w:hAnsi="Times New Roman" w:cs="Times New Roman"/>
          <w:iCs/>
          <w:sz w:val="24"/>
          <w:szCs w:val="24"/>
        </w:rPr>
        <w:t xml:space="preserve">legitimidade </w:t>
      </w:r>
      <w:r w:rsidR="00087796" w:rsidRPr="00087796">
        <w:rPr>
          <w:rFonts w:ascii="Times New Roman" w:hAnsi="Times New Roman" w:cs="Times New Roman"/>
          <w:i/>
          <w:iCs/>
          <w:sz w:val="24"/>
          <w:szCs w:val="24"/>
        </w:rPr>
        <w:t>ad causam</w:t>
      </w:r>
      <w:r w:rsidR="000877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significa possuir</w:t>
      </w:r>
      <w:r w:rsidR="00087796" w:rsidRPr="00087796">
        <w:rPr>
          <w:rFonts w:ascii="Times New Roman" w:hAnsi="Times New Roman" w:cs="Times New Roman"/>
          <w:iCs/>
          <w:sz w:val="24"/>
          <w:szCs w:val="24"/>
        </w:rPr>
        <w:t xml:space="preserve"> legitimida</w:t>
      </w:r>
      <w:r w:rsidR="00087796">
        <w:rPr>
          <w:rFonts w:ascii="Times New Roman" w:hAnsi="Times New Roman" w:cs="Times New Roman"/>
          <w:iCs/>
          <w:sz w:val="24"/>
          <w:szCs w:val="24"/>
        </w:rPr>
        <w:t xml:space="preserve">de para atuar no contraditório </w:t>
      </w:r>
      <w:r>
        <w:rPr>
          <w:rFonts w:ascii="Times New Roman" w:hAnsi="Times New Roman" w:cs="Times New Roman"/>
          <w:iCs/>
          <w:sz w:val="24"/>
          <w:szCs w:val="24"/>
        </w:rPr>
        <w:t>e discutir a situação jurídica, não neces</w:t>
      </w:r>
      <w:r w:rsidR="00DB434C">
        <w:rPr>
          <w:rFonts w:ascii="Times New Roman" w:hAnsi="Times New Roman" w:cs="Times New Roman"/>
          <w:iCs/>
          <w:sz w:val="24"/>
          <w:szCs w:val="24"/>
        </w:rPr>
        <w:t>sariamente precisa ser a parte (</w:t>
      </w:r>
      <w:r w:rsidR="00CB0382">
        <w:rPr>
          <w:rFonts w:ascii="Times New Roman" w:hAnsi="Times New Roman" w:cs="Times New Roman"/>
          <w:iCs/>
          <w:sz w:val="24"/>
          <w:szCs w:val="24"/>
        </w:rPr>
        <w:t xml:space="preserve">GOMES, 2009). </w:t>
      </w:r>
      <w:r w:rsidR="008E068C">
        <w:rPr>
          <w:rFonts w:ascii="Times New Roman" w:hAnsi="Times New Roman" w:cs="Times New Roman"/>
          <w:iCs/>
          <w:sz w:val="24"/>
          <w:szCs w:val="24"/>
        </w:rPr>
        <w:t>Diante do conceito expos</w:t>
      </w:r>
      <w:r w:rsidR="009B569D">
        <w:rPr>
          <w:rFonts w:ascii="Times New Roman" w:hAnsi="Times New Roman" w:cs="Times New Roman"/>
          <w:iCs/>
          <w:sz w:val="24"/>
          <w:szCs w:val="24"/>
        </w:rPr>
        <w:t xml:space="preserve">to, no que tange a execução </w:t>
      </w:r>
      <w:r w:rsidR="00087796">
        <w:rPr>
          <w:rFonts w:ascii="Times New Roman" w:hAnsi="Times New Roman" w:cs="Times New Roman"/>
          <w:iCs/>
          <w:sz w:val="24"/>
          <w:szCs w:val="24"/>
        </w:rPr>
        <w:t xml:space="preserve">Calebe e </w:t>
      </w:r>
      <w:r>
        <w:rPr>
          <w:rFonts w:ascii="Times New Roman" w:hAnsi="Times New Roman" w:cs="Times New Roman"/>
          <w:iCs/>
          <w:sz w:val="24"/>
          <w:szCs w:val="24"/>
        </w:rPr>
        <w:t>sua esp</w:t>
      </w:r>
      <w:r w:rsidR="009B569D">
        <w:rPr>
          <w:rFonts w:ascii="Times New Roman" w:hAnsi="Times New Roman" w:cs="Times New Roman"/>
          <w:iCs/>
          <w:sz w:val="24"/>
          <w:szCs w:val="24"/>
        </w:rPr>
        <w:t>osa possuem legitimidade para manifestar o principio do contraditório</w:t>
      </w:r>
      <w:r w:rsidR="00AB35A2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087796" w:rsidRDefault="00AB35A2" w:rsidP="00087796">
      <w:pPr>
        <w:pStyle w:val="PargrafodaLista"/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É imprescindível enfatizar que Raabe é coobrigada, uma vez o cônjuge </w:t>
      </w:r>
      <w:r w:rsidR="008E068C">
        <w:rPr>
          <w:rFonts w:ascii="Times New Roman" w:hAnsi="Times New Roman" w:cs="Times New Roman"/>
          <w:iCs/>
          <w:sz w:val="24"/>
          <w:szCs w:val="24"/>
        </w:rPr>
        <w:t>também esta sujeito à</w:t>
      </w:r>
      <w:r>
        <w:rPr>
          <w:rFonts w:ascii="Times New Roman" w:hAnsi="Times New Roman" w:cs="Times New Roman"/>
          <w:iCs/>
          <w:sz w:val="24"/>
          <w:szCs w:val="24"/>
        </w:rPr>
        <w:t xml:space="preserve"> execução da dívida do título executivo extrajudicial, assim dispõe o artigo 790, </w:t>
      </w: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inciso IV do CPC/2015: “São sujeitos à execução os bens – do cônjuge ou companheiro, nos casos em que seus bens próprios ou de sua meação respondem pela dívida” (BRASIL, 2015). </w:t>
      </w:r>
    </w:p>
    <w:p w:rsidR="00D5423D" w:rsidRDefault="00F3687A" w:rsidP="00087796">
      <w:pPr>
        <w:pStyle w:val="PargrafodaLista"/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Com relação à</w:t>
      </w:r>
      <w:r w:rsidR="00D5423D">
        <w:rPr>
          <w:rFonts w:ascii="Times New Roman" w:hAnsi="Times New Roman" w:cs="Times New Roman"/>
          <w:iCs/>
          <w:sz w:val="24"/>
          <w:szCs w:val="24"/>
        </w:rPr>
        <w:t xml:space="preserve"> legitimidade </w:t>
      </w:r>
      <w:r w:rsidR="00D5423D" w:rsidRPr="00087796">
        <w:rPr>
          <w:rFonts w:ascii="Times New Roman" w:hAnsi="Times New Roman" w:cs="Times New Roman"/>
          <w:i/>
          <w:iCs/>
          <w:sz w:val="24"/>
          <w:szCs w:val="24"/>
        </w:rPr>
        <w:t>ad causam</w:t>
      </w:r>
      <w:r w:rsidR="00D5423D">
        <w:rPr>
          <w:rFonts w:ascii="Times New Roman" w:hAnsi="Times New Roman" w:cs="Times New Roman"/>
          <w:iCs/>
          <w:sz w:val="24"/>
          <w:szCs w:val="24"/>
        </w:rPr>
        <w:t xml:space="preserve"> para os embargos, a parte envolvida </w:t>
      </w:r>
      <w:r w:rsidR="00F12682">
        <w:rPr>
          <w:rFonts w:ascii="Times New Roman" w:hAnsi="Times New Roman" w:cs="Times New Roman"/>
          <w:iCs/>
          <w:sz w:val="24"/>
          <w:szCs w:val="24"/>
        </w:rPr>
        <w:t xml:space="preserve">é Moabe (exequente), que </w:t>
      </w:r>
      <w:r w:rsidR="002A1652">
        <w:rPr>
          <w:rFonts w:ascii="Times New Roman" w:hAnsi="Times New Roman" w:cs="Times New Roman"/>
          <w:iCs/>
          <w:sz w:val="24"/>
          <w:szCs w:val="24"/>
        </w:rPr>
        <w:t xml:space="preserve">de acordo com o artigo 920 do CPC/2015, </w:t>
      </w:r>
      <w:r w:rsidR="00BE489C">
        <w:rPr>
          <w:rFonts w:ascii="Times New Roman" w:hAnsi="Times New Roman" w:cs="Times New Roman"/>
          <w:iCs/>
          <w:sz w:val="24"/>
          <w:szCs w:val="24"/>
        </w:rPr>
        <w:t xml:space="preserve">após o recebimento dos embargos pelo juiz, </w:t>
      </w:r>
      <w:r w:rsidR="002A1652">
        <w:rPr>
          <w:rFonts w:ascii="Times New Roman" w:hAnsi="Times New Roman" w:cs="Times New Roman"/>
          <w:iCs/>
          <w:sz w:val="24"/>
          <w:szCs w:val="24"/>
        </w:rPr>
        <w:t>“</w:t>
      </w:r>
      <w:r w:rsidR="00BE489C">
        <w:rPr>
          <w:rFonts w:ascii="Times New Roman" w:hAnsi="Times New Roman" w:cs="Times New Roman"/>
          <w:iCs/>
          <w:sz w:val="24"/>
          <w:szCs w:val="24"/>
        </w:rPr>
        <w:t>seria ouvido</w:t>
      </w:r>
      <w:r w:rsidR="002A1652">
        <w:rPr>
          <w:rFonts w:ascii="Times New Roman" w:hAnsi="Times New Roman" w:cs="Times New Roman"/>
          <w:iCs/>
          <w:sz w:val="24"/>
          <w:szCs w:val="24"/>
        </w:rPr>
        <w:t xml:space="preserve"> no prazo de 15 (quinze) dias” (BRASIL, 2015). </w:t>
      </w:r>
    </w:p>
    <w:p w:rsidR="00A22B9B" w:rsidRPr="00D5423D" w:rsidRDefault="00A22B9B" w:rsidP="00087796">
      <w:pPr>
        <w:pStyle w:val="PargrafodaLista"/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43F15" w:rsidRDefault="00D43F15" w:rsidP="00C66A8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3F15">
        <w:rPr>
          <w:rFonts w:ascii="Times New Roman" w:hAnsi="Times New Roman" w:cs="Times New Roman"/>
          <w:sz w:val="24"/>
          <w:szCs w:val="24"/>
        </w:rPr>
        <w:t xml:space="preserve">Quais medidas judiciais poderiam ser apresentadas na defesa dos interesses do(s) </w:t>
      </w:r>
      <w:r w:rsidR="001B2CA9" w:rsidRPr="00D43F15">
        <w:rPr>
          <w:rFonts w:ascii="Times New Roman" w:hAnsi="Times New Roman" w:cs="Times New Roman"/>
          <w:sz w:val="24"/>
          <w:szCs w:val="24"/>
        </w:rPr>
        <w:t xml:space="preserve">credor(es)? </w:t>
      </w:r>
      <w:r w:rsidRPr="00D43F15">
        <w:rPr>
          <w:rFonts w:ascii="Times New Roman" w:hAnsi="Times New Roman" w:cs="Times New Roman"/>
          <w:sz w:val="24"/>
          <w:szCs w:val="24"/>
        </w:rPr>
        <w:t>Com base em quais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F15">
        <w:rPr>
          <w:rFonts w:ascii="Times New Roman" w:hAnsi="Times New Roman" w:cs="Times New Roman"/>
          <w:sz w:val="24"/>
          <w:szCs w:val="24"/>
        </w:rPr>
        <w:t>fundamentos de direito processual e material?</w:t>
      </w:r>
    </w:p>
    <w:p w:rsidR="00821901" w:rsidRDefault="00821901" w:rsidP="00821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7B6" w:rsidRDefault="0042465A" w:rsidP="0042465A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recurso cabível contra a sentença da fase de exe</w:t>
      </w:r>
      <w:r w:rsidR="00E64428">
        <w:rPr>
          <w:rFonts w:ascii="Times New Roman" w:hAnsi="Times New Roman" w:cs="Times New Roman"/>
          <w:sz w:val="24"/>
          <w:szCs w:val="24"/>
        </w:rPr>
        <w:t>cução é a apelação, assim dispõe o artigo 1009</w:t>
      </w:r>
      <w:r>
        <w:rPr>
          <w:rFonts w:ascii="Times New Roman" w:hAnsi="Times New Roman" w:cs="Times New Roman"/>
          <w:sz w:val="24"/>
          <w:szCs w:val="24"/>
        </w:rPr>
        <w:t xml:space="preserve"> do CPC/2015 </w:t>
      </w:r>
      <w:r w:rsidR="00E64428">
        <w:rPr>
          <w:rFonts w:ascii="Times New Roman" w:hAnsi="Times New Roman" w:cs="Times New Roman"/>
          <w:sz w:val="24"/>
          <w:szCs w:val="24"/>
        </w:rPr>
        <w:t xml:space="preserve">“da sentença cabe apelação” (BRASIL, 2015).  Desta forma, Moabe </w:t>
      </w:r>
      <w:r w:rsidR="005F0CF7">
        <w:rPr>
          <w:rFonts w:ascii="Times New Roman" w:hAnsi="Times New Roman" w:cs="Times New Roman"/>
          <w:sz w:val="24"/>
          <w:szCs w:val="24"/>
        </w:rPr>
        <w:t>apresentará argumentos no intuito de pedir</w:t>
      </w:r>
      <w:r w:rsidR="00E64428">
        <w:rPr>
          <w:rFonts w:ascii="Times New Roman" w:hAnsi="Times New Roman" w:cs="Times New Roman"/>
          <w:sz w:val="24"/>
          <w:szCs w:val="24"/>
        </w:rPr>
        <w:t xml:space="preserve"> </w:t>
      </w:r>
      <w:r w:rsidR="002869FF">
        <w:rPr>
          <w:rFonts w:ascii="Times New Roman" w:hAnsi="Times New Roman" w:cs="Times New Roman"/>
          <w:sz w:val="24"/>
          <w:szCs w:val="24"/>
        </w:rPr>
        <w:t xml:space="preserve">reforma ou </w:t>
      </w:r>
      <w:r w:rsidR="005F0CF7">
        <w:rPr>
          <w:rFonts w:ascii="Times New Roman" w:hAnsi="Times New Roman" w:cs="Times New Roman"/>
          <w:sz w:val="24"/>
          <w:szCs w:val="24"/>
        </w:rPr>
        <w:t>uma</w:t>
      </w:r>
      <w:r w:rsidR="002869FF">
        <w:rPr>
          <w:rFonts w:ascii="Times New Roman" w:hAnsi="Times New Roman" w:cs="Times New Roman"/>
          <w:sz w:val="24"/>
          <w:szCs w:val="24"/>
        </w:rPr>
        <w:t xml:space="preserve"> nova decisão. </w:t>
      </w:r>
    </w:p>
    <w:p w:rsidR="00562F60" w:rsidRDefault="004F29DB" w:rsidP="0042465A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Contra o argumento do indeferimento da penhora, caberia a alegação do artigo </w:t>
      </w:r>
      <w:r w:rsidRPr="006654CD">
        <w:rPr>
          <w:rFonts w:ascii="Times New Roman" w:hAnsi="Times New Roman" w:cs="Times New Roman"/>
          <w:sz w:val="24"/>
          <w:szCs w:val="24"/>
        </w:rPr>
        <w:t>589</w:t>
      </w:r>
      <w:r>
        <w:rPr>
          <w:rFonts w:ascii="Times New Roman" w:hAnsi="Times New Roman" w:cs="Times New Roman"/>
          <w:sz w:val="24"/>
          <w:szCs w:val="24"/>
        </w:rPr>
        <w:t xml:space="preserve"> do CPC/2015 (já mencionado). </w:t>
      </w:r>
      <w:r w:rsidR="00044453">
        <w:rPr>
          <w:rFonts w:ascii="Times New Roman" w:hAnsi="Times New Roman" w:cs="Times New Roman"/>
          <w:sz w:val="24"/>
          <w:szCs w:val="24"/>
        </w:rPr>
        <w:t>No que tange ao argumento</w:t>
      </w:r>
      <w:r>
        <w:rPr>
          <w:rFonts w:ascii="Times New Roman" w:hAnsi="Times New Roman" w:cs="Times New Roman"/>
          <w:sz w:val="24"/>
          <w:szCs w:val="24"/>
        </w:rPr>
        <w:t xml:space="preserve"> de que</w:t>
      </w:r>
      <w:r w:rsidR="000444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21901">
        <w:rPr>
          <w:rFonts w:ascii="Times New Roman" w:hAnsi="Times New Roman" w:cs="Times New Roman"/>
          <w:sz w:val="24"/>
          <w:szCs w:val="24"/>
        </w:rPr>
        <w:t xml:space="preserve"> Protocolo de Intenções não teria natureza de título executivo</w:t>
      </w:r>
      <w:r>
        <w:rPr>
          <w:rFonts w:ascii="Times New Roman" w:hAnsi="Times New Roman" w:cs="Times New Roman"/>
          <w:sz w:val="24"/>
          <w:szCs w:val="24"/>
        </w:rPr>
        <w:t xml:space="preserve">, poderia ser alegado que a presença de duas testemunhas </w:t>
      </w:r>
      <w:r w:rsidR="00562F60">
        <w:rPr>
          <w:rFonts w:ascii="Times New Roman" w:hAnsi="Times New Roman" w:cs="Times New Roman"/>
          <w:sz w:val="24"/>
          <w:szCs w:val="24"/>
        </w:rPr>
        <w:t>(formalização) o transforma</w:t>
      </w:r>
      <w:r>
        <w:rPr>
          <w:rFonts w:ascii="Times New Roman" w:hAnsi="Times New Roman" w:cs="Times New Roman"/>
          <w:sz w:val="24"/>
          <w:szCs w:val="24"/>
        </w:rPr>
        <w:t xml:space="preserve"> em título extrajudi</w:t>
      </w:r>
      <w:r w:rsidR="00562F60">
        <w:rPr>
          <w:rFonts w:ascii="Times New Roman" w:hAnsi="Times New Roman" w:cs="Times New Roman"/>
          <w:sz w:val="24"/>
          <w:szCs w:val="24"/>
        </w:rPr>
        <w:t xml:space="preserve">cial passível de exigibilidade. </w:t>
      </w:r>
    </w:p>
    <w:p w:rsidR="00C16754" w:rsidRDefault="00C16754" w:rsidP="0042465A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alegação de que </w:t>
      </w:r>
      <w:r w:rsidRPr="00821901">
        <w:rPr>
          <w:rFonts w:ascii="Times New Roman" w:hAnsi="Times New Roman" w:cs="Times New Roman"/>
          <w:sz w:val="24"/>
          <w:szCs w:val="24"/>
        </w:rPr>
        <w:t>BETSAIDA</w:t>
      </w:r>
      <w:r>
        <w:rPr>
          <w:rFonts w:ascii="Times New Roman" w:hAnsi="Times New Roman" w:cs="Times New Roman"/>
          <w:sz w:val="24"/>
          <w:szCs w:val="24"/>
        </w:rPr>
        <w:t xml:space="preserve"> não teria </w:t>
      </w:r>
      <w:r w:rsidRPr="00821901">
        <w:rPr>
          <w:rFonts w:ascii="Times New Roman" w:hAnsi="Times New Roman" w:cs="Times New Roman"/>
          <w:sz w:val="24"/>
          <w:szCs w:val="24"/>
        </w:rPr>
        <w:t>legitimidade para figurarem no pólo ativo</w:t>
      </w:r>
      <w:r w:rsidR="00951B3B">
        <w:rPr>
          <w:rFonts w:ascii="Times New Roman" w:hAnsi="Times New Roman" w:cs="Times New Roman"/>
          <w:sz w:val="24"/>
          <w:szCs w:val="24"/>
        </w:rPr>
        <w:t>, está correta</w:t>
      </w:r>
      <w:r>
        <w:rPr>
          <w:rFonts w:ascii="Times New Roman" w:hAnsi="Times New Roman" w:cs="Times New Roman"/>
          <w:sz w:val="24"/>
          <w:szCs w:val="24"/>
        </w:rPr>
        <w:t xml:space="preserve">, apenas Moabe pode figurar no polo ativo da execução. E Raabe possui sim legitimidade passiva, uma vez que é coobrigada na obrigação firmada. </w:t>
      </w:r>
    </w:p>
    <w:p w:rsidR="00D43F15" w:rsidRPr="00D43F15" w:rsidRDefault="00D43F15" w:rsidP="00D43F15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5AD" w:rsidRDefault="005B18A4" w:rsidP="006117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8A4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5B18A4" w:rsidRPr="005B18A4" w:rsidRDefault="005B18A4" w:rsidP="006117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1EA7" w:rsidRDefault="00661EA7" w:rsidP="00661EA7">
      <w:pPr>
        <w:pStyle w:val="Pargrafoda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BRASIL, </w:t>
      </w:r>
      <w:r w:rsidRPr="00661EA7">
        <w:rPr>
          <w:rFonts w:ascii="Times New Roman" w:hAnsi="Times New Roman" w:cs="Times New Roman"/>
          <w:b/>
          <w:sz w:val="24"/>
          <w:szCs w:val="24"/>
        </w:rPr>
        <w:t>Código Civil (2002)</w:t>
      </w:r>
      <w:r w:rsidRPr="00661E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São Paulo: Saraiva, 22º ed. 2016.</w:t>
      </w:r>
    </w:p>
    <w:p w:rsidR="00661EA7" w:rsidRDefault="00661EA7" w:rsidP="00661EA7">
      <w:pPr>
        <w:pStyle w:val="Pargrafoda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B18A4" w:rsidRDefault="005B18A4" w:rsidP="00661EA7">
      <w:pPr>
        <w:pStyle w:val="Pargrafoda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4115">
        <w:rPr>
          <w:rFonts w:ascii="Times New Roman" w:hAnsi="Times New Roman" w:cs="Times New Roman"/>
          <w:sz w:val="24"/>
          <w:szCs w:val="24"/>
        </w:rPr>
        <w:t xml:space="preserve">BRASIL, </w:t>
      </w:r>
      <w:r>
        <w:rPr>
          <w:rFonts w:ascii="Times New Roman" w:hAnsi="Times New Roman" w:cs="Times New Roman"/>
          <w:b/>
          <w:sz w:val="24"/>
          <w:szCs w:val="24"/>
        </w:rPr>
        <w:t>Código de Processo Civil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8A4">
        <w:rPr>
          <w:rFonts w:ascii="Times New Roman" w:hAnsi="Times New Roman" w:cs="Times New Roman"/>
          <w:b/>
          <w:sz w:val="24"/>
          <w:szCs w:val="24"/>
        </w:rPr>
        <w:t>(2015)</w:t>
      </w:r>
      <w:r>
        <w:rPr>
          <w:rFonts w:ascii="Times New Roman" w:hAnsi="Times New Roman" w:cs="Times New Roman"/>
          <w:sz w:val="24"/>
          <w:szCs w:val="24"/>
        </w:rPr>
        <w:t>. São Paulo: Saraiva, 22º ed. 2016</w:t>
      </w:r>
      <w:r w:rsidR="00661EA7">
        <w:rPr>
          <w:rFonts w:ascii="Times New Roman" w:hAnsi="Times New Roman" w:cs="Times New Roman"/>
          <w:sz w:val="24"/>
          <w:szCs w:val="24"/>
        </w:rPr>
        <w:t>.</w:t>
      </w:r>
    </w:p>
    <w:p w:rsidR="00322428" w:rsidRDefault="00322428" w:rsidP="00661EA7">
      <w:pPr>
        <w:pStyle w:val="Pargrafoda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F5F1F" w:rsidRDefault="007F5F1F" w:rsidP="00661EA7">
      <w:pPr>
        <w:pStyle w:val="Pargrafoda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CUNHA,</w:t>
      </w:r>
      <w:r w:rsidRPr="007F5F1F">
        <w:rPr>
          <w:rFonts w:ascii="Times New Roman" w:hAnsi="Times New Roman" w:cs="Times New Roman"/>
          <w:sz w:val="24"/>
          <w:szCs w:val="24"/>
        </w:rPr>
        <w:t xml:space="preserve"> Ibsen Guedes Júnior</w:t>
      </w:r>
      <w:r>
        <w:t xml:space="preserve">. </w:t>
      </w:r>
      <w:r w:rsidRPr="007F5F1F">
        <w:rPr>
          <w:rFonts w:ascii="Times New Roman" w:hAnsi="Times New Roman" w:cs="Times New Roman"/>
          <w:b/>
          <w:sz w:val="24"/>
          <w:szCs w:val="24"/>
        </w:rPr>
        <w:t>A possibilidade de penhora de bem do exequente para saldar o débito exequendo</w:t>
      </w:r>
      <w:r>
        <w:rPr>
          <w:rFonts w:ascii="Times New Roman" w:hAnsi="Times New Roman" w:cs="Times New Roman"/>
          <w:sz w:val="24"/>
          <w:szCs w:val="24"/>
        </w:rPr>
        <w:t>. Belo Horizonte. Disponível em: &lt;</w:t>
      </w:r>
      <w:r w:rsidRPr="007F5F1F">
        <w:t xml:space="preserve"> </w:t>
      </w:r>
      <w:r w:rsidRPr="007F5F1F">
        <w:rPr>
          <w:rFonts w:ascii="Times New Roman" w:hAnsi="Times New Roman" w:cs="Times New Roman"/>
          <w:sz w:val="24"/>
          <w:szCs w:val="24"/>
        </w:rPr>
        <w:t>http://homerocosta.saas.readyportal.net/file_depot/0-10000000/390000-400000/398566/folder/1126368/A_possibilidade_de_penhora_de_bem_do_exequente_para_saldar_o_debito_exequendo.pdf</w:t>
      </w:r>
      <w:r>
        <w:rPr>
          <w:rFonts w:ascii="Times New Roman" w:hAnsi="Times New Roman" w:cs="Times New Roman"/>
          <w:sz w:val="24"/>
          <w:szCs w:val="24"/>
        </w:rPr>
        <w:t xml:space="preserve">&gt;. Acesso em 08 out 2016. </w:t>
      </w:r>
    </w:p>
    <w:p w:rsidR="007F5F1F" w:rsidRDefault="007F5F1F" w:rsidP="00661EA7">
      <w:pPr>
        <w:pStyle w:val="Pargrafoda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32067" w:rsidRDefault="00550FBF" w:rsidP="00661EA7">
      <w:pPr>
        <w:pStyle w:val="Pargrafoda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GOMES, Luiz Flávio</w:t>
      </w:r>
      <w:r w:rsidR="00932067">
        <w:rPr>
          <w:rFonts w:ascii="Times New Roman" w:hAnsi="Times New Roman" w:cs="Times New Roman"/>
          <w:sz w:val="24"/>
          <w:szCs w:val="24"/>
        </w:rPr>
        <w:t xml:space="preserve">. </w:t>
      </w:r>
      <w:r w:rsidR="00932067" w:rsidRPr="00932067">
        <w:rPr>
          <w:rFonts w:ascii="Times New Roman" w:hAnsi="Times New Roman" w:cs="Times New Roman"/>
          <w:b/>
          <w:sz w:val="24"/>
          <w:szCs w:val="24"/>
        </w:rPr>
        <w:t>O que se entende por legitimidade ad causam?</w:t>
      </w:r>
      <w:r>
        <w:rPr>
          <w:rFonts w:ascii="Times New Roman" w:hAnsi="Times New Roman" w:cs="Times New Roman"/>
          <w:sz w:val="24"/>
          <w:szCs w:val="24"/>
        </w:rPr>
        <w:t xml:space="preserve">. 2009. Disponível em: </w:t>
      </w:r>
      <w:r w:rsidR="00932067">
        <w:rPr>
          <w:rFonts w:ascii="Times New Roman" w:hAnsi="Times New Roman" w:cs="Times New Roman"/>
          <w:sz w:val="24"/>
          <w:szCs w:val="24"/>
        </w:rPr>
        <w:t>&lt;</w:t>
      </w:r>
      <w:r w:rsidR="00932067" w:rsidRPr="00932067">
        <w:rPr>
          <w:rFonts w:ascii="Times New Roman" w:hAnsi="Times New Roman" w:cs="Times New Roman"/>
          <w:sz w:val="24"/>
          <w:szCs w:val="24"/>
        </w:rPr>
        <w:t>http://lfg.jusbrasil.com.br/noticias/1041638/o-que-se-entende-por-legitimidade-ad-causam</w:t>
      </w:r>
      <w:r w:rsidR="00932067">
        <w:rPr>
          <w:rFonts w:ascii="Times New Roman" w:hAnsi="Times New Roman" w:cs="Times New Roman"/>
          <w:sz w:val="24"/>
          <w:szCs w:val="24"/>
        </w:rPr>
        <w:t xml:space="preserve">&gt;. Acesso em 09 out 2016. </w:t>
      </w:r>
    </w:p>
    <w:p w:rsidR="00322428" w:rsidRDefault="00322428" w:rsidP="006117F7">
      <w:pPr>
        <w:pStyle w:val="Pargrafoda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173C8" w:rsidRPr="001A7722" w:rsidRDefault="00322428" w:rsidP="001A7722">
      <w:pPr>
        <w:pStyle w:val="Pargrafoda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STOLAGLI, Gustavo Moraes; BRONSTEIN, Sérgio. </w:t>
      </w:r>
      <w:r w:rsidRPr="00E46670">
        <w:rPr>
          <w:rFonts w:ascii="Times New Roman" w:hAnsi="Times New Roman" w:cs="Times New Roman"/>
          <w:b/>
          <w:sz w:val="24"/>
          <w:szCs w:val="24"/>
        </w:rPr>
        <w:t>Cuidados para formalização de Castas de Intenções</w:t>
      </w:r>
      <w:r>
        <w:rPr>
          <w:rFonts w:ascii="Times New Roman" w:hAnsi="Times New Roman" w:cs="Times New Roman"/>
          <w:sz w:val="24"/>
          <w:szCs w:val="24"/>
        </w:rPr>
        <w:t>. 2009. Disponível em : &lt;</w:t>
      </w:r>
      <w:r w:rsidRPr="00322428">
        <w:t xml:space="preserve"> </w:t>
      </w:r>
      <w:r w:rsidRPr="00322428">
        <w:rPr>
          <w:rFonts w:ascii="Times New Roman" w:hAnsi="Times New Roman" w:cs="Times New Roman"/>
          <w:sz w:val="24"/>
          <w:szCs w:val="24"/>
        </w:rPr>
        <w:t>https://capitalaberto.com.br/boletins/cuidados-para-a-formalizacao-de-carta-de-intencoes/#.V_wGdvkrLIV</w:t>
      </w:r>
      <w:r w:rsidR="001A7722">
        <w:rPr>
          <w:rFonts w:ascii="Times New Roman" w:hAnsi="Times New Roman" w:cs="Times New Roman"/>
          <w:sz w:val="24"/>
          <w:szCs w:val="24"/>
        </w:rPr>
        <w:t>&gt;. Acesso em 10 out 2016</w:t>
      </w:r>
    </w:p>
    <w:sectPr w:rsidR="00F173C8" w:rsidRPr="001A7722" w:rsidSect="008E41AA">
      <w:head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9AF" w:rsidRDefault="00E539AF" w:rsidP="0042658E">
      <w:pPr>
        <w:spacing w:after="0" w:line="240" w:lineRule="auto"/>
      </w:pPr>
      <w:r>
        <w:separator/>
      </w:r>
    </w:p>
  </w:endnote>
  <w:endnote w:type="continuationSeparator" w:id="0">
    <w:p w:rsidR="00E539AF" w:rsidRDefault="00E539AF" w:rsidP="00426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9AF" w:rsidRDefault="00E539AF" w:rsidP="0042658E">
      <w:pPr>
        <w:spacing w:after="0" w:line="240" w:lineRule="auto"/>
      </w:pPr>
      <w:r>
        <w:separator/>
      </w:r>
    </w:p>
  </w:footnote>
  <w:footnote w:type="continuationSeparator" w:id="0">
    <w:p w:rsidR="00E539AF" w:rsidRDefault="00E539AF" w:rsidP="0042658E">
      <w:pPr>
        <w:spacing w:after="0" w:line="240" w:lineRule="auto"/>
      </w:pPr>
      <w:r>
        <w:continuationSeparator/>
      </w:r>
    </w:p>
  </w:footnote>
  <w:footnote w:id="1">
    <w:p w:rsidR="0042658E" w:rsidRPr="00115090" w:rsidRDefault="0042658E" w:rsidP="0042658E">
      <w:pPr>
        <w:pStyle w:val="Textodenotaderodap"/>
        <w:jc w:val="both"/>
        <w:rPr>
          <w:rFonts w:ascii="Times New Roman" w:hAnsi="Times New Roman" w:cs="Times New Roman"/>
        </w:rPr>
      </w:pPr>
      <w:r w:rsidRPr="00115090">
        <w:rPr>
          <w:rStyle w:val="Refdenotaderodap"/>
          <w:rFonts w:ascii="Times New Roman" w:hAnsi="Times New Roman" w:cs="Times New Roman"/>
        </w:rPr>
        <w:footnoteRef/>
      </w:r>
      <w:r w:rsidRPr="00115090">
        <w:rPr>
          <w:rFonts w:ascii="Times New Roman" w:hAnsi="Times New Roman" w:cs="Times New Roman"/>
        </w:rPr>
        <w:t xml:space="preserve"> Sinopse do </w:t>
      </w:r>
      <w:r w:rsidRPr="00115090">
        <w:rPr>
          <w:rFonts w:ascii="Times New Roman" w:hAnsi="Times New Roman" w:cs="Times New Roman"/>
          <w:i/>
        </w:rPr>
        <w:t xml:space="preserve">case </w:t>
      </w:r>
      <w:r w:rsidRPr="00115090">
        <w:rPr>
          <w:rFonts w:ascii="Times New Roman" w:hAnsi="Times New Roman" w:cs="Times New Roman"/>
        </w:rPr>
        <w:t>apresentado à disciplina</w:t>
      </w:r>
      <w:r w:rsidR="00321F21" w:rsidRPr="00115090">
        <w:rPr>
          <w:rFonts w:ascii="Times New Roman" w:hAnsi="Times New Roman" w:cs="Times New Roman"/>
        </w:rPr>
        <w:t xml:space="preserve"> Processo de Execução</w:t>
      </w:r>
      <w:r w:rsidRPr="00115090">
        <w:rPr>
          <w:rFonts w:ascii="Times New Roman" w:hAnsi="Times New Roman" w:cs="Times New Roman"/>
        </w:rPr>
        <w:t>, do curso de Direito da Unidade de Ensino Superior Dom Bosco – UNDB.</w:t>
      </w:r>
    </w:p>
  </w:footnote>
  <w:footnote w:id="2">
    <w:p w:rsidR="0042658E" w:rsidRPr="00115090" w:rsidRDefault="0042658E" w:rsidP="0042658E">
      <w:pPr>
        <w:pStyle w:val="Textodenotaderodap"/>
        <w:jc w:val="both"/>
        <w:rPr>
          <w:rFonts w:ascii="Times New Roman" w:hAnsi="Times New Roman" w:cs="Times New Roman"/>
        </w:rPr>
      </w:pPr>
      <w:r w:rsidRPr="00115090">
        <w:rPr>
          <w:rStyle w:val="Refdenotaderodap"/>
          <w:rFonts w:ascii="Times New Roman" w:hAnsi="Times New Roman" w:cs="Times New Roman"/>
        </w:rPr>
        <w:footnoteRef/>
      </w:r>
      <w:r w:rsidRPr="00115090">
        <w:rPr>
          <w:rFonts w:ascii="Times New Roman" w:hAnsi="Times New Roman" w:cs="Times New Roman"/>
        </w:rPr>
        <w:t>Aluna do 7º - vespertino, do curso de Direito da UNDB.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7482962"/>
      <w:docPartObj>
        <w:docPartGallery w:val="Page Numbers (Top of Page)"/>
        <w:docPartUnique/>
      </w:docPartObj>
    </w:sdtPr>
    <w:sdtEndPr/>
    <w:sdtContent>
      <w:p w:rsidR="00197099" w:rsidRDefault="0019709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DFE">
          <w:rPr>
            <w:noProof/>
          </w:rPr>
          <w:t>4</w:t>
        </w:r>
        <w:r>
          <w:fldChar w:fldCharType="end"/>
        </w:r>
      </w:p>
    </w:sdtContent>
  </w:sdt>
  <w:p w:rsidR="00197099" w:rsidRDefault="0019709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F1E5E"/>
    <w:multiLevelType w:val="hybridMultilevel"/>
    <w:tmpl w:val="62388D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58E"/>
    <w:rsid w:val="00012005"/>
    <w:rsid w:val="00015BCD"/>
    <w:rsid w:val="00035296"/>
    <w:rsid w:val="00044453"/>
    <w:rsid w:val="0004730F"/>
    <w:rsid w:val="00087796"/>
    <w:rsid w:val="000C67D7"/>
    <w:rsid w:val="001076C1"/>
    <w:rsid w:val="00115090"/>
    <w:rsid w:val="001435B6"/>
    <w:rsid w:val="00197099"/>
    <w:rsid w:val="001A09F1"/>
    <w:rsid w:val="001A7722"/>
    <w:rsid w:val="001B2CA9"/>
    <w:rsid w:val="001B663D"/>
    <w:rsid w:val="002635F1"/>
    <w:rsid w:val="00271EB7"/>
    <w:rsid w:val="00277A3D"/>
    <w:rsid w:val="002869FF"/>
    <w:rsid w:val="00290E86"/>
    <w:rsid w:val="002A1652"/>
    <w:rsid w:val="002E559E"/>
    <w:rsid w:val="00321F21"/>
    <w:rsid w:val="00322428"/>
    <w:rsid w:val="00334FC7"/>
    <w:rsid w:val="0034471A"/>
    <w:rsid w:val="003A1AF5"/>
    <w:rsid w:val="003A241B"/>
    <w:rsid w:val="003C1E2C"/>
    <w:rsid w:val="003E33E7"/>
    <w:rsid w:val="003F0CEA"/>
    <w:rsid w:val="003F527E"/>
    <w:rsid w:val="003F57CF"/>
    <w:rsid w:val="00420314"/>
    <w:rsid w:val="0042465A"/>
    <w:rsid w:val="0042658E"/>
    <w:rsid w:val="00443661"/>
    <w:rsid w:val="00456D4C"/>
    <w:rsid w:val="004C5601"/>
    <w:rsid w:val="004C5627"/>
    <w:rsid w:val="004E6262"/>
    <w:rsid w:val="004F1346"/>
    <w:rsid w:val="004F29DB"/>
    <w:rsid w:val="0050319F"/>
    <w:rsid w:val="0052104F"/>
    <w:rsid w:val="00534FDC"/>
    <w:rsid w:val="005369B1"/>
    <w:rsid w:val="00550FBF"/>
    <w:rsid w:val="00562F60"/>
    <w:rsid w:val="00593051"/>
    <w:rsid w:val="005A65AD"/>
    <w:rsid w:val="005B18A4"/>
    <w:rsid w:val="005C4EBA"/>
    <w:rsid w:val="005D5B12"/>
    <w:rsid w:val="005F0CF7"/>
    <w:rsid w:val="006117F7"/>
    <w:rsid w:val="00650C04"/>
    <w:rsid w:val="00652124"/>
    <w:rsid w:val="00661EA7"/>
    <w:rsid w:val="00663D7B"/>
    <w:rsid w:val="006654CD"/>
    <w:rsid w:val="006726F1"/>
    <w:rsid w:val="00680887"/>
    <w:rsid w:val="00692E97"/>
    <w:rsid w:val="006B123F"/>
    <w:rsid w:val="006E2797"/>
    <w:rsid w:val="006F4F52"/>
    <w:rsid w:val="00747FF0"/>
    <w:rsid w:val="00785389"/>
    <w:rsid w:val="007A48D8"/>
    <w:rsid w:val="007E0AD5"/>
    <w:rsid w:val="007F5F1F"/>
    <w:rsid w:val="0081275D"/>
    <w:rsid w:val="00821901"/>
    <w:rsid w:val="00825E07"/>
    <w:rsid w:val="008471A7"/>
    <w:rsid w:val="00876AB0"/>
    <w:rsid w:val="008C217B"/>
    <w:rsid w:val="008E068C"/>
    <w:rsid w:val="008E41AA"/>
    <w:rsid w:val="008F1505"/>
    <w:rsid w:val="00916C16"/>
    <w:rsid w:val="00920870"/>
    <w:rsid w:val="009251F1"/>
    <w:rsid w:val="00932067"/>
    <w:rsid w:val="00951B3B"/>
    <w:rsid w:val="009B569D"/>
    <w:rsid w:val="009D593A"/>
    <w:rsid w:val="00A031D1"/>
    <w:rsid w:val="00A13BCB"/>
    <w:rsid w:val="00A22B9B"/>
    <w:rsid w:val="00A5482A"/>
    <w:rsid w:val="00A56984"/>
    <w:rsid w:val="00A75A39"/>
    <w:rsid w:val="00A817FC"/>
    <w:rsid w:val="00A93A92"/>
    <w:rsid w:val="00AA2E5E"/>
    <w:rsid w:val="00AB35A2"/>
    <w:rsid w:val="00AC7657"/>
    <w:rsid w:val="00AD0DB0"/>
    <w:rsid w:val="00AF344A"/>
    <w:rsid w:val="00B06A30"/>
    <w:rsid w:val="00B20E40"/>
    <w:rsid w:val="00B34A27"/>
    <w:rsid w:val="00B43CED"/>
    <w:rsid w:val="00BB2AB8"/>
    <w:rsid w:val="00BB3076"/>
    <w:rsid w:val="00BE489C"/>
    <w:rsid w:val="00BF1F27"/>
    <w:rsid w:val="00C16754"/>
    <w:rsid w:val="00C203EC"/>
    <w:rsid w:val="00C21C86"/>
    <w:rsid w:val="00C27FDD"/>
    <w:rsid w:val="00C66A8A"/>
    <w:rsid w:val="00C66DFE"/>
    <w:rsid w:val="00C757B6"/>
    <w:rsid w:val="00C975A3"/>
    <w:rsid w:val="00CA5517"/>
    <w:rsid w:val="00CB0382"/>
    <w:rsid w:val="00D02A09"/>
    <w:rsid w:val="00D43F15"/>
    <w:rsid w:val="00D519D5"/>
    <w:rsid w:val="00D5423D"/>
    <w:rsid w:val="00D6762E"/>
    <w:rsid w:val="00D77202"/>
    <w:rsid w:val="00DB41A8"/>
    <w:rsid w:val="00DB434C"/>
    <w:rsid w:val="00DC39A3"/>
    <w:rsid w:val="00E07C5F"/>
    <w:rsid w:val="00E1275E"/>
    <w:rsid w:val="00E12FF7"/>
    <w:rsid w:val="00E46670"/>
    <w:rsid w:val="00E539AF"/>
    <w:rsid w:val="00E611D5"/>
    <w:rsid w:val="00E64428"/>
    <w:rsid w:val="00EA40A6"/>
    <w:rsid w:val="00EF257F"/>
    <w:rsid w:val="00F12682"/>
    <w:rsid w:val="00F135D6"/>
    <w:rsid w:val="00F173C8"/>
    <w:rsid w:val="00F30DD0"/>
    <w:rsid w:val="00F3687A"/>
    <w:rsid w:val="00F64EA6"/>
    <w:rsid w:val="00FA1C7D"/>
    <w:rsid w:val="00FB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4300B-C0F0-4CD9-A8E6-EAB4738F8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58E"/>
  </w:style>
  <w:style w:type="paragraph" w:styleId="Cabealho1">
    <w:name w:val="heading 1"/>
    <w:basedOn w:val="Normal"/>
    <w:link w:val="Cabealho1Carter"/>
    <w:uiPriority w:val="9"/>
    <w:qFormat/>
    <w:rsid w:val="009320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arter"/>
    <w:semiHidden/>
    <w:unhideWhenUsed/>
    <w:rsid w:val="0042658E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42658E"/>
    <w:rPr>
      <w:sz w:val="20"/>
      <w:szCs w:val="20"/>
    </w:rPr>
  </w:style>
  <w:style w:type="character" w:styleId="Refdenotaderodap">
    <w:name w:val="footnote reference"/>
    <w:basedOn w:val="Tipodeletrapredefinidodopargrafo"/>
    <w:semiHidden/>
    <w:unhideWhenUsed/>
    <w:rsid w:val="0042658E"/>
    <w:rPr>
      <w:vertAlign w:val="superscript"/>
    </w:rPr>
  </w:style>
  <w:style w:type="character" w:styleId="Hiperligao">
    <w:name w:val="Hyperlink"/>
    <w:basedOn w:val="Tipodeletrapredefinidodopargrafo"/>
    <w:uiPriority w:val="99"/>
    <w:unhideWhenUsed/>
    <w:rsid w:val="00CA5517"/>
    <w:rPr>
      <w:color w:val="0000FF"/>
      <w:u w:val="single"/>
    </w:rPr>
  </w:style>
  <w:style w:type="character" w:customStyle="1" w:styleId="negrita">
    <w:name w:val="negrita"/>
    <w:basedOn w:val="Tipodeletrapredefinidodopargrafo"/>
    <w:rsid w:val="00B43CED"/>
  </w:style>
  <w:style w:type="paragraph" w:styleId="PargrafodaLista">
    <w:name w:val="List Paragraph"/>
    <w:basedOn w:val="Normal"/>
    <w:uiPriority w:val="34"/>
    <w:qFormat/>
    <w:rsid w:val="00D43F15"/>
    <w:pPr>
      <w:ind w:left="720"/>
      <w:contextualSpacing/>
    </w:pPr>
  </w:style>
  <w:style w:type="character" w:customStyle="1" w:styleId="apple-converted-space">
    <w:name w:val="apple-converted-space"/>
    <w:basedOn w:val="Tipodeletrapredefinidodopargrafo"/>
    <w:rsid w:val="00AD0DB0"/>
  </w:style>
  <w:style w:type="paragraph" w:styleId="NormalWeb">
    <w:name w:val="Normal (Web)"/>
    <w:basedOn w:val="Normal"/>
    <w:uiPriority w:val="99"/>
    <w:semiHidden/>
    <w:unhideWhenUsed/>
    <w:rsid w:val="001B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1B2CA9"/>
    <w:rPr>
      <w:b/>
      <w:bCs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93206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art">
    <w:name w:val="art"/>
    <w:basedOn w:val="Normal"/>
    <w:rsid w:val="006F4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">
    <w:name w:val="par"/>
    <w:basedOn w:val="Normal"/>
    <w:rsid w:val="006F4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arter"/>
    <w:uiPriority w:val="99"/>
    <w:unhideWhenUsed/>
    <w:rsid w:val="001970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97099"/>
  </w:style>
  <w:style w:type="paragraph" w:styleId="Rodap">
    <w:name w:val="footer"/>
    <w:basedOn w:val="Normal"/>
    <w:link w:val="RodapCarter"/>
    <w:uiPriority w:val="99"/>
    <w:unhideWhenUsed/>
    <w:rsid w:val="001970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97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3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55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46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286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84740">
          <w:marLeft w:val="240"/>
          <w:marRight w:val="240"/>
          <w:marTop w:val="2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7531">
          <w:marLeft w:val="240"/>
          <w:marRight w:val="240"/>
          <w:marTop w:val="2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779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4</Pages>
  <Words>1434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LUÍS</dc:creator>
  <cp:lastModifiedBy>Leticia de Lima Farias</cp:lastModifiedBy>
  <cp:revision>152</cp:revision>
  <dcterms:created xsi:type="dcterms:W3CDTF">2016-10-08T17:57:00Z</dcterms:created>
  <dcterms:modified xsi:type="dcterms:W3CDTF">2017-11-24T12:04:00Z</dcterms:modified>
</cp:coreProperties>
</file>