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762" w:rsidRPr="00A40DE7" w:rsidRDefault="00F16762" w:rsidP="00F16762">
      <w:pPr>
        <w:pStyle w:val="CabealhodoSumrio"/>
        <w:numPr>
          <w:ilvl w:val="0"/>
          <w:numId w:val="0"/>
        </w:numPr>
        <w:spacing w:before="0" w:line="360" w:lineRule="auto"/>
        <w:ind w:left="432" w:firstLine="276"/>
        <w:jc w:val="center"/>
        <w:rPr>
          <w:rFonts w:ascii="Arial" w:eastAsiaTheme="minorHAnsi" w:hAnsi="Arial" w:cs="Arial"/>
          <w:b/>
          <w:color w:val="auto"/>
          <w:sz w:val="24"/>
          <w:szCs w:val="24"/>
          <w:lang w:eastAsia="en-US"/>
        </w:rPr>
      </w:pPr>
      <w:bookmarkStart w:id="0" w:name="_Toc453000497"/>
      <w:r w:rsidRPr="00A40DE7">
        <w:rPr>
          <w:rFonts w:ascii="Arial" w:eastAsiaTheme="minorHAnsi" w:hAnsi="Arial" w:cs="Arial"/>
          <w:b/>
          <w:color w:val="auto"/>
          <w:sz w:val="24"/>
          <w:szCs w:val="24"/>
          <w:lang w:eastAsia="en-US"/>
        </w:rPr>
        <w:t>PONTIFÍCIA UNIVERSIDADE CATÓLICA DE MINAS GERAIS</w:t>
      </w:r>
    </w:p>
    <w:p w:rsidR="00F16762" w:rsidRPr="00A40DE7" w:rsidRDefault="00F16762" w:rsidP="00F16762">
      <w:pPr>
        <w:spacing w:after="0" w:line="360" w:lineRule="auto"/>
        <w:jc w:val="center"/>
        <w:rPr>
          <w:rFonts w:ascii="Arial" w:hAnsi="Arial" w:cs="Arial"/>
          <w:b/>
          <w:sz w:val="24"/>
          <w:szCs w:val="24"/>
        </w:rPr>
      </w:pPr>
      <w:r w:rsidRPr="00A40DE7">
        <w:rPr>
          <w:rFonts w:ascii="Arial" w:hAnsi="Arial" w:cs="Arial"/>
          <w:b/>
          <w:sz w:val="24"/>
          <w:szCs w:val="24"/>
        </w:rPr>
        <w:t>Instituto de Ciências Econômicas e Gerenciais</w:t>
      </w:r>
    </w:p>
    <w:p w:rsidR="00F16762" w:rsidRPr="00A40DE7" w:rsidRDefault="00F16762" w:rsidP="00F16762">
      <w:pPr>
        <w:spacing w:after="0" w:line="360" w:lineRule="auto"/>
        <w:jc w:val="center"/>
        <w:rPr>
          <w:rFonts w:ascii="Arial" w:hAnsi="Arial" w:cs="Arial"/>
          <w:b/>
          <w:sz w:val="24"/>
          <w:szCs w:val="24"/>
        </w:rPr>
      </w:pPr>
      <w:r w:rsidRPr="00A40DE7">
        <w:rPr>
          <w:rFonts w:ascii="Arial" w:hAnsi="Arial" w:cs="Arial"/>
          <w:b/>
          <w:sz w:val="24"/>
          <w:szCs w:val="24"/>
        </w:rPr>
        <w:t>Curso de Ciências Econômicas</w:t>
      </w:r>
    </w:p>
    <w:p w:rsidR="00F16762" w:rsidRPr="00A40DE7" w:rsidRDefault="00F16762" w:rsidP="00F16762">
      <w:pPr>
        <w:pStyle w:val="CabealhodoSumrio"/>
        <w:numPr>
          <w:ilvl w:val="0"/>
          <w:numId w:val="0"/>
        </w:numPr>
        <w:spacing w:before="0" w:line="360" w:lineRule="auto"/>
        <w:ind w:left="432"/>
        <w:jc w:val="center"/>
        <w:rPr>
          <w:rFonts w:ascii="Arial" w:eastAsiaTheme="minorHAnsi" w:hAnsi="Arial" w:cs="Arial"/>
          <w:b/>
          <w:color w:val="auto"/>
          <w:sz w:val="24"/>
          <w:szCs w:val="24"/>
          <w:lang w:eastAsia="en-US"/>
        </w:rPr>
      </w:pPr>
    </w:p>
    <w:p w:rsidR="00F16762" w:rsidRDefault="00F16762" w:rsidP="00F16762">
      <w:pPr>
        <w:pStyle w:val="CabealhodoSumrio"/>
        <w:numPr>
          <w:ilvl w:val="0"/>
          <w:numId w:val="0"/>
        </w:numPr>
        <w:spacing w:before="0" w:line="360" w:lineRule="auto"/>
        <w:ind w:left="432"/>
        <w:jc w:val="center"/>
        <w:rPr>
          <w:rFonts w:ascii="Arial" w:eastAsiaTheme="minorHAnsi" w:hAnsi="Arial" w:cs="Arial"/>
          <w:b/>
          <w:color w:val="auto"/>
          <w:sz w:val="24"/>
          <w:szCs w:val="24"/>
          <w:lang w:eastAsia="en-US"/>
        </w:rPr>
      </w:pPr>
    </w:p>
    <w:p w:rsidR="00F16762" w:rsidRPr="00A40DE7" w:rsidRDefault="00F16762" w:rsidP="00F16762">
      <w:pPr>
        <w:jc w:val="center"/>
      </w:pPr>
    </w:p>
    <w:p w:rsidR="00F16762" w:rsidRPr="00A40DE7" w:rsidRDefault="00F16762" w:rsidP="00F16762">
      <w:pPr>
        <w:pStyle w:val="CabealhodoSumrio"/>
        <w:numPr>
          <w:ilvl w:val="0"/>
          <w:numId w:val="0"/>
        </w:numPr>
        <w:spacing w:before="0" w:line="360" w:lineRule="auto"/>
        <w:ind w:left="432"/>
        <w:jc w:val="center"/>
        <w:rPr>
          <w:rFonts w:ascii="Arial" w:eastAsiaTheme="minorHAnsi" w:hAnsi="Arial" w:cs="Arial"/>
          <w:b/>
          <w:color w:val="auto"/>
          <w:sz w:val="24"/>
          <w:szCs w:val="24"/>
          <w:lang w:eastAsia="en-US"/>
        </w:rPr>
      </w:pPr>
    </w:p>
    <w:p w:rsidR="00F16762" w:rsidRPr="00A40DE7" w:rsidRDefault="00F16762" w:rsidP="00F16762">
      <w:pPr>
        <w:pStyle w:val="CabealhodoSumrio"/>
        <w:numPr>
          <w:ilvl w:val="0"/>
          <w:numId w:val="0"/>
        </w:numPr>
        <w:spacing w:before="0" w:line="360" w:lineRule="auto"/>
        <w:jc w:val="center"/>
        <w:rPr>
          <w:rFonts w:ascii="Arial" w:eastAsiaTheme="minorHAnsi" w:hAnsi="Arial" w:cs="Arial"/>
          <w:b/>
          <w:color w:val="auto"/>
          <w:sz w:val="24"/>
          <w:szCs w:val="24"/>
          <w:lang w:eastAsia="en-US"/>
        </w:rPr>
      </w:pPr>
      <w:r>
        <w:rPr>
          <w:rFonts w:ascii="Arial" w:eastAsiaTheme="minorHAnsi" w:hAnsi="Arial" w:cs="Arial"/>
          <w:b/>
          <w:color w:val="auto"/>
          <w:sz w:val="24"/>
          <w:szCs w:val="24"/>
          <w:lang w:eastAsia="en-US"/>
        </w:rPr>
        <w:t>André Luís dos Santos Soares</w:t>
      </w:r>
    </w:p>
    <w:p w:rsidR="00F16762" w:rsidRPr="00A40DE7" w:rsidRDefault="00F16762" w:rsidP="00F16762">
      <w:pPr>
        <w:spacing w:after="0" w:line="360" w:lineRule="auto"/>
        <w:jc w:val="center"/>
        <w:rPr>
          <w:b/>
        </w:rPr>
      </w:pPr>
    </w:p>
    <w:p w:rsidR="00F16762" w:rsidRPr="00A40DE7" w:rsidRDefault="00F16762" w:rsidP="00F16762">
      <w:pPr>
        <w:spacing w:after="0" w:line="360" w:lineRule="auto"/>
        <w:jc w:val="center"/>
        <w:rPr>
          <w:b/>
        </w:rPr>
      </w:pPr>
    </w:p>
    <w:p w:rsidR="00F16762" w:rsidRPr="00A40DE7" w:rsidRDefault="00F16762" w:rsidP="00F16762">
      <w:pPr>
        <w:spacing w:after="0" w:line="360" w:lineRule="auto"/>
        <w:jc w:val="center"/>
        <w:rPr>
          <w:b/>
        </w:rPr>
      </w:pPr>
    </w:p>
    <w:p w:rsidR="00F16762" w:rsidRPr="00A40DE7" w:rsidRDefault="00F16762" w:rsidP="00F16762">
      <w:pPr>
        <w:spacing w:after="0" w:line="360" w:lineRule="auto"/>
        <w:jc w:val="center"/>
        <w:rPr>
          <w:b/>
        </w:rPr>
      </w:pPr>
    </w:p>
    <w:p w:rsidR="00F16762"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r>
        <w:rPr>
          <w:rFonts w:ascii="Arial" w:hAnsi="Arial" w:cs="Arial"/>
          <w:b/>
          <w:sz w:val="24"/>
        </w:rPr>
        <w:t>COMPORTAMENTO BANCÁRIO SOB A ÓTICA DA PREFERÊNCIA PELA LIQUIDEZ</w:t>
      </w: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ind w:left="3969"/>
        <w:jc w:val="center"/>
        <w:rPr>
          <w:rFonts w:ascii="Arial" w:hAnsi="Arial" w:cs="Arial"/>
          <w:b/>
          <w:sz w:val="24"/>
        </w:rPr>
      </w:pPr>
    </w:p>
    <w:p w:rsidR="00F16762" w:rsidRPr="00A40DE7" w:rsidRDefault="00F16762" w:rsidP="00F16762">
      <w:pPr>
        <w:spacing w:after="0" w:line="360" w:lineRule="auto"/>
        <w:ind w:left="3969"/>
        <w:jc w:val="center"/>
        <w:rPr>
          <w:rFonts w:ascii="Arial" w:hAnsi="Arial" w:cs="Arial"/>
          <w:b/>
          <w:sz w:val="24"/>
        </w:rPr>
      </w:pPr>
    </w:p>
    <w:p w:rsidR="00F16762" w:rsidRPr="00A40DE7" w:rsidRDefault="00F16762" w:rsidP="00F16762">
      <w:pPr>
        <w:spacing w:line="360" w:lineRule="auto"/>
        <w:jc w:val="center"/>
        <w:rPr>
          <w:rFonts w:ascii="Arial" w:hAnsi="Arial" w:cs="Arial"/>
          <w:b/>
          <w:sz w:val="24"/>
        </w:rPr>
      </w:pPr>
    </w:p>
    <w:p w:rsidR="00F16762" w:rsidRPr="00A40DE7" w:rsidRDefault="00F16762" w:rsidP="00F16762">
      <w:pPr>
        <w:spacing w:line="360" w:lineRule="auto"/>
        <w:jc w:val="center"/>
        <w:rPr>
          <w:rFonts w:ascii="Arial" w:hAnsi="Arial" w:cs="Arial"/>
          <w:b/>
          <w:sz w:val="24"/>
        </w:rPr>
      </w:pPr>
    </w:p>
    <w:p w:rsidR="00F16762" w:rsidRPr="00A40DE7" w:rsidRDefault="00F16762" w:rsidP="00F16762">
      <w:pPr>
        <w:spacing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Pr="00861058" w:rsidRDefault="00F16762" w:rsidP="00F16762">
      <w:pPr>
        <w:spacing w:after="0" w:line="360" w:lineRule="auto"/>
        <w:jc w:val="center"/>
        <w:rPr>
          <w:rFonts w:ascii="Arial" w:hAnsi="Arial" w:cs="Arial"/>
          <w:b/>
          <w:sz w:val="24"/>
        </w:rPr>
      </w:pPr>
      <w:r w:rsidRPr="00861058">
        <w:rPr>
          <w:rFonts w:ascii="Arial" w:hAnsi="Arial" w:cs="Arial"/>
          <w:b/>
          <w:sz w:val="24"/>
        </w:rPr>
        <w:t>Belo Horizonte</w:t>
      </w:r>
    </w:p>
    <w:p w:rsidR="00F16762" w:rsidRDefault="00F16762" w:rsidP="00F16762">
      <w:pPr>
        <w:spacing w:after="0" w:line="360" w:lineRule="auto"/>
        <w:jc w:val="center"/>
        <w:rPr>
          <w:rFonts w:ascii="Arial" w:hAnsi="Arial" w:cs="Arial"/>
          <w:b/>
          <w:sz w:val="24"/>
        </w:rPr>
      </w:pPr>
      <w:r w:rsidRPr="00861058">
        <w:rPr>
          <w:rFonts w:ascii="Arial" w:hAnsi="Arial" w:cs="Arial"/>
          <w:b/>
          <w:sz w:val="24"/>
        </w:rPr>
        <w:t>2017</w:t>
      </w:r>
    </w:p>
    <w:p w:rsidR="00F16762" w:rsidRPr="00F16762" w:rsidRDefault="00F16762" w:rsidP="00F16762">
      <w:pPr>
        <w:spacing w:after="0" w:line="360" w:lineRule="auto"/>
        <w:jc w:val="center"/>
        <w:rPr>
          <w:rFonts w:ascii="Arial" w:hAnsi="Arial" w:cs="Arial"/>
          <w:b/>
          <w:sz w:val="24"/>
        </w:rPr>
      </w:pPr>
      <w:r>
        <w:rPr>
          <w:rFonts w:ascii="Arial" w:eastAsiaTheme="minorHAnsi" w:hAnsi="Arial" w:cs="Arial"/>
          <w:b/>
          <w:sz w:val="24"/>
          <w:szCs w:val="24"/>
        </w:rPr>
        <w:lastRenderedPageBreak/>
        <w:t>André Luís dos Santos Soares</w:t>
      </w:r>
    </w:p>
    <w:p w:rsidR="00F16762" w:rsidRPr="00A40DE7" w:rsidRDefault="00F16762" w:rsidP="00F16762">
      <w:pPr>
        <w:spacing w:after="0" w:line="360" w:lineRule="auto"/>
        <w:rPr>
          <w:b/>
        </w:rPr>
      </w:pPr>
    </w:p>
    <w:p w:rsidR="00F16762" w:rsidRPr="00A40DE7" w:rsidRDefault="00F16762" w:rsidP="00F16762">
      <w:pPr>
        <w:spacing w:after="0" w:line="360" w:lineRule="auto"/>
        <w:rPr>
          <w:b/>
        </w:rPr>
      </w:pPr>
    </w:p>
    <w:p w:rsidR="00F16762" w:rsidRPr="00A40DE7" w:rsidRDefault="00F16762" w:rsidP="00F16762">
      <w:pPr>
        <w:spacing w:after="0" w:line="360" w:lineRule="auto"/>
        <w:rPr>
          <w:b/>
        </w:rPr>
      </w:pPr>
    </w:p>
    <w:p w:rsidR="00F16762" w:rsidRPr="00A40DE7" w:rsidRDefault="00F16762" w:rsidP="00F16762">
      <w:pPr>
        <w:spacing w:after="0" w:line="360" w:lineRule="auto"/>
        <w:rPr>
          <w:b/>
        </w:rPr>
      </w:pPr>
    </w:p>
    <w:p w:rsidR="00F16762" w:rsidRPr="00A40DE7"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r>
        <w:rPr>
          <w:rFonts w:ascii="Arial" w:hAnsi="Arial" w:cs="Arial"/>
          <w:b/>
          <w:sz w:val="24"/>
        </w:rPr>
        <w:t>COMPORTAMENTO BANCÁRIO SOB A ÓTICA DA PREFERÊNCIA PELA LIQUIDEZ</w:t>
      </w:r>
    </w:p>
    <w:p w:rsidR="00F16762" w:rsidRPr="00A40DE7" w:rsidRDefault="00F16762" w:rsidP="00F16762">
      <w:pPr>
        <w:spacing w:after="0"/>
        <w:jc w:val="center"/>
        <w:rPr>
          <w:rFonts w:ascii="Arial" w:hAnsi="Arial" w:cs="Arial"/>
          <w:b/>
          <w:sz w:val="24"/>
        </w:rPr>
      </w:pPr>
    </w:p>
    <w:p w:rsidR="00F16762" w:rsidRPr="00A40DE7" w:rsidRDefault="00F16762" w:rsidP="00F16762">
      <w:pPr>
        <w:spacing w:after="0"/>
        <w:jc w:val="center"/>
        <w:rPr>
          <w:rFonts w:ascii="Arial" w:hAnsi="Arial" w:cs="Arial"/>
          <w:b/>
          <w:sz w:val="24"/>
        </w:rPr>
      </w:pPr>
    </w:p>
    <w:p w:rsidR="00F16762" w:rsidRPr="00A40DE7" w:rsidRDefault="00F16762" w:rsidP="00F16762">
      <w:pPr>
        <w:spacing w:after="0"/>
        <w:rPr>
          <w:rFonts w:ascii="Arial" w:hAnsi="Arial" w:cs="Arial"/>
          <w:b/>
          <w:sz w:val="24"/>
        </w:rPr>
      </w:pPr>
    </w:p>
    <w:p w:rsidR="00F16762" w:rsidRPr="00A40DE7" w:rsidRDefault="00F16762" w:rsidP="00F16762">
      <w:pPr>
        <w:spacing w:after="0"/>
        <w:ind w:left="3969"/>
        <w:jc w:val="both"/>
        <w:rPr>
          <w:rFonts w:ascii="Arial" w:hAnsi="Arial" w:cs="Arial"/>
          <w:b/>
          <w:sz w:val="24"/>
        </w:rPr>
      </w:pPr>
    </w:p>
    <w:p w:rsidR="00F16762" w:rsidRPr="00A40DE7" w:rsidRDefault="00F16762" w:rsidP="00F16762">
      <w:pPr>
        <w:spacing w:after="0"/>
        <w:ind w:left="3969"/>
        <w:jc w:val="both"/>
        <w:rPr>
          <w:rFonts w:ascii="Arial" w:hAnsi="Arial" w:cs="Arial"/>
          <w:b/>
          <w:sz w:val="24"/>
        </w:rPr>
      </w:pPr>
    </w:p>
    <w:p w:rsidR="00F16762" w:rsidRPr="00A40DE7" w:rsidRDefault="00F16762" w:rsidP="00F16762">
      <w:pPr>
        <w:spacing w:after="0"/>
        <w:ind w:left="3969"/>
        <w:jc w:val="both"/>
        <w:rPr>
          <w:rFonts w:ascii="Arial" w:hAnsi="Arial" w:cs="Arial"/>
          <w:b/>
          <w:sz w:val="24"/>
        </w:rPr>
      </w:pPr>
    </w:p>
    <w:p w:rsidR="00F16762" w:rsidRPr="00A40DE7" w:rsidRDefault="00F16762" w:rsidP="00F16762">
      <w:pPr>
        <w:spacing w:after="0"/>
        <w:ind w:left="3969"/>
        <w:jc w:val="both"/>
        <w:rPr>
          <w:rFonts w:ascii="Arial" w:hAnsi="Arial" w:cs="Arial"/>
          <w:sz w:val="24"/>
        </w:rPr>
      </w:pPr>
      <w:r>
        <w:rPr>
          <w:rFonts w:ascii="Arial" w:hAnsi="Arial" w:cs="Arial"/>
          <w:sz w:val="24"/>
        </w:rPr>
        <w:t>Monografia apresentada ao</w:t>
      </w:r>
      <w:r w:rsidRPr="00A40DE7">
        <w:rPr>
          <w:rFonts w:ascii="Arial" w:hAnsi="Arial" w:cs="Arial"/>
          <w:sz w:val="24"/>
        </w:rPr>
        <w:t xml:space="preserve"> Cur</w:t>
      </w:r>
      <w:r>
        <w:rPr>
          <w:rFonts w:ascii="Arial" w:hAnsi="Arial" w:cs="Arial"/>
          <w:sz w:val="24"/>
        </w:rPr>
        <w:t xml:space="preserve">so de Ciências Econômicas </w:t>
      </w:r>
      <w:r w:rsidRPr="00A40DE7">
        <w:rPr>
          <w:rFonts w:ascii="Arial" w:hAnsi="Arial" w:cs="Arial"/>
          <w:sz w:val="24"/>
        </w:rPr>
        <w:t>do Instituto de Ciências Econômicas e Gerenciais da Pontifícia Universidade Católica de Minas Gerais</w:t>
      </w:r>
      <w:r>
        <w:rPr>
          <w:rFonts w:ascii="Arial" w:hAnsi="Arial" w:cs="Arial"/>
          <w:sz w:val="24"/>
        </w:rPr>
        <w:t>, como requisito parcial para obtenção do título de Bacharel em Economia</w:t>
      </w:r>
      <w:r w:rsidRPr="00A40DE7">
        <w:rPr>
          <w:rFonts w:ascii="Arial" w:hAnsi="Arial" w:cs="Arial"/>
          <w:sz w:val="24"/>
        </w:rPr>
        <w:t>.</w:t>
      </w:r>
    </w:p>
    <w:p w:rsidR="00F16762" w:rsidRPr="00A40DE7" w:rsidRDefault="00F16762" w:rsidP="00F16762">
      <w:pPr>
        <w:spacing w:after="0"/>
        <w:ind w:left="3969"/>
        <w:jc w:val="both"/>
        <w:rPr>
          <w:rFonts w:ascii="Arial" w:hAnsi="Arial" w:cs="Arial"/>
          <w:sz w:val="24"/>
        </w:rPr>
      </w:pPr>
    </w:p>
    <w:p w:rsidR="00F16762" w:rsidRPr="00A40DE7" w:rsidRDefault="00F16762" w:rsidP="00F16762">
      <w:pPr>
        <w:spacing w:after="0"/>
        <w:ind w:left="3969"/>
        <w:jc w:val="both"/>
        <w:rPr>
          <w:rFonts w:ascii="Arial" w:hAnsi="Arial" w:cs="Arial"/>
          <w:sz w:val="24"/>
        </w:rPr>
      </w:pPr>
      <w:r>
        <w:rPr>
          <w:rFonts w:ascii="Arial" w:hAnsi="Arial" w:cs="Arial"/>
          <w:sz w:val="24"/>
        </w:rPr>
        <w:t>Orientadora</w:t>
      </w:r>
      <w:r w:rsidRPr="00A40DE7">
        <w:rPr>
          <w:rFonts w:ascii="Arial" w:hAnsi="Arial" w:cs="Arial"/>
          <w:sz w:val="24"/>
        </w:rPr>
        <w:t xml:space="preserve">: </w:t>
      </w:r>
      <w:r>
        <w:rPr>
          <w:rFonts w:ascii="Arial" w:hAnsi="Arial" w:cs="Arial"/>
          <w:sz w:val="24"/>
        </w:rPr>
        <w:t>Prof</w:t>
      </w:r>
      <w:r>
        <w:rPr>
          <w:rFonts w:ascii="Arial" w:hAnsi="Arial" w:cs="Arial"/>
          <w:sz w:val="24"/>
          <w:vertAlign w:val="superscript"/>
        </w:rPr>
        <w:t>a</w:t>
      </w:r>
      <w:r>
        <w:rPr>
          <w:rFonts w:ascii="Arial" w:hAnsi="Arial" w:cs="Arial"/>
          <w:sz w:val="24"/>
        </w:rPr>
        <w:t>. Dr</w:t>
      </w:r>
      <w:r>
        <w:rPr>
          <w:rFonts w:ascii="Arial" w:hAnsi="Arial" w:cs="Arial"/>
          <w:sz w:val="24"/>
          <w:vertAlign w:val="superscript"/>
        </w:rPr>
        <w:t>a</w:t>
      </w:r>
      <w:r>
        <w:rPr>
          <w:rFonts w:ascii="Arial" w:hAnsi="Arial" w:cs="Arial"/>
          <w:sz w:val="24"/>
        </w:rPr>
        <w:t xml:space="preserve">. Maria Letícia L. </w:t>
      </w:r>
      <w:proofErr w:type="spellStart"/>
      <w:proofErr w:type="gramStart"/>
      <w:r>
        <w:rPr>
          <w:rFonts w:ascii="Arial" w:hAnsi="Arial" w:cs="Arial"/>
          <w:sz w:val="24"/>
        </w:rPr>
        <w:t>Estanislau</w:t>
      </w:r>
      <w:proofErr w:type="spellEnd"/>
      <w:proofErr w:type="gramEnd"/>
    </w:p>
    <w:p w:rsidR="00F16762" w:rsidRPr="00A40DE7" w:rsidRDefault="00F16762" w:rsidP="00F16762">
      <w:pPr>
        <w:spacing w:after="0"/>
        <w:ind w:left="3969"/>
        <w:jc w:val="both"/>
        <w:rPr>
          <w:rFonts w:ascii="Arial" w:hAnsi="Arial" w:cs="Arial"/>
          <w:sz w:val="24"/>
        </w:rPr>
      </w:pPr>
      <w:r w:rsidRPr="00A40DE7">
        <w:rPr>
          <w:rFonts w:ascii="Arial" w:hAnsi="Arial" w:cs="Arial"/>
          <w:sz w:val="24"/>
        </w:rPr>
        <w:tab/>
      </w:r>
      <w:r w:rsidRPr="00A40DE7">
        <w:rPr>
          <w:rFonts w:ascii="Arial" w:hAnsi="Arial" w:cs="Arial"/>
          <w:sz w:val="24"/>
        </w:rPr>
        <w:tab/>
        <w:t xml:space="preserve">    </w:t>
      </w:r>
    </w:p>
    <w:p w:rsidR="00F16762" w:rsidRPr="00A40DE7" w:rsidRDefault="00F16762" w:rsidP="00F16762">
      <w:pPr>
        <w:jc w:val="center"/>
        <w:rPr>
          <w:rFonts w:ascii="Arial" w:hAnsi="Arial" w:cs="Arial"/>
          <w:b/>
          <w:sz w:val="24"/>
        </w:rPr>
      </w:pPr>
    </w:p>
    <w:p w:rsidR="00F16762" w:rsidRDefault="00F16762" w:rsidP="00F16762">
      <w:pPr>
        <w:spacing w:after="0"/>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r w:rsidRPr="00A40DE7">
        <w:rPr>
          <w:rFonts w:ascii="Arial" w:hAnsi="Arial" w:cs="Arial"/>
          <w:b/>
          <w:sz w:val="24"/>
        </w:rPr>
        <w:t>Belo Horizonte</w:t>
      </w:r>
    </w:p>
    <w:p w:rsidR="00F16762" w:rsidRDefault="00F16762" w:rsidP="00F16762">
      <w:pPr>
        <w:spacing w:after="0" w:line="360" w:lineRule="auto"/>
        <w:jc w:val="center"/>
        <w:rPr>
          <w:rFonts w:ascii="Arial" w:hAnsi="Arial" w:cs="Arial"/>
          <w:b/>
          <w:sz w:val="24"/>
        </w:rPr>
      </w:pPr>
      <w:r>
        <w:rPr>
          <w:rFonts w:ascii="Arial" w:hAnsi="Arial" w:cs="Arial"/>
          <w:b/>
          <w:sz w:val="24"/>
        </w:rPr>
        <w:t>2017</w:t>
      </w:r>
    </w:p>
    <w:p w:rsidR="00F16762" w:rsidRDefault="00F16762" w:rsidP="00F16762">
      <w:pPr>
        <w:spacing w:after="0" w:line="360" w:lineRule="auto"/>
        <w:jc w:val="center"/>
        <w:rPr>
          <w:rFonts w:ascii="Arial" w:hAnsi="Arial" w:cs="Arial"/>
          <w:b/>
          <w:sz w:val="24"/>
        </w:rPr>
      </w:pPr>
      <w:r>
        <w:rPr>
          <w:rFonts w:ascii="Arial" w:hAnsi="Arial" w:cs="Arial"/>
          <w:b/>
          <w:sz w:val="24"/>
        </w:rPr>
        <w:lastRenderedPageBreak/>
        <w:t>André Luís dos Santos Soares</w:t>
      </w: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Pr="00801D9F" w:rsidRDefault="00F16762" w:rsidP="00F16762">
      <w:pPr>
        <w:spacing w:after="0" w:line="240" w:lineRule="auto"/>
        <w:jc w:val="center"/>
        <w:rPr>
          <w:rFonts w:ascii="Arial" w:hAnsi="Arial" w:cs="Arial"/>
          <w:i/>
          <w:sz w:val="24"/>
        </w:rPr>
      </w:pPr>
      <w:r w:rsidRPr="00801D9F">
        <w:rPr>
          <w:rFonts w:ascii="Arial" w:hAnsi="Arial" w:cs="Arial"/>
          <w:i/>
          <w:sz w:val="24"/>
        </w:rPr>
        <w:t>Monografia apresentada ao Curso de Ciências Econômicas do Instituto de Ciências Econômicas e Gerenciais da Pontifícia Universidade Católica de Minas Gerais, como requisito parcial para obtenção do título de Bacharel em Economia.</w:t>
      </w: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p>
    <w:p w:rsidR="00F16762" w:rsidRPr="00A40DE7" w:rsidRDefault="00F16762" w:rsidP="00F16762">
      <w:pPr>
        <w:spacing w:after="0" w:line="360" w:lineRule="auto"/>
        <w:jc w:val="center"/>
        <w:rPr>
          <w:rFonts w:ascii="Arial" w:hAnsi="Arial" w:cs="Arial"/>
          <w:b/>
          <w:sz w:val="24"/>
        </w:rPr>
      </w:pPr>
      <w:r>
        <w:rPr>
          <w:rFonts w:ascii="Arial" w:hAnsi="Arial" w:cs="Arial"/>
          <w:b/>
          <w:sz w:val="24"/>
        </w:rPr>
        <w:t>COMPORTAMENTO BANCÁRIO SOB A ÓTICA DA PREFERÊNCIA PELA LIQUIDEZ</w:t>
      </w:r>
    </w:p>
    <w:p w:rsidR="00F16762" w:rsidRDefault="00F16762" w:rsidP="00F16762">
      <w:pPr>
        <w:spacing w:after="0" w:line="360" w:lineRule="auto"/>
        <w:jc w:val="center"/>
        <w:rPr>
          <w:rFonts w:ascii="Arial" w:hAnsi="Arial" w:cs="Arial"/>
          <w:sz w:val="24"/>
        </w:rPr>
      </w:pPr>
    </w:p>
    <w:p w:rsidR="00F16762" w:rsidRDefault="00F16762" w:rsidP="00F16762">
      <w:pPr>
        <w:spacing w:after="0" w:line="360" w:lineRule="auto"/>
        <w:jc w:val="center"/>
        <w:rPr>
          <w:rFonts w:ascii="Arial" w:hAnsi="Arial" w:cs="Arial"/>
          <w:sz w:val="24"/>
        </w:rPr>
      </w:pPr>
    </w:p>
    <w:p w:rsidR="00F16762" w:rsidRDefault="00F16762" w:rsidP="00F16762">
      <w:pPr>
        <w:spacing w:after="0" w:line="360" w:lineRule="auto"/>
        <w:jc w:val="center"/>
        <w:rPr>
          <w:rFonts w:ascii="Arial" w:hAnsi="Arial" w:cs="Arial"/>
          <w:sz w:val="24"/>
        </w:rPr>
      </w:pPr>
    </w:p>
    <w:p w:rsidR="00F16762" w:rsidRDefault="00F16762" w:rsidP="00F16762">
      <w:pPr>
        <w:spacing w:after="0" w:line="360" w:lineRule="auto"/>
        <w:jc w:val="center"/>
        <w:rPr>
          <w:rFonts w:ascii="Arial" w:hAnsi="Arial" w:cs="Arial"/>
          <w:sz w:val="24"/>
        </w:rPr>
      </w:pPr>
    </w:p>
    <w:p w:rsidR="00F16762" w:rsidRDefault="00F16762" w:rsidP="00F16762">
      <w:pPr>
        <w:spacing w:after="0" w:line="360" w:lineRule="auto"/>
        <w:jc w:val="center"/>
        <w:rPr>
          <w:rFonts w:ascii="Arial" w:hAnsi="Arial" w:cs="Arial"/>
          <w:sz w:val="24"/>
        </w:rPr>
      </w:pPr>
    </w:p>
    <w:p w:rsidR="00F16762" w:rsidRDefault="00F16762" w:rsidP="00F16762">
      <w:pPr>
        <w:spacing w:after="0" w:line="360" w:lineRule="auto"/>
        <w:jc w:val="center"/>
        <w:rPr>
          <w:rFonts w:ascii="Arial" w:hAnsi="Arial" w:cs="Arial"/>
          <w:sz w:val="24"/>
        </w:rPr>
      </w:pPr>
    </w:p>
    <w:p w:rsidR="00F16762" w:rsidRDefault="00F16762" w:rsidP="00F16762">
      <w:pPr>
        <w:spacing w:after="0" w:line="360" w:lineRule="auto"/>
        <w:rPr>
          <w:rFonts w:ascii="Arial" w:hAnsi="Arial" w:cs="Arial"/>
          <w:sz w:val="24"/>
        </w:rPr>
      </w:pPr>
      <w:r>
        <w:rPr>
          <w:rFonts w:ascii="Arial" w:hAnsi="Arial" w:cs="Arial"/>
          <w:sz w:val="24"/>
        </w:rPr>
        <w:t>RESUMO DAS AVALIAÇÕES:</w:t>
      </w:r>
    </w:p>
    <w:p w:rsidR="00F16762" w:rsidRDefault="00F16762" w:rsidP="00F16762">
      <w:pPr>
        <w:spacing w:after="0" w:line="360" w:lineRule="auto"/>
        <w:rPr>
          <w:rFonts w:ascii="Arial" w:hAnsi="Arial" w:cs="Arial"/>
          <w:sz w:val="24"/>
        </w:rPr>
      </w:pPr>
    </w:p>
    <w:p w:rsidR="00F16762" w:rsidRDefault="00F16762" w:rsidP="006C43A4">
      <w:pPr>
        <w:pStyle w:val="PargrafodaLista"/>
        <w:numPr>
          <w:ilvl w:val="0"/>
          <w:numId w:val="4"/>
        </w:numPr>
        <w:spacing w:after="0" w:line="360" w:lineRule="auto"/>
        <w:ind w:left="284" w:hanging="284"/>
        <w:jc w:val="both"/>
        <w:rPr>
          <w:rFonts w:ascii="Arial" w:hAnsi="Arial" w:cs="Arial"/>
          <w:sz w:val="24"/>
        </w:rPr>
      </w:pPr>
      <w:r>
        <w:rPr>
          <w:rFonts w:ascii="Arial" w:hAnsi="Arial" w:cs="Arial"/>
          <w:sz w:val="24"/>
        </w:rPr>
        <w:t xml:space="preserve">Do professor orientador:_______________________________________                                                                       </w:t>
      </w:r>
    </w:p>
    <w:p w:rsidR="00F16762" w:rsidRDefault="00F16762" w:rsidP="006C43A4">
      <w:pPr>
        <w:pStyle w:val="PargrafodaLista"/>
        <w:numPr>
          <w:ilvl w:val="0"/>
          <w:numId w:val="4"/>
        </w:numPr>
        <w:spacing w:after="0" w:line="360" w:lineRule="auto"/>
        <w:ind w:left="284" w:hanging="284"/>
        <w:jc w:val="both"/>
        <w:rPr>
          <w:rFonts w:ascii="Arial" w:hAnsi="Arial" w:cs="Arial"/>
          <w:sz w:val="24"/>
        </w:rPr>
      </w:pPr>
      <w:r>
        <w:rPr>
          <w:rFonts w:ascii="Arial" w:hAnsi="Arial" w:cs="Arial"/>
          <w:sz w:val="24"/>
        </w:rPr>
        <w:t>Da banca examinadora:_______________________________________</w:t>
      </w:r>
    </w:p>
    <w:p w:rsidR="00F16762" w:rsidRDefault="00F16762" w:rsidP="006C43A4">
      <w:pPr>
        <w:pStyle w:val="PargrafodaLista"/>
        <w:numPr>
          <w:ilvl w:val="0"/>
          <w:numId w:val="4"/>
        </w:numPr>
        <w:spacing w:after="0" w:line="360" w:lineRule="auto"/>
        <w:ind w:left="284" w:hanging="284"/>
        <w:jc w:val="both"/>
        <w:rPr>
          <w:rFonts w:ascii="Arial" w:hAnsi="Arial" w:cs="Arial"/>
          <w:sz w:val="24"/>
        </w:rPr>
      </w:pPr>
      <w:r>
        <w:rPr>
          <w:rFonts w:ascii="Arial" w:hAnsi="Arial" w:cs="Arial"/>
          <w:sz w:val="24"/>
        </w:rPr>
        <w:t>Nota final:__________________________________________________</w:t>
      </w:r>
    </w:p>
    <w:p w:rsidR="00F16762" w:rsidRDefault="00F16762" w:rsidP="00F16762">
      <w:pPr>
        <w:spacing w:after="0" w:line="360" w:lineRule="auto"/>
        <w:jc w:val="both"/>
        <w:rPr>
          <w:rFonts w:ascii="Arial" w:hAnsi="Arial" w:cs="Arial"/>
          <w:sz w:val="24"/>
        </w:rPr>
      </w:pPr>
      <w:r>
        <w:rPr>
          <w:rFonts w:ascii="Arial" w:hAnsi="Arial" w:cs="Arial"/>
          <w:sz w:val="24"/>
        </w:rPr>
        <w:t xml:space="preserve">CONCEITO: __________________________________________________                                                                                                    </w:t>
      </w: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jc w:val="center"/>
        <w:rPr>
          <w:rFonts w:ascii="Arial" w:hAnsi="Arial" w:cs="Arial"/>
          <w:sz w:val="24"/>
        </w:rPr>
      </w:pPr>
      <w:r>
        <w:rPr>
          <w:rFonts w:ascii="Arial" w:hAnsi="Arial" w:cs="Arial"/>
          <w:sz w:val="24"/>
        </w:rPr>
        <w:t xml:space="preserve">Belo Horizonte, </w:t>
      </w:r>
      <w:r w:rsidR="00266A3F">
        <w:rPr>
          <w:rFonts w:ascii="Arial" w:hAnsi="Arial" w:cs="Arial"/>
          <w:sz w:val="24"/>
        </w:rPr>
        <w:t>05</w:t>
      </w:r>
      <w:r>
        <w:rPr>
          <w:rFonts w:ascii="Arial" w:hAnsi="Arial" w:cs="Arial"/>
          <w:sz w:val="24"/>
        </w:rPr>
        <w:t xml:space="preserve"> de maio de </w:t>
      </w:r>
      <w:proofErr w:type="gramStart"/>
      <w:r>
        <w:rPr>
          <w:rFonts w:ascii="Arial" w:hAnsi="Arial" w:cs="Arial"/>
          <w:sz w:val="24"/>
        </w:rPr>
        <w:t>2017</w:t>
      </w:r>
      <w:proofErr w:type="gramEnd"/>
    </w:p>
    <w:p w:rsidR="00F16762" w:rsidRDefault="00F16762" w:rsidP="00F16762">
      <w:pPr>
        <w:spacing w:after="0" w:line="360" w:lineRule="auto"/>
        <w:jc w:val="center"/>
        <w:rPr>
          <w:rFonts w:ascii="Arial" w:hAnsi="Arial" w:cs="Arial"/>
          <w:b/>
          <w:sz w:val="24"/>
        </w:rPr>
      </w:pPr>
    </w:p>
    <w:p w:rsidR="00F16762" w:rsidRDefault="00F16762" w:rsidP="00F16762">
      <w:pPr>
        <w:spacing w:after="0" w:line="360" w:lineRule="auto"/>
        <w:jc w:val="center"/>
        <w:rPr>
          <w:rFonts w:ascii="Arial" w:hAnsi="Arial" w:cs="Arial"/>
          <w:b/>
          <w:sz w:val="24"/>
        </w:rPr>
      </w:pPr>
      <w:r>
        <w:rPr>
          <w:rFonts w:ascii="Arial" w:hAnsi="Arial" w:cs="Arial"/>
          <w:b/>
          <w:sz w:val="24"/>
        </w:rPr>
        <w:t>RESUMO</w:t>
      </w:r>
    </w:p>
    <w:p w:rsidR="00F16762" w:rsidRDefault="00F16762" w:rsidP="00F16762">
      <w:pPr>
        <w:spacing w:after="0" w:line="360" w:lineRule="auto"/>
        <w:rPr>
          <w:rFonts w:ascii="Arial" w:hAnsi="Arial" w:cs="Arial"/>
          <w:b/>
          <w:sz w:val="24"/>
        </w:rPr>
      </w:pPr>
    </w:p>
    <w:p w:rsidR="00F16762" w:rsidRDefault="00F16762" w:rsidP="00F16762">
      <w:pPr>
        <w:spacing w:after="0" w:line="360" w:lineRule="auto"/>
        <w:jc w:val="both"/>
        <w:rPr>
          <w:rFonts w:ascii="Arial" w:hAnsi="Arial" w:cs="Arial"/>
          <w:sz w:val="24"/>
        </w:rPr>
      </w:pPr>
      <w:r w:rsidRPr="005E1E93">
        <w:rPr>
          <w:rFonts w:ascii="Arial" w:hAnsi="Arial" w:cs="Arial"/>
          <w:sz w:val="24"/>
        </w:rPr>
        <w:t xml:space="preserve">O presente trabalho realizou um estudo sobre o </w:t>
      </w:r>
      <w:r>
        <w:rPr>
          <w:rFonts w:ascii="Arial" w:hAnsi="Arial" w:cs="Arial"/>
          <w:sz w:val="24"/>
        </w:rPr>
        <w:t xml:space="preserve">comportamento bancário sob a ótica da preferência pela liquidez. O objetivo do trabalho foi analisar se momentos de incerteza afetam o comportamento dos cinco maiores bancos do Brasil tanto pelo lado do ativo quanto do passivo, revelando assim sua preferência pela liquidez. A taxa de juros Selic foi utilizada como </w:t>
      </w:r>
      <w:proofErr w:type="gramStart"/>
      <w:r>
        <w:rPr>
          <w:rFonts w:ascii="Arial" w:hAnsi="Arial" w:cs="Arial"/>
          <w:sz w:val="24"/>
        </w:rPr>
        <w:t>proxy</w:t>
      </w:r>
      <w:proofErr w:type="gramEnd"/>
      <w:r>
        <w:rPr>
          <w:rFonts w:ascii="Arial" w:hAnsi="Arial" w:cs="Arial"/>
          <w:sz w:val="24"/>
        </w:rPr>
        <w:t xml:space="preserve"> para se mensurar a incerteza. Para retratar a preferência pela liquidez foram utilizados indicadores demonstrando a proporção de títulos e valores mobiliários em relação ao ativo total, além da relação entre depósitos a prazo sobre o passivo exigível. Os resultados demonstraram que alterações no patamar de incerteza afetam a preferência pela liquidez e que há uma diferença relevante entre o comportamento dos bancos públicos e privados.</w:t>
      </w:r>
    </w:p>
    <w:p w:rsidR="00F16762" w:rsidRDefault="00F16762" w:rsidP="00F16762">
      <w:pPr>
        <w:spacing w:after="0" w:line="360" w:lineRule="auto"/>
        <w:jc w:val="both"/>
        <w:rPr>
          <w:rFonts w:ascii="Arial" w:hAnsi="Arial" w:cs="Arial"/>
          <w:sz w:val="24"/>
        </w:rPr>
      </w:pPr>
    </w:p>
    <w:p w:rsidR="00F16762" w:rsidRDefault="00F16762" w:rsidP="00F16762">
      <w:pPr>
        <w:spacing w:after="0" w:line="360" w:lineRule="auto"/>
        <w:jc w:val="both"/>
        <w:rPr>
          <w:rFonts w:ascii="Arial" w:hAnsi="Arial" w:cs="Arial"/>
          <w:sz w:val="24"/>
        </w:rPr>
      </w:pPr>
    </w:p>
    <w:p w:rsidR="00F16762" w:rsidRPr="005E1E93" w:rsidRDefault="00F16762" w:rsidP="00F16762">
      <w:pPr>
        <w:spacing w:after="0" w:line="360" w:lineRule="auto"/>
        <w:jc w:val="both"/>
        <w:rPr>
          <w:rFonts w:ascii="Arial" w:hAnsi="Arial" w:cs="Arial"/>
          <w:sz w:val="24"/>
        </w:rPr>
      </w:pPr>
      <w:r w:rsidRPr="005E1E93">
        <w:rPr>
          <w:rFonts w:ascii="Arial" w:hAnsi="Arial" w:cs="Arial"/>
          <w:sz w:val="24"/>
        </w:rPr>
        <w:t xml:space="preserve">Palavras-chave: </w:t>
      </w:r>
      <w:r>
        <w:rPr>
          <w:rFonts w:ascii="Arial" w:hAnsi="Arial" w:cs="Arial"/>
          <w:sz w:val="24"/>
        </w:rPr>
        <w:t>Preferência pela liquidez</w:t>
      </w:r>
      <w:r w:rsidRPr="005E1E93">
        <w:rPr>
          <w:rFonts w:ascii="Arial" w:hAnsi="Arial" w:cs="Arial"/>
          <w:sz w:val="24"/>
        </w:rPr>
        <w:t xml:space="preserve">. </w:t>
      </w:r>
      <w:r>
        <w:rPr>
          <w:rFonts w:ascii="Arial" w:hAnsi="Arial" w:cs="Arial"/>
          <w:sz w:val="24"/>
        </w:rPr>
        <w:t>Keynes</w:t>
      </w:r>
      <w:r w:rsidRPr="005E1E93">
        <w:rPr>
          <w:rFonts w:ascii="Arial" w:hAnsi="Arial" w:cs="Arial"/>
          <w:sz w:val="24"/>
        </w:rPr>
        <w:t xml:space="preserve">. </w:t>
      </w:r>
      <w:r>
        <w:rPr>
          <w:rFonts w:ascii="Arial" w:hAnsi="Arial" w:cs="Arial"/>
          <w:sz w:val="24"/>
        </w:rPr>
        <w:t>Regime de metas de inflação</w:t>
      </w:r>
      <w:r w:rsidRPr="005E1E93">
        <w:rPr>
          <w:rFonts w:ascii="Arial" w:hAnsi="Arial" w:cs="Arial"/>
          <w:sz w:val="24"/>
        </w:rPr>
        <w:t xml:space="preserve">. </w:t>
      </w: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jc w:val="center"/>
        <w:rPr>
          <w:rFonts w:ascii="Arial" w:hAnsi="Arial" w:cs="Arial"/>
          <w:b/>
          <w:sz w:val="24"/>
        </w:rPr>
      </w:pPr>
      <w:r>
        <w:rPr>
          <w:rFonts w:ascii="Arial" w:hAnsi="Arial" w:cs="Arial"/>
          <w:b/>
          <w:sz w:val="24"/>
        </w:rPr>
        <w:t>ABSTRACT</w:t>
      </w:r>
    </w:p>
    <w:p w:rsidR="00F16762" w:rsidRDefault="00F16762" w:rsidP="00F16762">
      <w:pPr>
        <w:spacing w:after="0" w:line="360" w:lineRule="auto"/>
        <w:rPr>
          <w:rFonts w:ascii="Arial" w:hAnsi="Arial" w:cs="Arial"/>
          <w:b/>
          <w:sz w:val="24"/>
        </w:rPr>
      </w:pPr>
    </w:p>
    <w:p w:rsidR="00F16762" w:rsidRPr="00CC420E" w:rsidRDefault="00F16762" w:rsidP="00F1676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color w:val="212121"/>
          <w:sz w:val="24"/>
          <w:szCs w:val="24"/>
          <w:lang w:eastAsia="pt-BR"/>
        </w:rPr>
      </w:pPr>
      <w:r w:rsidRPr="00CC420E">
        <w:rPr>
          <w:rFonts w:ascii="Arial" w:eastAsia="Times New Roman" w:hAnsi="Arial" w:cs="Arial"/>
          <w:color w:val="212121"/>
          <w:sz w:val="24"/>
          <w:szCs w:val="24"/>
          <w:lang w:eastAsia="pt-BR"/>
        </w:rPr>
        <w:t xml:space="preserve">The </w:t>
      </w:r>
      <w:proofErr w:type="spellStart"/>
      <w:r w:rsidRPr="00CC420E">
        <w:rPr>
          <w:rFonts w:ascii="Arial" w:eastAsia="Times New Roman" w:hAnsi="Arial" w:cs="Arial"/>
          <w:color w:val="212121"/>
          <w:sz w:val="24"/>
          <w:szCs w:val="24"/>
          <w:lang w:eastAsia="pt-BR"/>
        </w:rPr>
        <w:t>present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work</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carried</w:t>
      </w:r>
      <w:proofErr w:type="spellEnd"/>
      <w:r w:rsidRPr="00CC420E">
        <w:rPr>
          <w:rFonts w:ascii="Arial" w:eastAsia="Times New Roman" w:hAnsi="Arial" w:cs="Arial"/>
          <w:color w:val="212121"/>
          <w:sz w:val="24"/>
          <w:szCs w:val="24"/>
          <w:lang w:eastAsia="pt-BR"/>
        </w:rPr>
        <w:t xml:space="preserve"> out a </w:t>
      </w:r>
      <w:proofErr w:type="spellStart"/>
      <w:r w:rsidRPr="00CC420E">
        <w:rPr>
          <w:rFonts w:ascii="Arial" w:eastAsia="Times New Roman" w:hAnsi="Arial" w:cs="Arial"/>
          <w:color w:val="212121"/>
          <w:sz w:val="24"/>
          <w:szCs w:val="24"/>
          <w:lang w:eastAsia="pt-BR"/>
        </w:rPr>
        <w:t>study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banking </w:t>
      </w:r>
      <w:proofErr w:type="spellStart"/>
      <w:r w:rsidRPr="00CC420E">
        <w:rPr>
          <w:rFonts w:ascii="Arial" w:eastAsia="Times New Roman" w:hAnsi="Arial" w:cs="Arial"/>
          <w:color w:val="212121"/>
          <w:sz w:val="24"/>
          <w:szCs w:val="24"/>
          <w:lang w:eastAsia="pt-BR"/>
        </w:rPr>
        <w:t>behavior</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from</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perspective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liquidity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preference</w:t>
      </w:r>
      <w:proofErr w:type="spellEnd"/>
      <w:r w:rsidRPr="00CC420E">
        <w:rPr>
          <w:rFonts w:ascii="Arial" w:eastAsia="Times New Roman" w:hAnsi="Arial" w:cs="Arial"/>
          <w:color w:val="212121"/>
          <w:sz w:val="24"/>
          <w:szCs w:val="24"/>
          <w:lang w:eastAsia="pt-BR"/>
        </w:rPr>
        <w:t xml:space="preserve">. The </w:t>
      </w:r>
      <w:proofErr w:type="spellStart"/>
      <w:r w:rsidRPr="00CC420E">
        <w:rPr>
          <w:rFonts w:ascii="Arial" w:eastAsia="Times New Roman" w:hAnsi="Arial" w:cs="Arial"/>
          <w:color w:val="212121"/>
          <w:sz w:val="24"/>
          <w:szCs w:val="24"/>
          <w:lang w:eastAsia="pt-BR"/>
        </w:rPr>
        <w:t>objective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this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study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was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to</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analyze</w:t>
      </w:r>
      <w:proofErr w:type="spellEnd"/>
      <w:r w:rsidRPr="00CC420E">
        <w:rPr>
          <w:rFonts w:ascii="Arial" w:eastAsia="Times New Roman" w:hAnsi="Arial" w:cs="Arial"/>
          <w:color w:val="212121"/>
          <w:sz w:val="24"/>
          <w:szCs w:val="24"/>
          <w:lang w:eastAsia="pt-BR"/>
        </w:rPr>
        <w:t xml:space="preserve"> </w:t>
      </w:r>
      <w:proofErr w:type="spellStart"/>
      <w:proofErr w:type="gramStart"/>
      <w:r w:rsidRPr="00CC420E">
        <w:rPr>
          <w:rFonts w:ascii="Arial" w:eastAsia="Times New Roman" w:hAnsi="Arial" w:cs="Arial"/>
          <w:color w:val="212121"/>
          <w:sz w:val="24"/>
          <w:szCs w:val="24"/>
          <w:lang w:eastAsia="pt-BR"/>
        </w:rPr>
        <w:t>if</w:t>
      </w:r>
      <w:proofErr w:type="spellEnd"/>
      <w:proofErr w:type="gram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moments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uncertainty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affect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behavior</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five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largest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banks</w:t>
      </w:r>
      <w:proofErr w:type="spellEnd"/>
      <w:r w:rsidRPr="00CC420E">
        <w:rPr>
          <w:rFonts w:ascii="Arial" w:eastAsia="Times New Roman" w:hAnsi="Arial" w:cs="Arial"/>
          <w:color w:val="212121"/>
          <w:sz w:val="24"/>
          <w:szCs w:val="24"/>
          <w:lang w:eastAsia="pt-BR"/>
        </w:rPr>
        <w:t xml:space="preserve"> in </w:t>
      </w:r>
      <w:proofErr w:type="spellStart"/>
      <w:r w:rsidRPr="00CC420E">
        <w:rPr>
          <w:rFonts w:ascii="Arial" w:eastAsia="Times New Roman" w:hAnsi="Arial" w:cs="Arial"/>
          <w:color w:val="212121"/>
          <w:sz w:val="24"/>
          <w:szCs w:val="24"/>
          <w:lang w:eastAsia="pt-BR"/>
        </w:rPr>
        <w:t>Brazil</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both</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asset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and</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liability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side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thus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revealing</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their</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preference</w:t>
      </w:r>
      <w:proofErr w:type="spellEnd"/>
      <w:r w:rsidRPr="00CC420E">
        <w:rPr>
          <w:rFonts w:ascii="Arial" w:eastAsia="Times New Roman" w:hAnsi="Arial" w:cs="Arial"/>
          <w:color w:val="212121"/>
          <w:sz w:val="24"/>
          <w:szCs w:val="24"/>
          <w:lang w:eastAsia="pt-BR"/>
        </w:rPr>
        <w:t xml:space="preserve"> for </w:t>
      </w:r>
      <w:proofErr w:type="spellStart"/>
      <w:r w:rsidRPr="00CC420E">
        <w:rPr>
          <w:rFonts w:ascii="Arial" w:eastAsia="Times New Roman" w:hAnsi="Arial" w:cs="Arial"/>
          <w:color w:val="212121"/>
          <w:sz w:val="24"/>
          <w:szCs w:val="24"/>
          <w:lang w:eastAsia="pt-BR"/>
        </w:rPr>
        <w:t>liquidity</w:t>
      </w:r>
      <w:proofErr w:type="spellEnd"/>
      <w:r w:rsidRPr="00CC420E">
        <w:rPr>
          <w:rFonts w:ascii="Arial" w:eastAsia="Times New Roman" w:hAnsi="Arial" w:cs="Arial"/>
          <w:color w:val="212121"/>
          <w:sz w:val="24"/>
          <w:szCs w:val="24"/>
          <w:lang w:eastAsia="pt-BR"/>
        </w:rPr>
        <w:t xml:space="preserve">. The Selic </w:t>
      </w:r>
      <w:proofErr w:type="spellStart"/>
      <w:r w:rsidRPr="00CC420E">
        <w:rPr>
          <w:rFonts w:ascii="Arial" w:eastAsia="Times New Roman" w:hAnsi="Arial" w:cs="Arial"/>
          <w:color w:val="212121"/>
          <w:sz w:val="24"/>
          <w:szCs w:val="24"/>
          <w:lang w:eastAsia="pt-BR"/>
        </w:rPr>
        <w:t>interest</w:t>
      </w:r>
      <w:proofErr w:type="spellEnd"/>
      <w:r w:rsidRPr="00CC420E">
        <w:rPr>
          <w:rFonts w:ascii="Arial" w:eastAsia="Times New Roman" w:hAnsi="Arial" w:cs="Arial"/>
          <w:color w:val="212121"/>
          <w:sz w:val="24"/>
          <w:szCs w:val="24"/>
          <w:lang w:eastAsia="pt-BR"/>
        </w:rPr>
        <w:t xml:space="preserve"> rate </w:t>
      </w:r>
      <w:proofErr w:type="spellStart"/>
      <w:r w:rsidRPr="00CC420E">
        <w:rPr>
          <w:rFonts w:ascii="Arial" w:eastAsia="Times New Roman" w:hAnsi="Arial" w:cs="Arial"/>
          <w:color w:val="212121"/>
          <w:sz w:val="24"/>
          <w:szCs w:val="24"/>
          <w:lang w:eastAsia="pt-BR"/>
        </w:rPr>
        <w:t>was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used</w:t>
      </w:r>
      <w:proofErr w:type="spellEnd"/>
      <w:r w:rsidRPr="00CC420E">
        <w:rPr>
          <w:rFonts w:ascii="Arial" w:eastAsia="Times New Roman" w:hAnsi="Arial" w:cs="Arial"/>
          <w:color w:val="212121"/>
          <w:sz w:val="24"/>
          <w:szCs w:val="24"/>
          <w:lang w:eastAsia="pt-BR"/>
        </w:rPr>
        <w:t xml:space="preserve"> as a </w:t>
      </w:r>
      <w:proofErr w:type="gramStart"/>
      <w:r w:rsidRPr="00CC420E">
        <w:rPr>
          <w:rFonts w:ascii="Arial" w:eastAsia="Times New Roman" w:hAnsi="Arial" w:cs="Arial"/>
          <w:color w:val="212121"/>
          <w:sz w:val="24"/>
          <w:szCs w:val="24"/>
          <w:lang w:eastAsia="pt-BR"/>
        </w:rPr>
        <w:t>proxy</w:t>
      </w:r>
      <w:proofErr w:type="gram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to</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measure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uncertainty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To</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portray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liquidity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preference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indicators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were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used</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to</w:t>
      </w:r>
      <w:proofErr w:type="spellEnd"/>
      <w:r w:rsidRPr="00CC420E">
        <w:rPr>
          <w:rFonts w:ascii="Arial" w:eastAsia="Times New Roman" w:hAnsi="Arial" w:cs="Arial"/>
          <w:color w:val="212121"/>
          <w:sz w:val="24"/>
          <w:szCs w:val="24"/>
          <w:lang w:eastAsia="pt-BR"/>
        </w:rPr>
        <w:t xml:space="preserve"> show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proportion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securities</w:t>
      </w:r>
      <w:proofErr w:type="spellEnd"/>
      <w:r w:rsidRPr="00CC420E">
        <w:rPr>
          <w:rFonts w:ascii="Arial" w:eastAsia="Times New Roman" w:hAnsi="Arial" w:cs="Arial"/>
          <w:color w:val="212121"/>
          <w:sz w:val="24"/>
          <w:szCs w:val="24"/>
          <w:lang w:eastAsia="pt-BR"/>
        </w:rPr>
        <w:t xml:space="preserve"> in </w:t>
      </w:r>
      <w:proofErr w:type="spellStart"/>
      <w:r w:rsidRPr="00CC420E">
        <w:rPr>
          <w:rFonts w:ascii="Arial" w:eastAsia="Times New Roman" w:hAnsi="Arial" w:cs="Arial"/>
          <w:color w:val="212121"/>
          <w:sz w:val="24"/>
          <w:szCs w:val="24"/>
          <w:lang w:eastAsia="pt-BR"/>
        </w:rPr>
        <w:t>relation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to</w:t>
      </w:r>
      <w:proofErr w:type="spellEnd"/>
      <w:r w:rsidRPr="00CC420E">
        <w:rPr>
          <w:rFonts w:ascii="Arial" w:eastAsia="Times New Roman" w:hAnsi="Arial" w:cs="Arial"/>
          <w:color w:val="212121"/>
          <w:sz w:val="24"/>
          <w:szCs w:val="24"/>
          <w:lang w:eastAsia="pt-BR"/>
        </w:rPr>
        <w:t xml:space="preserve"> total </w:t>
      </w:r>
      <w:proofErr w:type="spellStart"/>
      <w:r w:rsidRPr="00CC420E">
        <w:rPr>
          <w:rFonts w:ascii="Arial" w:eastAsia="Times New Roman" w:hAnsi="Arial" w:cs="Arial"/>
          <w:color w:val="212121"/>
          <w:sz w:val="24"/>
          <w:szCs w:val="24"/>
          <w:lang w:eastAsia="pt-BR"/>
        </w:rPr>
        <w:t>assets</w:t>
      </w:r>
      <w:proofErr w:type="spellEnd"/>
      <w:r w:rsidRPr="00CC420E">
        <w:rPr>
          <w:rFonts w:ascii="Arial" w:eastAsia="Times New Roman" w:hAnsi="Arial" w:cs="Arial"/>
          <w:color w:val="212121"/>
          <w:sz w:val="24"/>
          <w:szCs w:val="24"/>
          <w:lang w:eastAsia="pt-BR"/>
        </w:rPr>
        <w:t xml:space="preserve">, in </w:t>
      </w:r>
      <w:proofErr w:type="spellStart"/>
      <w:r w:rsidRPr="00CC420E">
        <w:rPr>
          <w:rFonts w:ascii="Arial" w:eastAsia="Times New Roman" w:hAnsi="Arial" w:cs="Arial"/>
          <w:color w:val="212121"/>
          <w:sz w:val="24"/>
          <w:szCs w:val="24"/>
          <w:lang w:eastAsia="pt-BR"/>
        </w:rPr>
        <w:t>addition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to</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relation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between</w:t>
      </w:r>
      <w:proofErr w:type="spellEnd"/>
      <w:r w:rsidRPr="00CC420E">
        <w:rPr>
          <w:rFonts w:ascii="Arial" w:eastAsia="Times New Roman" w:hAnsi="Arial" w:cs="Arial"/>
          <w:color w:val="212121"/>
          <w:sz w:val="24"/>
          <w:szCs w:val="24"/>
          <w:lang w:eastAsia="pt-BR"/>
        </w:rPr>
        <w:t xml:space="preserve"> time </w:t>
      </w:r>
      <w:proofErr w:type="spellStart"/>
      <w:r w:rsidRPr="00CC420E">
        <w:rPr>
          <w:rFonts w:ascii="Arial" w:eastAsia="Times New Roman" w:hAnsi="Arial" w:cs="Arial"/>
          <w:color w:val="212121"/>
          <w:sz w:val="24"/>
          <w:szCs w:val="24"/>
          <w:lang w:eastAsia="pt-BR"/>
        </w:rPr>
        <w:t>deposits</w:t>
      </w:r>
      <w:proofErr w:type="spellEnd"/>
      <w:r w:rsidRPr="00CC420E">
        <w:rPr>
          <w:rFonts w:ascii="Arial" w:eastAsia="Times New Roman" w:hAnsi="Arial" w:cs="Arial"/>
          <w:color w:val="212121"/>
          <w:sz w:val="24"/>
          <w:szCs w:val="24"/>
          <w:lang w:eastAsia="pt-BR"/>
        </w:rPr>
        <w:t xml:space="preserve"> over </w:t>
      </w:r>
      <w:proofErr w:type="spellStart"/>
      <w:r w:rsidRPr="00CC420E">
        <w:rPr>
          <w:rFonts w:ascii="Arial" w:eastAsia="Times New Roman" w:hAnsi="Arial" w:cs="Arial"/>
          <w:color w:val="212121"/>
          <w:sz w:val="24"/>
          <w:szCs w:val="24"/>
          <w:lang w:eastAsia="pt-BR"/>
        </w:rPr>
        <w:t>liabilities</w:t>
      </w:r>
      <w:proofErr w:type="spellEnd"/>
      <w:r w:rsidRPr="00CC420E">
        <w:rPr>
          <w:rFonts w:ascii="Arial" w:eastAsia="Times New Roman" w:hAnsi="Arial" w:cs="Arial"/>
          <w:color w:val="212121"/>
          <w:sz w:val="24"/>
          <w:szCs w:val="24"/>
          <w:lang w:eastAsia="pt-BR"/>
        </w:rPr>
        <w:t xml:space="preserve">. The </w:t>
      </w:r>
      <w:proofErr w:type="spellStart"/>
      <w:r w:rsidRPr="00CC420E">
        <w:rPr>
          <w:rFonts w:ascii="Arial" w:eastAsia="Times New Roman" w:hAnsi="Arial" w:cs="Arial"/>
          <w:color w:val="212121"/>
          <w:sz w:val="24"/>
          <w:szCs w:val="24"/>
          <w:lang w:eastAsia="pt-BR"/>
        </w:rPr>
        <w:t>results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showed</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that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changes</w:t>
      </w:r>
      <w:proofErr w:type="spellEnd"/>
      <w:r w:rsidRPr="00CC420E">
        <w:rPr>
          <w:rFonts w:ascii="Arial" w:eastAsia="Times New Roman" w:hAnsi="Arial" w:cs="Arial"/>
          <w:color w:val="212121"/>
          <w:sz w:val="24"/>
          <w:szCs w:val="24"/>
          <w:lang w:eastAsia="pt-BR"/>
        </w:rPr>
        <w:t xml:space="preserve"> in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level</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uncertainty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affect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liquidity</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preference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and</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that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there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is</w:t>
      </w:r>
      <w:proofErr w:type="spellEnd"/>
      <w:r w:rsidRPr="00CC420E">
        <w:rPr>
          <w:rFonts w:ascii="Arial" w:eastAsia="Times New Roman" w:hAnsi="Arial" w:cs="Arial"/>
          <w:color w:val="212121"/>
          <w:sz w:val="24"/>
          <w:szCs w:val="24"/>
          <w:lang w:eastAsia="pt-BR"/>
        </w:rPr>
        <w:t xml:space="preserve"> a </w:t>
      </w:r>
      <w:proofErr w:type="spellStart"/>
      <w:r w:rsidRPr="00CC420E">
        <w:rPr>
          <w:rFonts w:ascii="Arial" w:eastAsia="Times New Roman" w:hAnsi="Arial" w:cs="Arial"/>
          <w:color w:val="212121"/>
          <w:sz w:val="24"/>
          <w:szCs w:val="24"/>
          <w:lang w:eastAsia="pt-BR"/>
        </w:rPr>
        <w:t>significant</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difference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between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the</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behavior</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public</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and</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private</w:t>
      </w:r>
      <w:proofErr w:type="spellEnd"/>
      <w:r w:rsidRPr="00CC420E">
        <w:rPr>
          <w:rFonts w:ascii="Arial" w:eastAsia="Times New Roman" w:hAnsi="Arial" w:cs="Arial"/>
          <w:color w:val="212121"/>
          <w:sz w:val="24"/>
          <w:szCs w:val="24"/>
          <w:lang w:eastAsia="pt-BR"/>
        </w:rPr>
        <w:t xml:space="preserve"> </w:t>
      </w:r>
      <w:proofErr w:type="spellStart"/>
      <w:proofErr w:type="gramStart"/>
      <w:r w:rsidRPr="00CC420E">
        <w:rPr>
          <w:rFonts w:ascii="Arial" w:eastAsia="Times New Roman" w:hAnsi="Arial" w:cs="Arial"/>
          <w:color w:val="212121"/>
          <w:sz w:val="24"/>
          <w:szCs w:val="24"/>
          <w:lang w:eastAsia="pt-BR"/>
        </w:rPr>
        <w:t>banks</w:t>
      </w:r>
      <w:proofErr w:type="spellEnd"/>
      <w:proofErr w:type="gramEnd"/>
      <w:r w:rsidRPr="00CC420E">
        <w:rPr>
          <w:rFonts w:ascii="Arial" w:eastAsia="Times New Roman" w:hAnsi="Arial" w:cs="Arial"/>
          <w:color w:val="212121"/>
          <w:sz w:val="24"/>
          <w:szCs w:val="24"/>
          <w:lang w:eastAsia="pt-BR"/>
        </w:rPr>
        <w:t>.</w:t>
      </w: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r>
        <w:br/>
      </w:r>
      <w:proofErr w:type="spellStart"/>
      <w:r w:rsidRPr="00CC420E">
        <w:rPr>
          <w:rFonts w:ascii="Arial" w:eastAsia="Times New Roman" w:hAnsi="Arial" w:cs="Arial"/>
          <w:color w:val="212121"/>
          <w:sz w:val="24"/>
          <w:szCs w:val="24"/>
          <w:lang w:eastAsia="pt-BR"/>
        </w:rPr>
        <w:t>Keywords</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Preference</w:t>
      </w:r>
      <w:proofErr w:type="spellEnd"/>
      <w:r w:rsidRPr="00CC420E">
        <w:rPr>
          <w:rFonts w:ascii="Arial" w:eastAsia="Times New Roman" w:hAnsi="Arial" w:cs="Arial"/>
          <w:color w:val="212121"/>
          <w:sz w:val="24"/>
          <w:szCs w:val="24"/>
          <w:lang w:eastAsia="pt-BR"/>
        </w:rPr>
        <w:t xml:space="preserve"> for </w:t>
      </w:r>
      <w:proofErr w:type="spellStart"/>
      <w:r w:rsidRPr="00CC420E">
        <w:rPr>
          <w:rFonts w:ascii="Arial" w:eastAsia="Times New Roman" w:hAnsi="Arial" w:cs="Arial"/>
          <w:color w:val="212121"/>
          <w:sz w:val="24"/>
          <w:szCs w:val="24"/>
          <w:lang w:eastAsia="pt-BR"/>
        </w:rPr>
        <w:t>liquidity</w:t>
      </w:r>
      <w:proofErr w:type="spellEnd"/>
      <w:r w:rsidRPr="00CC420E">
        <w:rPr>
          <w:rFonts w:ascii="Arial" w:eastAsia="Times New Roman" w:hAnsi="Arial" w:cs="Arial"/>
          <w:color w:val="212121"/>
          <w:sz w:val="24"/>
          <w:szCs w:val="24"/>
          <w:lang w:eastAsia="pt-BR"/>
        </w:rPr>
        <w:t xml:space="preserve">. Keynes. Regime </w:t>
      </w:r>
      <w:proofErr w:type="spellStart"/>
      <w:r w:rsidRPr="00CC420E">
        <w:rPr>
          <w:rFonts w:ascii="Arial" w:eastAsia="Times New Roman" w:hAnsi="Arial" w:cs="Arial"/>
          <w:color w:val="212121"/>
          <w:sz w:val="24"/>
          <w:szCs w:val="24"/>
          <w:lang w:eastAsia="pt-BR"/>
        </w:rPr>
        <w:t>of</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inflation</w:t>
      </w:r>
      <w:proofErr w:type="spellEnd"/>
      <w:r w:rsidRPr="00CC420E">
        <w:rPr>
          <w:rFonts w:ascii="Arial" w:eastAsia="Times New Roman" w:hAnsi="Arial" w:cs="Arial"/>
          <w:color w:val="212121"/>
          <w:sz w:val="24"/>
          <w:szCs w:val="24"/>
          <w:lang w:eastAsia="pt-BR"/>
        </w:rPr>
        <w:t xml:space="preserve"> </w:t>
      </w:r>
      <w:proofErr w:type="spellStart"/>
      <w:r w:rsidRPr="00CC420E">
        <w:rPr>
          <w:rFonts w:ascii="Arial" w:eastAsia="Times New Roman" w:hAnsi="Arial" w:cs="Arial"/>
          <w:color w:val="212121"/>
          <w:sz w:val="24"/>
          <w:szCs w:val="24"/>
          <w:lang w:eastAsia="pt-BR"/>
        </w:rPr>
        <w:t>targets</w:t>
      </w:r>
      <w:proofErr w:type="spellEnd"/>
      <w:r>
        <w:rPr>
          <w:rFonts w:ascii="Arial" w:hAnsi="Arial" w:cs="Arial"/>
          <w:color w:val="212121"/>
          <w:shd w:val="clear" w:color="auto" w:fill="FFFFFF"/>
        </w:rPr>
        <w:t>.</w:t>
      </w: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640ED3" w:rsidRDefault="00640ED3" w:rsidP="00F16762">
      <w:pPr>
        <w:spacing w:after="0" w:line="360" w:lineRule="auto"/>
        <w:rPr>
          <w:rFonts w:ascii="Arial" w:hAnsi="Arial" w:cs="Arial"/>
          <w:sz w:val="24"/>
        </w:rPr>
      </w:pPr>
    </w:p>
    <w:p w:rsidR="00724B42" w:rsidRDefault="00724B42" w:rsidP="00640ED3">
      <w:pPr>
        <w:spacing w:after="0" w:line="360" w:lineRule="auto"/>
        <w:jc w:val="center"/>
      </w:pPr>
    </w:p>
    <w:p w:rsidR="00724B42" w:rsidRDefault="00724B42" w:rsidP="00640ED3">
      <w:pPr>
        <w:spacing w:after="0" w:line="360" w:lineRule="auto"/>
        <w:jc w:val="center"/>
      </w:pPr>
    </w:p>
    <w:p w:rsidR="00724B42" w:rsidRDefault="00724B42" w:rsidP="00640ED3">
      <w:pPr>
        <w:spacing w:after="0" w:line="360" w:lineRule="auto"/>
        <w:jc w:val="center"/>
      </w:pPr>
    </w:p>
    <w:p w:rsidR="00724B42" w:rsidRDefault="00724B42" w:rsidP="00640ED3">
      <w:pPr>
        <w:spacing w:after="0" w:line="360" w:lineRule="auto"/>
        <w:jc w:val="center"/>
      </w:pPr>
    </w:p>
    <w:p w:rsidR="00724B42" w:rsidRDefault="00724B42" w:rsidP="00640ED3">
      <w:pPr>
        <w:spacing w:after="0" w:line="360" w:lineRule="auto"/>
        <w:jc w:val="center"/>
      </w:pPr>
    </w:p>
    <w:p w:rsidR="00640ED3" w:rsidRDefault="00640ED3" w:rsidP="00640ED3">
      <w:pPr>
        <w:spacing w:after="0" w:line="360" w:lineRule="auto"/>
        <w:jc w:val="center"/>
        <w:rPr>
          <w:rFonts w:ascii="Arial" w:hAnsi="Arial" w:cs="Arial"/>
          <w:b/>
          <w:sz w:val="24"/>
        </w:rPr>
      </w:pPr>
      <w:r w:rsidRPr="00640ED3">
        <w:rPr>
          <w:rFonts w:ascii="Arial" w:hAnsi="Arial" w:cs="Arial"/>
          <w:b/>
          <w:sz w:val="24"/>
        </w:rPr>
        <w:lastRenderedPageBreak/>
        <w:t>LISTA DE TABELAS</w:t>
      </w:r>
    </w:p>
    <w:p w:rsidR="00640ED3" w:rsidRDefault="00640ED3" w:rsidP="00640ED3">
      <w:pPr>
        <w:spacing w:after="0" w:line="360" w:lineRule="auto"/>
        <w:jc w:val="both"/>
        <w:rPr>
          <w:rFonts w:ascii="Arial" w:hAnsi="Arial" w:cs="Arial"/>
          <w:b/>
          <w:sz w:val="24"/>
        </w:rPr>
      </w:pPr>
    </w:p>
    <w:p w:rsidR="00F82D7B" w:rsidRDefault="00640ED3" w:rsidP="00F82D7B">
      <w:pPr>
        <w:rPr>
          <w:rFonts w:ascii="Arial" w:eastAsia="Times New Roman" w:hAnsi="Arial" w:cs="Arial"/>
          <w:color w:val="000000"/>
          <w:sz w:val="24"/>
          <w:szCs w:val="24"/>
          <w:lang w:eastAsia="pt-BR"/>
        </w:rPr>
      </w:pPr>
      <w:r>
        <w:rPr>
          <w:rFonts w:ascii="Arial" w:hAnsi="Arial" w:cs="Arial"/>
          <w:sz w:val="24"/>
        </w:rPr>
        <w:t xml:space="preserve">TABELA 1 – </w:t>
      </w:r>
      <w:r w:rsidRPr="00640ED3">
        <w:rPr>
          <w:rFonts w:ascii="Arial" w:eastAsia="Times New Roman" w:hAnsi="Arial" w:cs="Arial"/>
          <w:color w:val="000000"/>
          <w:sz w:val="24"/>
          <w:szCs w:val="24"/>
          <w:lang w:eastAsia="pt-BR"/>
        </w:rPr>
        <w:t xml:space="preserve">Valores do teste </w:t>
      </w:r>
      <w:proofErr w:type="spellStart"/>
      <w:r w:rsidRPr="00640ED3">
        <w:rPr>
          <w:rFonts w:ascii="Arial" w:eastAsia="Times New Roman" w:hAnsi="Arial" w:cs="Arial"/>
          <w:color w:val="000000"/>
          <w:sz w:val="24"/>
          <w:szCs w:val="24"/>
          <w:lang w:eastAsia="pt-BR"/>
        </w:rPr>
        <w:t>Dickey-Fuller</w:t>
      </w:r>
      <w:proofErr w:type="spellEnd"/>
      <w:r w:rsidRPr="00640ED3">
        <w:rPr>
          <w:rFonts w:ascii="Arial" w:eastAsia="Times New Roman" w:hAnsi="Arial" w:cs="Arial"/>
          <w:color w:val="000000"/>
          <w:sz w:val="24"/>
          <w:szCs w:val="24"/>
          <w:lang w:eastAsia="pt-BR"/>
        </w:rPr>
        <w:t xml:space="preserve"> Aumentado (ADF), sem intercepto e tendência para títulos e valores mobiliários (TVM</w:t>
      </w:r>
      <w:r>
        <w:rPr>
          <w:rFonts w:ascii="Arial" w:eastAsia="Times New Roman" w:hAnsi="Arial" w:cs="Arial"/>
          <w:color w:val="000000"/>
          <w:sz w:val="24"/>
          <w:szCs w:val="24"/>
          <w:lang w:eastAsia="pt-BR"/>
        </w:rPr>
        <w:t>)</w:t>
      </w:r>
      <w:r w:rsidR="00F82D7B">
        <w:rPr>
          <w:rFonts w:ascii="Arial" w:eastAsia="Times New Roman" w:hAnsi="Arial" w:cs="Arial"/>
          <w:color w:val="000000"/>
          <w:sz w:val="24"/>
          <w:szCs w:val="24"/>
          <w:lang w:eastAsia="pt-BR"/>
        </w:rPr>
        <w:t>....................................................</w:t>
      </w:r>
      <w:r w:rsidR="00922109">
        <w:rPr>
          <w:rFonts w:ascii="Arial" w:eastAsia="Times New Roman" w:hAnsi="Arial" w:cs="Arial"/>
          <w:color w:val="000000"/>
          <w:sz w:val="24"/>
          <w:szCs w:val="24"/>
          <w:lang w:eastAsia="pt-BR"/>
        </w:rPr>
        <w:t>48</w:t>
      </w:r>
      <w:r>
        <w:rPr>
          <w:rFonts w:ascii="Arial" w:eastAsia="Times New Roman" w:hAnsi="Arial" w:cs="Arial"/>
          <w:color w:val="000000"/>
          <w:sz w:val="24"/>
          <w:szCs w:val="24"/>
          <w:lang w:eastAsia="pt-BR"/>
        </w:rPr>
        <w:t xml:space="preserve"> </w:t>
      </w:r>
      <w:r w:rsidR="00F82D7B">
        <w:rPr>
          <w:rFonts w:ascii="Arial" w:eastAsia="Times New Roman" w:hAnsi="Arial" w:cs="Arial"/>
          <w:color w:val="000000"/>
          <w:sz w:val="24"/>
          <w:szCs w:val="24"/>
          <w:lang w:eastAsia="pt-BR"/>
        </w:rPr>
        <w:t xml:space="preserve">  </w:t>
      </w:r>
    </w:p>
    <w:p w:rsidR="00F82D7B" w:rsidRDefault="00F82D7B" w:rsidP="00F82D7B">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TABELA 2 - </w:t>
      </w:r>
      <w:r w:rsidRPr="00F82D7B">
        <w:rPr>
          <w:rFonts w:ascii="Arial" w:eastAsia="Times New Roman" w:hAnsi="Arial" w:cs="Arial"/>
          <w:color w:val="000000"/>
          <w:sz w:val="24"/>
          <w:szCs w:val="24"/>
          <w:lang w:eastAsia="pt-BR"/>
        </w:rPr>
        <w:t xml:space="preserve">Valores do teste </w:t>
      </w:r>
      <w:proofErr w:type="spellStart"/>
      <w:r w:rsidRPr="00F82D7B">
        <w:rPr>
          <w:rFonts w:ascii="Arial" w:eastAsia="Times New Roman" w:hAnsi="Arial" w:cs="Arial"/>
          <w:color w:val="000000"/>
          <w:sz w:val="24"/>
          <w:szCs w:val="24"/>
          <w:lang w:eastAsia="pt-BR"/>
        </w:rPr>
        <w:t>Dickey-Fuller</w:t>
      </w:r>
      <w:proofErr w:type="spellEnd"/>
      <w:r w:rsidRPr="00F82D7B">
        <w:rPr>
          <w:rFonts w:ascii="Arial" w:eastAsia="Times New Roman" w:hAnsi="Arial" w:cs="Arial"/>
          <w:color w:val="000000"/>
          <w:sz w:val="24"/>
          <w:szCs w:val="24"/>
          <w:lang w:eastAsia="pt-BR"/>
        </w:rPr>
        <w:t xml:space="preserve"> Aumentado (ADF), sem intercepto e tendência para taxa Selic.</w:t>
      </w:r>
      <w:r>
        <w:rPr>
          <w:rFonts w:ascii="Arial" w:eastAsia="Times New Roman" w:hAnsi="Arial" w:cs="Arial"/>
          <w:color w:val="000000"/>
          <w:sz w:val="24"/>
          <w:szCs w:val="24"/>
          <w:lang w:eastAsia="pt-BR"/>
        </w:rPr>
        <w:t>..........................................................................................</w:t>
      </w:r>
      <w:r w:rsidR="00922109">
        <w:rPr>
          <w:rFonts w:ascii="Arial" w:eastAsia="Times New Roman" w:hAnsi="Arial" w:cs="Arial"/>
          <w:color w:val="000000"/>
          <w:sz w:val="24"/>
          <w:szCs w:val="24"/>
          <w:lang w:eastAsia="pt-BR"/>
        </w:rPr>
        <w:t>49</w:t>
      </w:r>
    </w:p>
    <w:p w:rsidR="00F82D7B" w:rsidRPr="00F82D7B" w:rsidRDefault="00F82D7B" w:rsidP="00F82D7B">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TABELA 3 - </w:t>
      </w:r>
      <w:r w:rsidRPr="00F82D7B">
        <w:rPr>
          <w:rFonts w:ascii="Arial" w:eastAsia="Times New Roman" w:hAnsi="Arial" w:cs="Arial"/>
          <w:color w:val="000000"/>
          <w:sz w:val="24"/>
          <w:szCs w:val="24"/>
          <w:lang w:eastAsia="pt-BR"/>
        </w:rPr>
        <w:t>Teste de causalidade de Granger entre a taxa Selic e os títulos e valores mobiliários (TVM) entre o primeiro trimestre de 2000 e o quarto trimestre de 2016.</w:t>
      </w:r>
      <w:r>
        <w:rPr>
          <w:rFonts w:ascii="Arial" w:eastAsia="Times New Roman" w:hAnsi="Arial" w:cs="Arial"/>
          <w:color w:val="000000"/>
          <w:sz w:val="24"/>
          <w:szCs w:val="24"/>
          <w:lang w:eastAsia="pt-BR"/>
        </w:rPr>
        <w:t>..........................................................................................................................</w:t>
      </w:r>
      <w:r w:rsidR="00922109">
        <w:rPr>
          <w:rFonts w:ascii="Arial" w:eastAsia="Times New Roman" w:hAnsi="Arial" w:cs="Arial"/>
          <w:color w:val="000000"/>
          <w:sz w:val="24"/>
          <w:szCs w:val="24"/>
          <w:lang w:eastAsia="pt-BR"/>
        </w:rPr>
        <w:t>49</w:t>
      </w:r>
    </w:p>
    <w:p w:rsidR="00F82D7B" w:rsidRPr="00F82D7B" w:rsidRDefault="00F82D7B" w:rsidP="00F82D7B">
      <w:pPr>
        <w:rPr>
          <w:rFonts w:ascii="Arial" w:eastAsia="Times New Roman" w:hAnsi="Arial" w:cs="Arial"/>
          <w:color w:val="000000"/>
          <w:sz w:val="24"/>
          <w:szCs w:val="24"/>
          <w:lang w:eastAsia="pt-BR"/>
        </w:rPr>
      </w:pPr>
    </w:p>
    <w:p w:rsidR="00640ED3" w:rsidRPr="00640ED3" w:rsidRDefault="00F82D7B" w:rsidP="00F82D7B">
      <w:pP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p>
    <w:p w:rsidR="00F82D7B" w:rsidRDefault="00F82D7B" w:rsidP="00F82D7B">
      <w:pPr>
        <w:spacing w:after="0" w:line="360" w:lineRule="auto"/>
        <w:jc w:val="both"/>
      </w:pPr>
    </w:p>
    <w:p w:rsidR="00F82D7B" w:rsidRDefault="00F82D7B" w:rsidP="00F82D7B">
      <w:pPr>
        <w:spacing w:after="0" w:line="360" w:lineRule="auto"/>
        <w:jc w:val="both"/>
      </w:pPr>
    </w:p>
    <w:p w:rsidR="00F82D7B" w:rsidRDefault="00F82D7B" w:rsidP="00F82D7B">
      <w:pPr>
        <w:spacing w:after="0" w:line="360" w:lineRule="auto"/>
        <w:jc w:val="both"/>
      </w:pPr>
    </w:p>
    <w:p w:rsidR="00F82D7B" w:rsidRDefault="00F82D7B" w:rsidP="00F82D7B">
      <w:pPr>
        <w:spacing w:after="0" w:line="360" w:lineRule="auto"/>
        <w:jc w:val="both"/>
      </w:pPr>
    </w:p>
    <w:p w:rsidR="00F82D7B" w:rsidRPr="00F82D7B" w:rsidRDefault="00F82D7B" w:rsidP="00F82D7B">
      <w:pPr>
        <w:spacing w:after="0" w:line="360" w:lineRule="auto"/>
        <w:jc w:val="both"/>
      </w:pPr>
    </w:p>
    <w:p w:rsidR="00640ED3" w:rsidRDefault="00640ED3" w:rsidP="00640ED3">
      <w:pPr>
        <w:spacing w:after="0" w:line="360" w:lineRule="auto"/>
        <w:jc w:val="both"/>
      </w:pPr>
    </w:p>
    <w:p w:rsidR="00640ED3" w:rsidRDefault="00640ED3" w:rsidP="00F16762">
      <w:pPr>
        <w:spacing w:after="0" w:line="360" w:lineRule="auto"/>
        <w:rPr>
          <w:rFonts w:ascii="Arial" w:hAnsi="Arial" w:cs="Arial"/>
          <w:sz w:val="24"/>
        </w:rPr>
      </w:pPr>
    </w:p>
    <w:p w:rsidR="00640ED3" w:rsidRDefault="00640ED3"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F82D7B" w:rsidRDefault="00F82D7B" w:rsidP="00640ED3">
      <w:pPr>
        <w:rPr>
          <w:rFonts w:ascii="Arial" w:hAnsi="Arial" w:cs="Arial"/>
        </w:rPr>
      </w:pPr>
    </w:p>
    <w:p w:rsidR="00640ED3" w:rsidRPr="00640ED3" w:rsidRDefault="00640ED3" w:rsidP="00640ED3">
      <w:pPr>
        <w:rPr>
          <w:rFonts w:ascii="Arial" w:hAnsi="Arial" w:cs="Arial"/>
        </w:rPr>
      </w:pPr>
    </w:p>
    <w:sdt>
      <w:sdtPr>
        <w:rPr>
          <w:rFonts w:ascii="Calibri" w:eastAsia="Calibri" w:hAnsi="Times New Roman" w:cs="Times New Roman"/>
          <w:color w:val="auto"/>
          <w:sz w:val="22"/>
          <w:szCs w:val="22"/>
          <w:lang w:eastAsia="en-US"/>
        </w:rPr>
        <w:id w:val="-679356752"/>
        <w:docPartObj>
          <w:docPartGallery w:val="Table of Contents"/>
          <w:docPartUnique/>
        </w:docPartObj>
      </w:sdtPr>
      <w:sdtEndPr>
        <w:rPr>
          <w:b/>
          <w:bCs/>
        </w:rPr>
      </w:sdtEndPr>
      <w:sdtContent>
        <w:p w:rsidR="00F16762" w:rsidRPr="00F16762" w:rsidRDefault="00F16762" w:rsidP="00F16762">
          <w:pPr>
            <w:pStyle w:val="CabealhodoSumrio"/>
            <w:numPr>
              <w:ilvl w:val="0"/>
              <w:numId w:val="0"/>
            </w:numPr>
            <w:ind w:left="432"/>
            <w:jc w:val="center"/>
            <w:rPr>
              <w:rFonts w:ascii="Arial" w:hAnsi="Arial" w:cs="Arial"/>
              <w:b/>
              <w:color w:val="auto"/>
              <w:sz w:val="24"/>
              <w:szCs w:val="24"/>
            </w:rPr>
          </w:pPr>
          <w:r>
            <w:rPr>
              <w:rFonts w:ascii="Arial" w:hAnsi="Arial" w:cs="Arial"/>
              <w:b/>
              <w:color w:val="auto"/>
              <w:sz w:val="24"/>
              <w:szCs w:val="24"/>
            </w:rPr>
            <w:t>SUMÁRIO</w:t>
          </w:r>
        </w:p>
        <w:p w:rsidR="009369E6" w:rsidRPr="009369E6" w:rsidRDefault="00F16762">
          <w:pPr>
            <w:pStyle w:val="Sumrio1"/>
            <w:tabs>
              <w:tab w:val="left" w:pos="440"/>
              <w:tab w:val="right" w:leader="dot" w:pos="9061"/>
            </w:tabs>
            <w:rPr>
              <w:rFonts w:ascii="Arial" w:eastAsiaTheme="minorEastAsia" w:hAnsi="Arial" w:cs="Arial"/>
              <w:b w:val="0"/>
              <w:bCs w:val="0"/>
              <w:caps w:val="0"/>
              <w:noProof/>
              <w:lang w:eastAsia="pt-BR"/>
            </w:rPr>
          </w:pPr>
          <w:r w:rsidRPr="00F16762">
            <w:rPr>
              <w:rFonts w:ascii="Arial" w:hAnsi="Arial" w:cs="Arial"/>
            </w:rPr>
            <w:fldChar w:fldCharType="begin"/>
          </w:r>
          <w:r w:rsidRPr="00F16762">
            <w:rPr>
              <w:rFonts w:ascii="Arial" w:hAnsi="Arial" w:cs="Arial"/>
            </w:rPr>
            <w:instrText xml:space="preserve"> TOC \o "1-3" \h \z \u </w:instrText>
          </w:r>
          <w:r w:rsidRPr="00F16762">
            <w:rPr>
              <w:rFonts w:ascii="Arial" w:hAnsi="Arial" w:cs="Arial"/>
            </w:rPr>
            <w:fldChar w:fldCharType="separate"/>
          </w:r>
          <w:hyperlink w:anchor="_Toc484350731" w:history="1">
            <w:r w:rsidR="009369E6" w:rsidRPr="009369E6">
              <w:rPr>
                <w:rStyle w:val="Hyperlink"/>
                <w:rFonts w:ascii="Arial" w:hAnsi="Arial" w:cs="Arial"/>
                <w:noProof/>
              </w:rPr>
              <w:t>1</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rPr>
              <w:t>INTRODUÇÃO</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_Toc484350731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8</w:t>
            </w:r>
            <w:r w:rsidR="009369E6" w:rsidRPr="009369E6">
              <w:rPr>
                <w:rFonts w:ascii="Arial" w:hAnsi="Arial" w:cs="Arial"/>
                <w:noProof/>
                <w:webHidden/>
              </w:rPr>
              <w:fldChar w:fldCharType="end"/>
            </w:r>
          </w:hyperlink>
        </w:p>
        <w:p w:rsidR="009369E6" w:rsidRPr="009369E6" w:rsidRDefault="009E34DA">
          <w:pPr>
            <w:pStyle w:val="Sumrio1"/>
            <w:tabs>
              <w:tab w:val="left" w:pos="440"/>
              <w:tab w:val="right" w:leader="dot" w:pos="9061"/>
            </w:tabs>
            <w:rPr>
              <w:rFonts w:ascii="Arial" w:eastAsiaTheme="minorEastAsia" w:hAnsi="Arial" w:cs="Arial"/>
              <w:b w:val="0"/>
              <w:bCs w:val="0"/>
              <w:caps w:val="0"/>
              <w:noProof/>
              <w:lang w:eastAsia="pt-BR"/>
            </w:rPr>
          </w:pPr>
          <w:hyperlink w:anchor="_Toc484350732" w:history="1">
            <w:r w:rsidR="009369E6" w:rsidRPr="009369E6">
              <w:rPr>
                <w:rStyle w:val="Hyperlink"/>
                <w:rFonts w:ascii="Arial" w:hAnsi="Arial" w:cs="Arial"/>
                <w:noProof/>
              </w:rPr>
              <w:t>2</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rPr>
              <w:t>KEYNES, BANCOS E A LUTA PARA ESCAPAR DAS VELHAS IDEIAS</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_Toc484350732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12</w:t>
            </w:r>
            <w:r w:rsidR="009369E6" w:rsidRPr="009369E6">
              <w:rPr>
                <w:rFonts w:ascii="Arial" w:hAnsi="Arial" w:cs="Arial"/>
                <w:noProof/>
                <w:webHidden/>
              </w:rPr>
              <w:fldChar w:fldCharType="end"/>
            </w:r>
          </w:hyperlink>
        </w:p>
        <w:p w:rsidR="009369E6" w:rsidRPr="009369E6" w:rsidRDefault="009E34DA">
          <w:pPr>
            <w:pStyle w:val="Sumrio2"/>
            <w:tabs>
              <w:tab w:val="left" w:pos="660"/>
              <w:tab w:val="right" w:leader="dot" w:pos="9061"/>
            </w:tabs>
            <w:rPr>
              <w:rFonts w:ascii="Arial" w:eastAsiaTheme="minorEastAsia" w:hAnsi="Arial" w:cs="Arial"/>
              <w:b w:val="0"/>
              <w:bCs w:val="0"/>
              <w:noProof/>
              <w:sz w:val="24"/>
              <w:szCs w:val="24"/>
              <w:lang w:eastAsia="pt-BR"/>
            </w:rPr>
          </w:pPr>
          <w:hyperlink w:anchor="_Toc484350733" w:history="1">
            <w:r w:rsidR="009369E6" w:rsidRPr="009369E6">
              <w:rPr>
                <w:rStyle w:val="Hyperlink"/>
                <w:rFonts w:ascii="Arial" w:hAnsi="Arial" w:cs="Arial"/>
                <w:noProof/>
                <w:sz w:val="24"/>
                <w:szCs w:val="24"/>
              </w:rPr>
              <w:t>2.1</w:t>
            </w:r>
            <w:r w:rsidR="009369E6" w:rsidRPr="009369E6">
              <w:rPr>
                <w:rFonts w:ascii="Arial" w:eastAsiaTheme="minorEastAsia" w:hAnsi="Arial" w:cs="Arial"/>
                <w:b w:val="0"/>
                <w:bCs w:val="0"/>
                <w:noProof/>
                <w:sz w:val="24"/>
                <w:szCs w:val="24"/>
                <w:lang w:eastAsia="pt-BR"/>
              </w:rPr>
              <w:tab/>
            </w:r>
            <w:r w:rsidR="009369E6" w:rsidRPr="009369E6">
              <w:rPr>
                <w:rStyle w:val="Hyperlink"/>
                <w:rFonts w:ascii="Arial" w:hAnsi="Arial" w:cs="Arial"/>
                <w:noProof/>
                <w:spacing w:val="15"/>
                <w:sz w:val="24"/>
                <w:szCs w:val="24"/>
              </w:rPr>
              <w:t>Teoria da firma bancária</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_Toc484350733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15</w:t>
            </w:r>
            <w:r w:rsidR="009369E6" w:rsidRPr="009369E6">
              <w:rPr>
                <w:rFonts w:ascii="Arial" w:hAnsi="Arial" w:cs="Arial"/>
                <w:noProof/>
                <w:webHidden/>
                <w:sz w:val="24"/>
                <w:szCs w:val="24"/>
              </w:rPr>
              <w:fldChar w:fldCharType="end"/>
            </w:r>
          </w:hyperlink>
        </w:p>
        <w:p w:rsidR="009369E6" w:rsidRPr="009369E6" w:rsidRDefault="009E34DA">
          <w:pPr>
            <w:pStyle w:val="Sumrio3"/>
            <w:tabs>
              <w:tab w:val="left" w:pos="880"/>
              <w:tab w:val="right" w:leader="dot" w:pos="9061"/>
            </w:tabs>
            <w:rPr>
              <w:rFonts w:ascii="Arial" w:eastAsiaTheme="minorEastAsia" w:hAnsi="Arial" w:cs="Arial"/>
              <w:noProof/>
              <w:sz w:val="24"/>
              <w:szCs w:val="24"/>
              <w:lang w:eastAsia="pt-BR"/>
            </w:rPr>
          </w:pPr>
          <w:hyperlink w:anchor="_Toc484350734" w:history="1">
            <w:r w:rsidR="009369E6" w:rsidRPr="009369E6">
              <w:rPr>
                <w:rStyle w:val="Hyperlink"/>
                <w:rFonts w:ascii="Arial" w:hAnsi="Arial" w:cs="Arial"/>
                <w:noProof/>
                <w:sz w:val="24"/>
                <w:szCs w:val="24"/>
              </w:rPr>
              <w:t>2.1.1</w:t>
            </w:r>
            <w:r w:rsidR="009369E6" w:rsidRPr="009369E6">
              <w:rPr>
                <w:rFonts w:ascii="Arial" w:eastAsiaTheme="minorEastAsia" w:hAnsi="Arial" w:cs="Arial"/>
                <w:noProof/>
                <w:sz w:val="24"/>
                <w:szCs w:val="24"/>
                <w:lang w:eastAsia="pt-BR"/>
              </w:rPr>
              <w:tab/>
            </w:r>
            <w:r w:rsidR="009369E6" w:rsidRPr="009369E6">
              <w:rPr>
                <w:rStyle w:val="Hyperlink"/>
                <w:rFonts w:ascii="Arial" w:hAnsi="Arial" w:cs="Arial"/>
                <w:noProof/>
                <w:spacing w:val="15"/>
                <w:sz w:val="24"/>
                <w:szCs w:val="24"/>
              </w:rPr>
              <w:t>Visão de Gurley e Shaw</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_Toc484350734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16</w:t>
            </w:r>
            <w:r w:rsidR="009369E6" w:rsidRPr="009369E6">
              <w:rPr>
                <w:rFonts w:ascii="Arial" w:hAnsi="Arial" w:cs="Arial"/>
                <w:noProof/>
                <w:webHidden/>
                <w:sz w:val="24"/>
                <w:szCs w:val="24"/>
              </w:rPr>
              <w:fldChar w:fldCharType="end"/>
            </w:r>
          </w:hyperlink>
        </w:p>
        <w:p w:rsidR="009369E6" w:rsidRPr="009369E6" w:rsidRDefault="009E34DA">
          <w:pPr>
            <w:pStyle w:val="Sumrio3"/>
            <w:tabs>
              <w:tab w:val="left" w:pos="880"/>
              <w:tab w:val="right" w:leader="dot" w:pos="9061"/>
            </w:tabs>
            <w:rPr>
              <w:rFonts w:ascii="Arial" w:eastAsiaTheme="minorEastAsia" w:hAnsi="Arial" w:cs="Arial"/>
              <w:noProof/>
              <w:sz w:val="24"/>
              <w:szCs w:val="24"/>
              <w:lang w:eastAsia="pt-BR"/>
            </w:rPr>
          </w:pPr>
          <w:hyperlink w:anchor="_Toc484350735" w:history="1">
            <w:r w:rsidR="009369E6" w:rsidRPr="009369E6">
              <w:rPr>
                <w:rStyle w:val="Hyperlink"/>
                <w:rFonts w:ascii="Arial" w:hAnsi="Arial" w:cs="Arial"/>
                <w:i/>
                <w:noProof/>
                <w:sz w:val="24"/>
                <w:szCs w:val="24"/>
              </w:rPr>
              <w:t>2.1.2</w:t>
            </w:r>
            <w:r w:rsidR="009369E6" w:rsidRPr="009369E6">
              <w:rPr>
                <w:rFonts w:ascii="Arial" w:eastAsiaTheme="minorEastAsia" w:hAnsi="Arial" w:cs="Arial"/>
                <w:noProof/>
                <w:sz w:val="24"/>
                <w:szCs w:val="24"/>
                <w:lang w:eastAsia="pt-BR"/>
              </w:rPr>
              <w:tab/>
            </w:r>
            <w:r w:rsidR="009369E6" w:rsidRPr="009369E6">
              <w:rPr>
                <w:rStyle w:val="Hyperlink"/>
                <w:rFonts w:ascii="Arial" w:hAnsi="Arial" w:cs="Arial"/>
                <w:i/>
                <w:noProof/>
                <w:sz w:val="24"/>
                <w:szCs w:val="24"/>
              </w:rPr>
              <w:t>A “visão nova” de Tobin</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_Toc484350735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17</w:t>
            </w:r>
            <w:r w:rsidR="009369E6" w:rsidRPr="009369E6">
              <w:rPr>
                <w:rFonts w:ascii="Arial" w:hAnsi="Arial" w:cs="Arial"/>
                <w:noProof/>
                <w:webHidden/>
                <w:sz w:val="24"/>
                <w:szCs w:val="24"/>
              </w:rPr>
              <w:fldChar w:fldCharType="end"/>
            </w:r>
          </w:hyperlink>
        </w:p>
        <w:p w:rsidR="009369E6" w:rsidRPr="009369E6" w:rsidRDefault="009E34DA">
          <w:pPr>
            <w:pStyle w:val="Sumrio3"/>
            <w:tabs>
              <w:tab w:val="left" w:pos="880"/>
              <w:tab w:val="right" w:leader="dot" w:pos="9061"/>
            </w:tabs>
            <w:rPr>
              <w:rFonts w:ascii="Arial" w:eastAsiaTheme="minorEastAsia" w:hAnsi="Arial" w:cs="Arial"/>
              <w:noProof/>
              <w:sz w:val="24"/>
              <w:szCs w:val="24"/>
              <w:lang w:eastAsia="pt-BR"/>
            </w:rPr>
          </w:pPr>
          <w:hyperlink w:anchor="_Toc484350736" w:history="1">
            <w:r w:rsidR="009369E6" w:rsidRPr="009369E6">
              <w:rPr>
                <w:rStyle w:val="Hyperlink"/>
                <w:rFonts w:ascii="Arial" w:hAnsi="Arial" w:cs="Arial"/>
                <w:noProof/>
                <w:sz w:val="24"/>
                <w:szCs w:val="24"/>
              </w:rPr>
              <w:t>2.1.3</w:t>
            </w:r>
            <w:r w:rsidR="009369E6" w:rsidRPr="009369E6">
              <w:rPr>
                <w:rFonts w:ascii="Arial" w:eastAsiaTheme="minorEastAsia" w:hAnsi="Arial" w:cs="Arial"/>
                <w:noProof/>
                <w:sz w:val="24"/>
                <w:szCs w:val="24"/>
                <w:lang w:eastAsia="pt-BR"/>
              </w:rPr>
              <w:tab/>
            </w:r>
            <w:r w:rsidR="009369E6" w:rsidRPr="009369E6">
              <w:rPr>
                <w:rStyle w:val="Hyperlink"/>
                <w:rFonts w:ascii="Arial" w:hAnsi="Arial" w:cs="Arial"/>
                <w:i/>
                <w:noProof/>
                <w:spacing w:val="15"/>
                <w:sz w:val="24"/>
                <w:szCs w:val="24"/>
              </w:rPr>
              <w:t>Visão pós-keynesiana</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_Toc484350736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19</w:t>
            </w:r>
            <w:r w:rsidR="009369E6" w:rsidRPr="009369E6">
              <w:rPr>
                <w:rFonts w:ascii="Arial" w:hAnsi="Arial" w:cs="Arial"/>
                <w:noProof/>
                <w:webHidden/>
                <w:sz w:val="24"/>
                <w:szCs w:val="24"/>
              </w:rPr>
              <w:fldChar w:fldCharType="end"/>
            </w:r>
          </w:hyperlink>
        </w:p>
        <w:p w:rsidR="009369E6" w:rsidRPr="009369E6" w:rsidRDefault="009E34DA">
          <w:pPr>
            <w:pStyle w:val="Sumrio1"/>
            <w:tabs>
              <w:tab w:val="left" w:pos="440"/>
              <w:tab w:val="right" w:leader="dot" w:pos="9061"/>
            </w:tabs>
            <w:rPr>
              <w:rFonts w:ascii="Arial" w:eastAsiaTheme="minorEastAsia" w:hAnsi="Arial" w:cs="Arial"/>
              <w:b w:val="0"/>
              <w:bCs w:val="0"/>
              <w:caps w:val="0"/>
              <w:noProof/>
              <w:lang w:eastAsia="pt-BR"/>
            </w:rPr>
          </w:pPr>
          <w:hyperlink w:anchor="_Toc484350737" w:history="1">
            <w:r w:rsidR="009369E6" w:rsidRPr="009369E6">
              <w:rPr>
                <w:rStyle w:val="Hyperlink"/>
                <w:rFonts w:ascii="Arial" w:hAnsi="Arial" w:cs="Arial"/>
                <w:noProof/>
              </w:rPr>
              <w:t>3</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spacing w:val="15"/>
              </w:rPr>
              <w:t>REGIME DE METAS DE INFLAÇÃO (RMI)</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_Toc484350737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24</w:t>
            </w:r>
            <w:r w:rsidR="009369E6" w:rsidRPr="009369E6">
              <w:rPr>
                <w:rFonts w:ascii="Arial" w:hAnsi="Arial" w:cs="Arial"/>
                <w:noProof/>
                <w:webHidden/>
              </w:rPr>
              <w:fldChar w:fldCharType="end"/>
            </w:r>
          </w:hyperlink>
        </w:p>
        <w:p w:rsidR="009369E6" w:rsidRPr="009369E6" w:rsidRDefault="009E34DA">
          <w:pPr>
            <w:pStyle w:val="Sumrio2"/>
            <w:tabs>
              <w:tab w:val="left" w:pos="660"/>
              <w:tab w:val="right" w:leader="dot" w:pos="9061"/>
            </w:tabs>
            <w:rPr>
              <w:rFonts w:ascii="Arial" w:eastAsiaTheme="minorEastAsia" w:hAnsi="Arial" w:cs="Arial"/>
              <w:b w:val="0"/>
              <w:bCs w:val="0"/>
              <w:noProof/>
              <w:sz w:val="24"/>
              <w:szCs w:val="24"/>
              <w:lang w:eastAsia="pt-BR"/>
            </w:rPr>
          </w:pPr>
          <w:hyperlink w:anchor="_Toc484350738" w:history="1">
            <w:r w:rsidR="009369E6" w:rsidRPr="009369E6">
              <w:rPr>
                <w:rStyle w:val="Hyperlink"/>
                <w:rFonts w:ascii="Arial" w:hAnsi="Arial" w:cs="Arial"/>
                <w:noProof/>
                <w:sz w:val="24"/>
                <w:szCs w:val="24"/>
              </w:rPr>
              <w:t>3.1</w:t>
            </w:r>
            <w:r w:rsidR="009369E6" w:rsidRPr="009369E6">
              <w:rPr>
                <w:rFonts w:ascii="Arial" w:eastAsiaTheme="minorEastAsia" w:hAnsi="Arial" w:cs="Arial"/>
                <w:b w:val="0"/>
                <w:bCs w:val="0"/>
                <w:noProof/>
                <w:sz w:val="24"/>
                <w:szCs w:val="24"/>
                <w:lang w:eastAsia="pt-BR"/>
              </w:rPr>
              <w:tab/>
            </w:r>
            <w:r w:rsidR="009369E6" w:rsidRPr="009369E6">
              <w:rPr>
                <w:rStyle w:val="Hyperlink"/>
                <w:rFonts w:ascii="Arial" w:hAnsi="Arial" w:cs="Arial"/>
                <w:noProof/>
                <w:sz w:val="24"/>
                <w:szCs w:val="24"/>
              </w:rPr>
              <w:t>Arcabouço teórico do Regime de Metas de Inflação</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_Toc484350738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24</w:t>
            </w:r>
            <w:r w:rsidR="009369E6" w:rsidRPr="009369E6">
              <w:rPr>
                <w:rFonts w:ascii="Arial" w:hAnsi="Arial" w:cs="Arial"/>
                <w:noProof/>
                <w:webHidden/>
                <w:sz w:val="24"/>
                <w:szCs w:val="24"/>
              </w:rPr>
              <w:fldChar w:fldCharType="end"/>
            </w:r>
          </w:hyperlink>
        </w:p>
        <w:p w:rsidR="009369E6" w:rsidRPr="009369E6" w:rsidRDefault="009E34DA">
          <w:pPr>
            <w:pStyle w:val="Sumrio2"/>
            <w:tabs>
              <w:tab w:val="left" w:pos="660"/>
              <w:tab w:val="right" w:leader="dot" w:pos="9061"/>
            </w:tabs>
            <w:rPr>
              <w:rFonts w:ascii="Arial" w:eastAsiaTheme="minorEastAsia" w:hAnsi="Arial" w:cs="Arial"/>
              <w:b w:val="0"/>
              <w:bCs w:val="0"/>
              <w:noProof/>
              <w:sz w:val="24"/>
              <w:szCs w:val="24"/>
              <w:lang w:eastAsia="pt-BR"/>
            </w:rPr>
          </w:pPr>
          <w:hyperlink w:anchor="_Toc484350739" w:history="1">
            <w:r w:rsidR="009369E6" w:rsidRPr="009369E6">
              <w:rPr>
                <w:rStyle w:val="Hyperlink"/>
                <w:rFonts w:ascii="Arial" w:hAnsi="Arial" w:cs="Arial"/>
                <w:noProof/>
                <w:sz w:val="24"/>
                <w:szCs w:val="24"/>
              </w:rPr>
              <w:t>3.2</w:t>
            </w:r>
            <w:r w:rsidR="009369E6" w:rsidRPr="009369E6">
              <w:rPr>
                <w:rFonts w:ascii="Arial" w:eastAsiaTheme="minorEastAsia" w:hAnsi="Arial" w:cs="Arial"/>
                <w:b w:val="0"/>
                <w:bCs w:val="0"/>
                <w:noProof/>
                <w:sz w:val="24"/>
                <w:szCs w:val="24"/>
                <w:lang w:eastAsia="pt-BR"/>
              </w:rPr>
              <w:tab/>
            </w:r>
            <w:r w:rsidR="009369E6" w:rsidRPr="009369E6">
              <w:rPr>
                <w:rStyle w:val="Hyperlink"/>
                <w:rFonts w:ascii="Arial" w:hAnsi="Arial" w:cs="Arial"/>
                <w:noProof/>
                <w:sz w:val="24"/>
                <w:szCs w:val="24"/>
              </w:rPr>
              <w:t>Regime de Metas de Inflação no Brasil</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_Toc484350739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27</w:t>
            </w:r>
            <w:r w:rsidR="009369E6" w:rsidRPr="009369E6">
              <w:rPr>
                <w:rFonts w:ascii="Arial" w:hAnsi="Arial" w:cs="Arial"/>
                <w:noProof/>
                <w:webHidden/>
                <w:sz w:val="24"/>
                <w:szCs w:val="24"/>
              </w:rPr>
              <w:fldChar w:fldCharType="end"/>
            </w:r>
          </w:hyperlink>
        </w:p>
        <w:p w:rsidR="009369E6" w:rsidRPr="009369E6" w:rsidRDefault="009E34DA">
          <w:pPr>
            <w:pStyle w:val="Sumrio1"/>
            <w:tabs>
              <w:tab w:val="left" w:pos="440"/>
              <w:tab w:val="right" w:leader="dot" w:pos="9061"/>
            </w:tabs>
            <w:rPr>
              <w:rFonts w:ascii="Arial" w:eastAsiaTheme="minorEastAsia" w:hAnsi="Arial" w:cs="Arial"/>
              <w:b w:val="0"/>
              <w:bCs w:val="0"/>
              <w:caps w:val="0"/>
              <w:noProof/>
              <w:lang w:eastAsia="pt-BR"/>
            </w:rPr>
          </w:pPr>
          <w:hyperlink w:anchor="_Toc484350740" w:history="1">
            <w:r w:rsidR="009369E6" w:rsidRPr="009369E6">
              <w:rPr>
                <w:rStyle w:val="Hyperlink"/>
                <w:rFonts w:ascii="Arial" w:hAnsi="Arial" w:cs="Arial"/>
                <w:noProof/>
              </w:rPr>
              <w:t>4</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rPr>
              <w:t>Metodologia</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_Toc484350740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35</w:t>
            </w:r>
            <w:r w:rsidR="009369E6" w:rsidRPr="009369E6">
              <w:rPr>
                <w:rFonts w:ascii="Arial" w:hAnsi="Arial" w:cs="Arial"/>
                <w:noProof/>
                <w:webHidden/>
              </w:rPr>
              <w:fldChar w:fldCharType="end"/>
            </w:r>
          </w:hyperlink>
        </w:p>
        <w:p w:rsidR="009369E6" w:rsidRPr="009369E6" w:rsidRDefault="009E34DA">
          <w:pPr>
            <w:pStyle w:val="Sumrio2"/>
            <w:tabs>
              <w:tab w:val="left" w:pos="660"/>
              <w:tab w:val="right" w:leader="dot" w:pos="9061"/>
            </w:tabs>
            <w:rPr>
              <w:rFonts w:ascii="Arial" w:eastAsiaTheme="minorEastAsia" w:hAnsi="Arial" w:cs="Arial"/>
              <w:b w:val="0"/>
              <w:bCs w:val="0"/>
              <w:noProof/>
              <w:sz w:val="24"/>
              <w:szCs w:val="24"/>
              <w:lang w:eastAsia="pt-BR"/>
            </w:rPr>
          </w:pPr>
          <w:hyperlink w:anchor="_Toc484350741" w:history="1">
            <w:r w:rsidR="009369E6" w:rsidRPr="009369E6">
              <w:rPr>
                <w:rStyle w:val="Hyperlink"/>
                <w:rFonts w:ascii="Arial" w:hAnsi="Arial" w:cs="Arial"/>
                <w:noProof/>
                <w:sz w:val="24"/>
                <w:szCs w:val="24"/>
              </w:rPr>
              <w:t>4.1</w:t>
            </w:r>
            <w:r w:rsidR="009369E6" w:rsidRPr="009369E6">
              <w:rPr>
                <w:rFonts w:ascii="Arial" w:eastAsiaTheme="minorEastAsia" w:hAnsi="Arial" w:cs="Arial"/>
                <w:b w:val="0"/>
                <w:bCs w:val="0"/>
                <w:noProof/>
                <w:sz w:val="24"/>
                <w:szCs w:val="24"/>
                <w:lang w:eastAsia="pt-BR"/>
              </w:rPr>
              <w:tab/>
            </w:r>
            <w:r w:rsidR="009369E6" w:rsidRPr="009369E6">
              <w:rPr>
                <w:rStyle w:val="Hyperlink"/>
                <w:rFonts w:ascii="Arial" w:hAnsi="Arial" w:cs="Arial"/>
                <w:noProof/>
                <w:sz w:val="24"/>
                <w:szCs w:val="24"/>
              </w:rPr>
              <w:t>Causalidade de Granger</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_Toc484350741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35</w:t>
            </w:r>
            <w:r w:rsidR="009369E6" w:rsidRPr="009369E6">
              <w:rPr>
                <w:rFonts w:ascii="Arial" w:hAnsi="Arial" w:cs="Arial"/>
                <w:noProof/>
                <w:webHidden/>
                <w:sz w:val="24"/>
                <w:szCs w:val="24"/>
              </w:rPr>
              <w:fldChar w:fldCharType="end"/>
            </w:r>
          </w:hyperlink>
        </w:p>
        <w:p w:rsidR="009369E6" w:rsidRPr="009369E6" w:rsidRDefault="009E34DA">
          <w:pPr>
            <w:pStyle w:val="Sumrio2"/>
            <w:tabs>
              <w:tab w:val="left" w:pos="660"/>
              <w:tab w:val="right" w:leader="dot" w:pos="9061"/>
            </w:tabs>
            <w:rPr>
              <w:rFonts w:ascii="Arial" w:eastAsiaTheme="minorEastAsia" w:hAnsi="Arial" w:cs="Arial"/>
              <w:b w:val="0"/>
              <w:bCs w:val="0"/>
              <w:noProof/>
              <w:sz w:val="24"/>
              <w:szCs w:val="24"/>
              <w:lang w:eastAsia="pt-BR"/>
            </w:rPr>
          </w:pPr>
          <w:hyperlink w:anchor="_Toc484350742" w:history="1">
            <w:r w:rsidR="009369E6" w:rsidRPr="009369E6">
              <w:rPr>
                <w:rStyle w:val="Hyperlink"/>
                <w:rFonts w:ascii="Arial" w:hAnsi="Arial" w:cs="Arial"/>
                <w:noProof/>
                <w:sz w:val="24"/>
                <w:szCs w:val="24"/>
              </w:rPr>
              <w:t>4.2</w:t>
            </w:r>
            <w:r w:rsidR="009369E6" w:rsidRPr="009369E6">
              <w:rPr>
                <w:rFonts w:ascii="Arial" w:eastAsiaTheme="minorEastAsia" w:hAnsi="Arial" w:cs="Arial"/>
                <w:b w:val="0"/>
                <w:bCs w:val="0"/>
                <w:noProof/>
                <w:sz w:val="24"/>
                <w:szCs w:val="24"/>
                <w:lang w:eastAsia="pt-BR"/>
              </w:rPr>
              <w:tab/>
            </w:r>
            <w:r w:rsidR="009369E6" w:rsidRPr="009369E6">
              <w:rPr>
                <w:rStyle w:val="Hyperlink"/>
                <w:rFonts w:ascii="Arial" w:hAnsi="Arial" w:cs="Arial"/>
                <w:noProof/>
                <w:sz w:val="24"/>
                <w:szCs w:val="24"/>
              </w:rPr>
              <w:t>Estacionaridade</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_Toc484350742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37</w:t>
            </w:r>
            <w:r w:rsidR="009369E6" w:rsidRPr="009369E6">
              <w:rPr>
                <w:rFonts w:ascii="Arial" w:hAnsi="Arial" w:cs="Arial"/>
                <w:noProof/>
                <w:webHidden/>
                <w:sz w:val="24"/>
                <w:szCs w:val="24"/>
              </w:rPr>
              <w:fldChar w:fldCharType="end"/>
            </w:r>
          </w:hyperlink>
        </w:p>
        <w:p w:rsidR="009369E6" w:rsidRPr="009369E6" w:rsidRDefault="009E34DA">
          <w:pPr>
            <w:pStyle w:val="Sumrio1"/>
            <w:tabs>
              <w:tab w:val="left" w:pos="440"/>
              <w:tab w:val="right" w:leader="dot" w:pos="9061"/>
            </w:tabs>
            <w:rPr>
              <w:rFonts w:ascii="Arial" w:eastAsiaTheme="minorEastAsia" w:hAnsi="Arial" w:cs="Arial"/>
              <w:b w:val="0"/>
              <w:bCs w:val="0"/>
              <w:caps w:val="0"/>
              <w:noProof/>
              <w:lang w:eastAsia="pt-BR"/>
            </w:rPr>
          </w:pPr>
          <w:hyperlink w:anchor="_Toc484350743" w:history="1">
            <w:r w:rsidR="009369E6" w:rsidRPr="009369E6">
              <w:rPr>
                <w:rStyle w:val="Hyperlink"/>
                <w:rFonts w:ascii="Arial" w:hAnsi="Arial" w:cs="Arial"/>
                <w:noProof/>
              </w:rPr>
              <w:t>5</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rPr>
              <w:t>Comportamento Bancário e suas peculiaridades</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_Toc484350743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38</w:t>
            </w:r>
            <w:r w:rsidR="009369E6" w:rsidRPr="009369E6">
              <w:rPr>
                <w:rFonts w:ascii="Arial" w:hAnsi="Arial" w:cs="Arial"/>
                <w:noProof/>
                <w:webHidden/>
              </w:rPr>
              <w:fldChar w:fldCharType="end"/>
            </w:r>
          </w:hyperlink>
        </w:p>
        <w:p w:rsidR="009369E6" w:rsidRPr="009369E6" w:rsidRDefault="009E34DA">
          <w:pPr>
            <w:pStyle w:val="Sumrio2"/>
            <w:tabs>
              <w:tab w:val="left" w:pos="660"/>
              <w:tab w:val="right" w:leader="dot" w:pos="9061"/>
            </w:tabs>
            <w:rPr>
              <w:rFonts w:ascii="Arial" w:eastAsiaTheme="minorEastAsia" w:hAnsi="Arial" w:cs="Arial"/>
              <w:b w:val="0"/>
              <w:bCs w:val="0"/>
              <w:noProof/>
              <w:sz w:val="24"/>
              <w:szCs w:val="24"/>
              <w:lang w:eastAsia="pt-BR"/>
            </w:rPr>
          </w:pPr>
          <w:hyperlink w:anchor="_Toc484350744" w:history="1">
            <w:r w:rsidR="009369E6" w:rsidRPr="009369E6">
              <w:rPr>
                <w:rStyle w:val="Hyperlink"/>
                <w:rFonts w:ascii="Arial" w:hAnsi="Arial" w:cs="Arial"/>
                <w:noProof/>
                <w:sz w:val="24"/>
                <w:szCs w:val="24"/>
              </w:rPr>
              <w:t>5.1</w:t>
            </w:r>
            <w:r w:rsidR="009369E6" w:rsidRPr="009369E6">
              <w:rPr>
                <w:rFonts w:ascii="Arial" w:eastAsiaTheme="minorEastAsia" w:hAnsi="Arial" w:cs="Arial"/>
                <w:b w:val="0"/>
                <w:bCs w:val="0"/>
                <w:noProof/>
                <w:sz w:val="24"/>
                <w:szCs w:val="24"/>
                <w:lang w:eastAsia="pt-BR"/>
              </w:rPr>
              <w:tab/>
            </w:r>
            <w:r w:rsidR="009369E6" w:rsidRPr="009369E6">
              <w:rPr>
                <w:rStyle w:val="Hyperlink"/>
                <w:rFonts w:ascii="Arial" w:hAnsi="Arial" w:cs="Arial"/>
                <w:noProof/>
                <w:sz w:val="24"/>
                <w:szCs w:val="24"/>
              </w:rPr>
              <w:t>O teste de causalidade Granger</w:t>
            </w:r>
            <w:r w:rsidR="009369E6" w:rsidRPr="009369E6">
              <w:rPr>
                <w:rFonts w:ascii="Arial" w:hAnsi="Arial" w:cs="Arial"/>
                <w:noProof/>
                <w:webHidden/>
                <w:sz w:val="24"/>
                <w:szCs w:val="24"/>
              </w:rPr>
              <w:tab/>
            </w:r>
            <w:r w:rsidR="009369E6" w:rsidRPr="009369E6">
              <w:rPr>
                <w:rFonts w:ascii="Arial" w:hAnsi="Arial" w:cs="Arial"/>
                <w:noProof/>
                <w:webHidden/>
                <w:sz w:val="24"/>
                <w:szCs w:val="24"/>
              </w:rPr>
              <w:fldChar w:fldCharType="begin"/>
            </w:r>
            <w:r w:rsidR="009369E6" w:rsidRPr="009369E6">
              <w:rPr>
                <w:rFonts w:ascii="Arial" w:hAnsi="Arial" w:cs="Arial"/>
                <w:noProof/>
                <w:webHidden/>
                <w:sz w:val="24"/>
                <w:szCs w:val="24"/>
              </w:rPr>
              <w:instrText xml:space="preserve"> PAGEREF _Toc484350744 \h </w:instrText>
            </w:r>
            <w:r w:rsidR="009369E6" w:rsidRPr="009369E6">
              <w:rPr>
                <w:rFonts w:ascii="Arial" w:hAnsi="Arial" w:cs="Arial"/>
                <w:noProof/>
                <w:webHidden/>
                <w:sz w:val="24"/>
                <w:szCs w:val="24"/>
              </w:rPr>
            </w:r>
            <w:r w:rsidR="009369E6" w:rsidRPr="009369E6">
              <w:rPr>
                <w:rFonts w:ascii="Arial" w:hAnsi="Arial" w:cs="Arial"/>
                <w:noProof/>
                <w:webHidden/>
                <w:sz w:val="24"/>
                <w:szCs w:val="24"/>
              </w:rPr>
              <w:fldChar w:fldCharType="separate"/>
            </w:r>
            <w:r w:rsidR="009369E6" w:rsidRPr="009369E6">
              <w:rPr>
                <w:rFonts w:ascii="Arial" w:hAnsi="Arial" w:cs="Arial"/>
                <w:noProof/>
                <w:webHidden/>
                <w:sz w:val="24"/>
                <w:szCs w:val="24"/>
              </w:rPr>
              <w:t>48</w:t>
            </w:r>
            <w:r w:rsidR="009369E6" w:rsidRPr="009369E6">
              <w:rPr>
                <w:rFonts w:ascii="Arial" w:hAnsi="Arial" w:cs="Arial"/>
                <w:noProof/>
                <w:webHidden/>
                <w:sz w:val="24"/>
                <w:szCs w:val="24"/>
              </w:rPr>
              <w:fldChar w:fldCharType="end"/>
            </w:r>
          </w:hyperlink>
        </w:p>
        <w:p w:rsidR="009369E6" w:rsidRPr="009369E6" w:rsidRDefault="009E34DA">
          <w:pPr>
            <w:pStyle w:val="Sumrio1"/>
            <w:tabs>
              <w:tab w:val="left" w:pos="440"/>
              <w:tab w:val="right" w:leader="dot" w:pos="9061"/>
            </w:tabs>
            <w:rPr>
              <w:rFonts w:ascii="Arial" w:eastAsiaTheme="minorEastAsia" w:hAnsi="Arial" w:cs="Arial"/>
              <w:b w:val="0"/>
              <w:bCs w:val="0"/>
              <w:caps w:val="0"/>
              <w:noProof/>
              <w:lang w:eastAsia="pt-BR"/>
            </w:rPr>
          </w:pPr>
          <w:hyperlink w:anchor="_Toc484350745" w:history="1">
            <w:r w:rsidR="009369E6" w:rsidRPr="009369E6">
              <w:rPr>
                <w:rStyle w:val="Hyperlink"/>
                <w:rFonts w:ascii="Arial" w:hAnsi="Arial" w:cs="Arial"/>
                <w:noProof/>
              </w:rPr>
              <w:t>6</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rPr>
              <w:t>CONSIDEÇÕES FINAIS</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_Toc484350745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50</w:t>
            </w:r>
            <w:r w:rsidR="009369E6" w:rsidRPr="009369E6">
              <w:rPr>
                <w:rFonts w:ascii="Arial" w:hAnsi="Arial" w:cs="Arial"/>
                <w:noProof/>
                <w:webHidden/>
              </w:rPr>
              <w:fldChar w:fldCharType="end"/>
            </w:r>
          </w:hyperlink>
        </w:p>
        <w:p w:rsidR="009369E6" w:rsidRDefault="009E34DA">
          <w:pPr>
            <w:pStyle w:val="Sumrio1"/>
            <w:tabs>
              <w:tab w:val="left" w:pos="440"/>
              <w:tab w:val="right" w:leader="dot" w:pos="9061"/>
            </w:tabs>
            <w:rPr>
              <w:rFonts w:asciiTheme="minorHAnsi" w:eastAsiaTheme="minorEastAsia" w:hAnsiTheme="minorHAnsi" w:cstheme="minorBidi"/>
              <w:b w:val="0"/>
              <w:bCs w:val="0"/>
              <w:caps w:val="0"/>
              <w:noProof/>
              <w:sz w:val="22"/>
              <w:szCs w:val="22"/>
              <w:lang w:eastAsia="pt-BR"/>
            </w:rPr>
          </w:pPr>
          <w:hyperlink w:anchor="_Toc484350746" w:history="1">
            <w:r w:rsidR="009369E6" w:rsidRPr="009369E6">
              <w:rPr>
                <w:rStyle w:val="Hyperlink"/>
                <w:rFonts w:ascii="Arial" w:hAnsi="Arial" w:cs="Arial"/>
                <w:noProof/>
              </w:rPr>
              <w:t>7</w:t>
            </w:r>
            <w:r w:rsidR="009369E6" w:rsidRPr="009369E6">
              <w:rPr>
                <w:rFonts w:ascii="Arial" w:eastAsiaTheme="minorEastAsia" w:hAnsi="Arial" w:cs="Arial"/>
                <w:b w:val="0"/>
                <w:bCs w:val="0"/>
                <w:caps w:val="0"/>
                <w:noProof/>
                <w:lang w:eastAsia="pt-BR"/>
              </w:rPr>
              <w:tab/>
            </w:r>
            <w:r w:rsidR="009369E6" w:rsidRPr="009369E6">
              <w:rPr>
                <w:rStyle w:val="Hyperlink"/>
                <w:rFonts w:ascii="Arial" w:hAnsi="Arial" w:cs="Arial"/>
                <w:noProof/>
              </w:rPr>
              <w:t>REFERÊNCIAS</w:t>
            </w:r>
            <w:r w:rsidR="009369E6" w:rsidRPr="009369E6">
              <w:rPr>
                <w:rFonts w:ascii="Arial" w:hAnsi="Arial" w:cs="Arial"/>
                <w:noProof/>
                <w:webHidden/>
              </w:rPr>
              <w:tab/>
            </w:r>
            <w:r w:rsidR="009369E6" w:rsidRPr="009369E6">
              <w:rPr>
                <w:rFonts w:ascii="Arial" w:hAnsi="Arial" w:cs="Arial"/>
                <w:noProof/>
                <w:webHidden/>
              </w:rPr>
              <w:fldChar w:fldCharType="begin"/>
            </w:r>
            <w:r w:rsidR="009369E6" w:rsidRPr="009369E6">
              <w:rPr>
                <w:rFonts w:ascii="Arial" w:hAnsi="Arial" w:cs="Arial"/>
                <w:noProof/>
                <w:webHidden/>
              </w:rPr>
              <w:instrText xml:space="preserve"> PAGEREF _Toc484350746 \h </w:instrText>
            </w:r>
            <w:r w:rsidR="009369E6" w:rsidRPr="009369E6">
              <w:rPr>
                <w:rFonts w:ascii="Arial" w:hAnsi="Arial" w:cs="Arial"/>
                <w:noProof/>
                <w:webHidden/>
              </w:rPr>
            </w:r>
            <w:r w:rsidR="009369E6" w:rsidRPr="009369E6">
              <w:rPr>
                <w:rFonts w:ascii="Arial" w:hAnsi="Arial" w:cs="Arial"/>
                <w:noProof/>
                <w:webHidden/>
              </w:rPr>
              <w:fldChar w:fldCharType="separate"/>
            </w:r>
            <w:r w:rsidR="009369E6" w:rsidRPr="009369E6">
              <w:rPr>
                <w:rFonts w:ascii="Arial" w:hAnsi="Arial" w:cs="Arial"/>
                <w:noProof/>
                <w:webHidden/>
              </w:rPr>
              <w:t>52</w:t>
            </w:r>
            <w:r w:rsidR="009369E6" w:rsidRPr="009369E6">
              <w:rPr>
                <w:rFonts w:ascii="Arial" w:hAnsi="Arial" w:cs="Arial"/>
                <w:noProof/>
                <w:webHidden/>
              </w:rPr>
              <w:fldChar w:fldCharType="end"/>
            </w:r>
          </w:hyperlink>
        </w:p>
        <w:p w:rsidR="00F16762" w:rsidRDefault="00F16762">
          <w:r w:rsidRPr="00F16762">
            <w:rPr>
              <w:rFonts w:ascii="Arial" w:hAnsi="Arial" w:cs="Arial"/>
              <w:b/>
              <w:bCs/>
              <w:sz w:val="24"/>
              <w:szCs w:val="24"/>
            </w:rPr>
            <w:fldChar w:fldCharType="end"/>
          </w:r>
        </w:p>
      </w:sdtContent>
    </w:sdt>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p w:rsidR="00F16762" w:rsidRDefault="00F16762" w:rsidP="00F16762">
      <w:pPr>
        <w:spacing w:after="0" w:line="360" w:lineRule="auto"/>
        <w:rPr>
          <w:rFonts w:ascii="Arial" w:hAnsi="Arial" w:cs="Arial"/>
          <w:sz w:val="24"/>
        </w:rPr>
      </w:pPr>
    </w:p>
    <w:bookmarkEnd w:id="0"/>
    <w:p w:rsidR="00F16762" w:rsidRPr="00077488" w:rsidRDefault="00F16762" w:rsidP="00F16762">
      <w:pPr>
        <w:spacing w:after="0" w:line="240" w:lineRule="auto"/>
        <w:rPr>
          <w:rFonts w:ascii="Arial" w:hAnsi="Arial" w:cs="Arial"/>
          <w:sz w:val="24"/>
          <w:szCs w:val="24"/>
        </w:rPr>
      </w:pPr>
    </w:p>
    <w:p w:rsidR="005C20A9" w:rsidRDefault="005C20A9">
      <w:pPr>
        <w:rPr>
          <w:rFonts w:ascii="Arial" w:eastAsiaTheme="majorEastAsia" w:hAnsi="Arial" w:cstheme="majorBidi"/>
          <w:sz w:val="24"/>
          <w:szCs w:val="32"/>
        </w:rPr>
        <w:sectPr w:rsidR="005C20A9" w:rsidSect="00266A3F">
          <w:headerReference w:type="default" r:id="rId9"/>
          <w:footerReference w:type="default" r:id="rId10"/>
          <w:headerReference w:type="first" r:id="rId11"/>
          <w:pgSz w:w="11906" w:h="16838" w:code="9"/>
          <w:pgMar w:top="1701" w:right="1134" w:bottom="1134" w:left="1701" w:header="709" w:footer="709" w:gutter="0"/>
          <w:pgNumType w:start="1"/>
          <w:cols w:space="708"/>
          <w:docGrid w:linePitch="299"/>
        </w:sectPr>
      </w:pPr>
    </w:p>
    <w:p w:rsidR="00E71DA6" w:rsidRPr="00A42F45" w:rsidRDefault="00E71DA6" w:rsidP="00ED4D30">
      <w:pPr>
        <w:pStyle w:val="Ttulo1"/>
      </w:pPr>
      <w:bookmarkStart w:id="1" w:name="_Toc484350731"/>
      <w:r w:rsidRPr="00A42F45">
        <w:lastRenderedPageBreak/>
        <w:t>INTRODUÇÃO</w:t>
      </w:r>
      <w:bookmarkEnd w:id="1"/>
    </w:p>
    <w:p w:rsidR="00E71DA6" w:rsidRPr="00A42F45" w:rsidRDefault="00E71DA6" w:rsidP="00E71DA6">
      <w:pPr>
        <w:spacing w:line="360" w:lineRule="auto"/>
        <w:jc w:val="both"/>
        <w:rPr>
          <w:rFonts w:ascii="Arial" w:hAnsi="Arial" w:cs="Arial"/>
          <w:sz w:val="24"/>
          <w:szCs w:val="24"/>
        </w:rPr>
      </w:pPr>
    </w:p>
    <w:p w:rsidR="00E71DA6" w:rsidRPr="00A42F45" w:rsidRDefault="00E71DA6" w:rsidP="00885B1A">
      <w:pPr>
        <w:spacing w:after="0" w:line="360" w:lineRule="auto"/>
        <w:ind w:firstLine="360"/>
        <w:jc w:val="both"/>
        <w:rPr>
          <w:rFonts w:ascii="Arial" w:hAnsi="Arial" w:cs="Arial"/>
          <w:sz w:val="24"/>
          <w:szCs w:val="24"/>
        </w:rPr>
      </w:pPr>
      <w:r w:rsidRPr="00A42F45">
        <w:rPr>
          <w:rFonts w:ascii="Arial" w:hAnsi="Arial" w:cs="Arial"/>
          <w:sz w:val="24"/>
          <w:szCs w:val="24"/>
        </w:rPr>
        <w:t xml:space="preserve">Com o passar dos anos e desenvolvimento do capitalismo, tanto em forma quanto tamanho, cada vez mais se torna notório o papel relevante dos bancos no cerne desse modelo econômico. </w:t>
      </w:r>
      <w:proofErr w:type="gramStart"/>
      <w:r w:rsidRPr="00A42F45">
        <w:rPr>
          <w:rFonts w:ascii="Arial" w:hAnsi="Arial" w:cs="Arial"/>
          <w:sz w:val="24"/>
          <w:szCs w:val="24"/>
        </w:rPr>
        <w:t>O papel que o sistema bancário traz consigo</w:t>
      </w:r>
      <w:proofErr w:type="gramEnd"/>
      <w:r w:rsidRPr="00A42F45">
        <w:rPr>
          <w:rFonts w:ascii="Arial" w:hAnsi="Arial" w:cs="Arial"/>
          <w:sz w:val="24"/>
          <w:szCs w:val="24"/>
        </w:rPr>
        <w:t xml:space="preserve">, de administrador do sistema de pagamentos, fornecedor de liquidez e crédito, dentre outros, é peça fundamental para compreensão dinâmica de uma economia capitalista. </w:t>
      </w:r>
    </w:p>
    <w:p w:rsidR="00E71DA6" w:rsidRPr="00A42F45" w:rsidRDefault="00E71DA6" w:rsidP="00885B1A">
      <w:pPr>
        <w:spacing w:after="0" w:line="360" w:lineRule="auto"/>
        <w:ind w:firstLine="708"/>
        <w:jc w:val="both"/>
        <w:rPr>
          <w:rFonts w:ascii="Arial" w:hAnsi="Arial" w:cs="Arial"/>
          <w:sz w:val="24"/>
          <w:szCs w:val="24"/>
        </w:rPr>
      </w:pPr>
      <w:r w:rsidRPr="00A42F45">
        <w:rPr>
          <w:rFonts w:ascii="Arial" w:hAnsi="Arial" w:cs="Arial"/>
          <w:sz w:val="24"/>
          <w:szCs w:val="24"/>
        </w:rPr>
        <w:t>Apesar de não ter se referido de forma substancial sobre o comportamento bancário em seus trabalhos, John Maynard Keynes sempre evidenciou o papel crucial do sistema bancário na determinação do investimento, e como consequência no nível de atividade econômica. Ademais, Keynes se faz fundamental para compreensão deste estudo, pois, suas importantes contribuições sobre os pressupostos de uma economia monetária, tal como o papel da moeda na economia, a preferência pela liquidez, taxa de juros</w:t>
      </w:r>
      <w:r>
        <w:rPr>
          <w:rFonts w:ascii="Arial" w:hAnsi="Arial" w:cs="Arial"/>
          <w:sz w:val="24"/>
          <w:szCs w:val="24"/>
        </w:rPr>
        <w:t>,</w:t>
      </w:r>
      <w:r w:rsidRPr="00A42F45">
        <w:rPr>
          <w:rFonts w:ascii="Arial" w:hAnsi="Arial" w:cs="Arial"/>
          <w:sz w:val="24"/>
          <w:szCs w:val="24"/>
        </w:rPr>
        <w:t xml:space="preserve"> formam a pedra angular deste estudo.</w:t>
      </w:r>
    </w:p>
    <w:p w:rsidR="00E71DA6" w:rsidRPr="00A42F45" w:rsidRDefault="00E71DA6" w:rsidP="00885B1A">
      <w:pPr>
        <w:spacing w:after="0" w:line="360" w:lineRule="auto"/>
        <w:ind w:firstLine="708"/>
        <w:jc w:val="both"/>
        <w:rPr>
          <w:rFonts w:ascii="Arial" w:hAnsi="Arial" w:cs="Arial"/>
          <w:sz w:val="24"/>
          <w:szCs w:val="24"/>
        </w:rPr>
      </w:pPr>
      <w:r w:rsidRPr="00A42F45">
        <w:rPr>
          <w:rFonts w:ascii="Arial" w:hAnsi="Arial" w:cs="Arial"/>
          <w:sz w:val="24"/>
          <w:szCs w:val="24"/>
        </w:rPr>
        <w:t>Como dito anteriormente, Keynes não abordou de forma densa o comportamento bancário, mas deixou como legado importantes contribuições</w:t>
      </w:r>
      <w:r>
        <w:rPr>
          <w:rFonts w:ascii="Arial" w:hAnsi="Arial" w:cs="Arial"/>
          <w:sz w:val="24"/>
          <w:szCs w:val="24"/>
        </w:rPr>
        <w:t>,</w:t>
      </w:r>
      <w:r w:rsidRPr="00A42F45">
        <w:rPr>
          <w:rFonts w:ascii="Arial" w:hAnsi="Arial" w:cs="Arial"/>
          <w:sz w:val="24"/>
          <w:szCs w:val="24"/>
        </w:rPr>
        <w:t xml:space="preserve"> que, posteriormente</w:t>
      </w:r>
      <w:r>
        <w:rPr>
          <w:rFonts w:ascii="Arial" w:hAnsi="Arial" w:cs="Arial"/>
          <w:sz w:val="24"/>
          <w:szCs w:val="24"/>
        </w:rPr>
        <w:t>,</w:t>
      </w:r>
      <w:r w:rsidRPr="00A42F45">
        <w:rPr>
          <w:rFonts w:ascii="Arial" w:hAnsi="Arial" w:cs="Arial"/>
          <w:sz w:val="24"/>
          <w:szCs w:val="24"/>
        </w:rPr>
        <w:t xml:space="preserve"> foram utilizadas na construção de um</w:t>
      </w:r>
      <w:r>
        <w:rPr>
          <w:rFonts w:ascii="Arial" w:hAnsi="Arial" w:cs="Arial"/>
          <w:sz w:val="24"/>
          <w:szCs w:val="24"/>
        </w:rPr>
        <w:t>a</w:t>
      </w:r>
      <w:r w:rsidRPr="00A42F45">
        <w:rPr>
          <w:rFonts w:ascii="Arial" w:hAnsi="Arial" w:cs="Arial"/>
          <w:sz w:val="24"/>
          <w:szCs w:val="24"/>
        </w:rPr>
        <w:t xml:space="preserve"> teoria bancária baseadas em </w:t>
      </w:r>
      <w:r>
        <w:rPr>
          <w:rFonts w:ascii="Arial" w:hAnsi="Arial" w:cs="Arial"/>
          <w:sz w:val="24"/>
          <w:szCs w:val="24"/>
        </w:rPr>
        <w:t xml:space="preserve">seus </w:t>
      </w:r>
      <w:r w:rsidRPr="00A42F45">
        <w:rPr>
          <w:rFonts w:ascii="Arial" w:hAnsi="Arial" w:cs="Arial"/>
          <w:sz w:val="24"/>
          <w:szCs w:val="24"/>
        </w:rPr>
        <w:t>pressupostos</w:t>
      </w:r>
      <w:r>
        <w:rPr>
          <w:rFonts w:ascii="Arial" w:hAnsi="Arial" w:cs="Arial"/>
          <w:sz w:val="24"/>
          <w:szCs w:val="24"/>
        </w:rPr>
        <w:t>, particularmente, a escola de pensamento</w:t>
      </w:r>
      <w:r w:rsidRPr="00A42F45">
        <w:rPr>
          <w:rFonts w:ascii="Arial" w:hAnsi="Arial" w:cs="Arial"/>
          <w:sz w:val="24"/>
          <w:szCs w:val="24"/>
        </w:rPr>
        <w:t xml:space="preserve"> </w:t>
      </w:r>
      <w:proofErr w:type="spellStart"/>
      <w:r w:rsidRPr="00A42F45">
        <w:rPr>
          <w:rFonts w:ascii="Arial" w:hAnsi="Arial" w:cs="Arial"/>
          <w:sz w:val="24"/>
          <w:szCs w:val="24"/>
        </w:rPr>
        <w:t>pos-keynesiana</w:t>
      </w:r>
      <w:proofErr w:type="spellEnd"/>
      <w:r>
        <w:rPr>
          <w:rFonts w:ascii="Arial" w:hAnsi="Arial" w:cs="Arial"/>
          <w:sz w:val="24"/>
          <w:szCs w:val="24"/>
        </w:rPr>
        <w:t xml:space="preserve"> criou uma teoria</w:t>
      </w:r>
      <w:r w:rsidRPr="00A42F45">
        <w:rPr>
          <w:rFonts w:ascii="Arial" w:hAnsi="Arial" w:cs="Arial"/>
          <w:sz w:val="24"/>
          <w:szCs w:val="24"/>
        </w:rPr>
        <w:t xml:space="preserve"> da firma bancária</w:t>
      </w:r>
      <w:r>
        <w:rPr>
          <w:rFonts w:ascii="Arial" w:hAnsi="Arial" w:cs="Arial"/>
          <w:sz w:val="24"/>
          <w:szCs w:val="24"/>
        </w:rPr>
        <w:t xml:space="preserve"> baseada em seus </w:t>
      </w:r>
      <w:r w:rsidR="009F3126">
        <w:rPr>
          <w:rFonts w:ascii="Arial" w:hAnsi="Arial" w:cs="Arial"/>
          <w:sz w:val="24"/>
          <w:szCs w:val="24"/>
        </w:rPr>
        <w:t>pensamentos</w:t>
      </w:r>
      <w:r w:rsidRPr="00A42F45">
        <w:rPr>
          <w:rFonts w:ascii="Arial" w:hAnsi="Arial" w:cs="Arial"/>
          <w:sz w:val="24"/>
          <w:szCs w:val="24"/>
        </w:rPr>
        <w:t xml:space="preserve">. Além da visão </w:t>
      </w:r>
      <w:proofErr w:type="spellStart"/>
      <w:r w:rsidRPr="00A42F45">
        <w:rPr>
          <w:rFonts w:ascii="Arial" w:hAnsi="Arial" w:cs="Arial"/>
          <w:sz w:val="24"/>
          <w:szCs w:val="24"/>
        </w:rPr>
        <w:t>pos-keynesiana</w:t>
      </w:r>
      <w:proofErr w:type="spellEnd"/>
      <w:r w:rsidRPr="00A42F45">
        <w:rPr>
          <w:rFonts w:ascii="Arial" w:hAnsi="Arial" w:cs="Arial"/>
          <w:sz w:val="24"/>
          <w:szCs w:val="24"/>
        </w:rPr>
        <w:t>, se faz necessário ressaltar outras duas visões sobre a teoria da firma bancária, a visão clássica, e a “visão nova”.</w:t>
      </w:r>
    </w:p>
    <w:p w:rsidR="00E71DA6" w:rsidRDefault="00E71DA6" w:rsidP="00885B1A">
      <w:pPr>
        <w:spacing w:after="0" w:line="360" w:lineRule="auto"/>
        <w:ind w:firstLine="708"/>
        <w:jc w:val="both"/>
        <w:rPr>
          <w:rFonts w:ascii="Arial" w:hAnsi="Arial" w:cs="Arial"/>
          <w:sz w:val="24"/>
          <w:szCs w:val="24"/>
        </w:rPr>
      </w:pPr>
      <w:r w:rsidRPr="00A42F45">
        <w:rPr>
          <w:rFonts w:ascii="Arial" w:hAnsi="Arial" w:cs="Arial"/>
          <w:sz w:val="24"/>
          <w:szCs w:val="24"/>
        </w:rPr>
        <w:t xml:space="preserve">A visão clássica, desenvolvida por </w:t>
      </w:r>
      <w:proofErr w:type="spellStart"/>
      <w:r w:rsidRPr="00A42F45">
        <w:rPr>
          <w:rFonts w:ascii="Arial" w:hAnsi="Arial" w:cs="Arial"/>
          <w:sz w:val="24"/>
          <w:szCs w:val="24"/>
        </w:rPr>
        <w:t>Gurley</w:t>
      </w:r>
      <w:proofErr w:type="spellEnd"/>
      <w:r w:rsidRPr="00A42F45">
        <w:rPr>
          <w:rFonts w:ascii="Arial" w:hAnsi="Arial" w:cs="Arial"/>
          <w:sz w:val="24"/>
          <w:szCs w:val="24"/>
        </w:rPr>
        <w:t xml:space="preserve"> &amp; Shaw (1955), entende como função principal de um banco ser mero intermediador entre os agentes superavitários e deficitários, não interferindo nas condições de financiamento da economia, pois como é apenas um intermediador, o volume de crédito ofertado depende exclusivamente dos agentes superavitários. (GUERREIRO, 2015) </w:t>
      </w:r>
    </w:p>
    <w:p w:rsidR="00E71DA6" w:rsidRDefault="00E71DA6" w:rsidP="00885B1A">
      <w:pPr>
        <w:spacing w:after="0" w:line="360" w:lineRule="auto"/>
        <w:ind w:firstLine="708"/>
        <w:jc w:val="both"/>
        <w:rPr>
          <w:rFonts w:ascii="Arial" w:hAnsi="Arial" w:cs="Arial"/>
          <w:sz w:val="24"/>
          <w:szCs w:val="24"/>
        </w:rPr>
      </w:pPr>
      <w:r>
        <w:rPr>
          <w:rFonts w:ascii="Arial" w:hAnsi="Arial" w:cs="Arial"/>
          <w:sz w:val="24"/>
          <w:szCs w:val="24"/>
        </w:rPr>
        <w:t xml:space="preserve">A visão nova da firma bancária evolui da visão clássica e </w:t>
      </w:r>
      <w:proofErr w:type="gramStart"/>
      <w:r>
        <w:rPr>
          <w:rFonts w:ascii="Arial" w:hAnsi="Arial" w:cs="Arial"/>
          <w:sz w:val="24"/>
          <w:szCs w:val="24"/>
        </w:rPr>
        <w:t>acrescenta</w:t>
      </w:r>
      <w:proofErr w:type="gramEnd"/>
      <w:r>
        <w:rPr>
          <w:rFonts w:ascii="Arial" w:hAnsi="Arial" w:cs="Arial"/>
          <w:sz w:val="24"/>
          <w:szCs w:val="24"/>
        </w:rPr>
        <w:t xml:space="preserve"> algumas considerações, tal como o limite de crédito a ser ofertado pelos bancos não ser restringido pela disponibilidade dos agentes superavitários, já que os bancos podem </w:t>
      </w:r>
      <w:r w:rsidR="007228D9">
        <w:rPr>
          <w:rFonts w:ascii="Arial" w:hAnsi="Arial" w:cs="Arial"/>
          <w:sz w:val="24"/>
          <w:szCs w:val="24"/>
        </w:rPr>
        <w:t>recorrer a empréstimos do Banco C</w:t>
      </w:r>
      <w:r>
        <w:rPr>
          <w:rFonts w:ascii="Arial" w:hAnsi="Arial" w:cs="Arial"/>
          <w:sz w:val="24"/>
          <w:szCs w:val="24"/>
        </w:rPr>
        <w:t xml:space="preserve">entral, mercado interbancário ou pela venda de ativos. Mesmo que se apresente de forma mais flexível que a visão clássica, os </w:t>
      </w:r>
      <w:r>
        <w:rPr>
          <w:rFonts w:ascii="Arial" w:hAnsi="Arial" w:cs="Arial"/>
          <w:sz w:val="24"/>
          <w:szCs w:val="24"/>
        </w:rPr>
        <w:lastRenderedPageBreak/>
        <w:t xml:space="preserve">bancos não tem capacidade de criar moeda, pois a quantidade desta é determinada </w:t>
      </w:r>
      <w:proofErr w:type="spellStart"/>
      <w:r>
        <w:rPr>
          <w:rFonts w:ascii="Arial" w:hAnsi="Arial" w:cs="Arial"/>
          <w:sz w:val="24"/>
          <w:szCs w:val="24"/>
        </w:rPr>
        <w:t>exogenamente</w:t>
      </w:r>
      <w:proofErr w:type="spellEnd"/>
      <w:r>
        <w:rPr>
          <w:rFonts w:ascii="Arial" w:hAnsi="Arial" w:cs="Arial"/>
          <w:sz w:val="24"/>
          <w:szCs w:val="24"/>
        </w:rPr>
        <w:t>. Outro ponto diz respeito à preferência do público por determinadas instituições, interferindo no volume de depósitos à vista. Essa situação gera incertezas que levam os bancos a dividirem sua carteira de ativos em ativos líquidos (baixa rentabilidade e alta liquidez) e empréstimos e investimentos (baixa liquidez e alta rentabilidade) visando adequar seu balanço a incertezas derivadas dos depósitos à vista. (GUERREIRO, 2015)</w:t>
      </w:r>
    </w:p>
    <w:p w:rsidR="00E71DA6" w:rsidRDefault="00E71DA6" w:rsidP="00885B1A">
      <w:pPr>
        <w:spacing w:after="0" w:line="360" w:lineRule="auto"/>
        <w:ind w:firstLine="708"/>
        <w:jc w:val="both"/>
        <w:rPr>
          <w:rFonts w:ascii="Arial" w:hAnsi="Arial" w:cs="Arial"/>
          <w:sz w:val="24"/>
          <w:szCs w:val="24"/>
        </w:rPr>
      </w:pPr>
      <w:r>
        <w:rPr>
          <w:rFonts w:ascii="Arial" w:hAnsi="Arial" w:cs="Arial"/>
          <w:sz w:val="24"/>
          <w:szCs w:val="24"/>
        </w:rPr>
        <w:t>A visão pós-</w:t>
      </w:r>
      <w:proofErr w:type="spellStart"/>
      <w:r>
        <w:rPr>
          <w:rFonts w:ascii="Arial" w:hAnsi="Arial" w:cs="Arial"/>
          <w:sz w:val="24"/>
          <w:szCs w:val="24"/>
        </w:rPr>
        <w:t>keynesiana</w:t>
      </w:r>
      <w:proofErr w:type="spellEnd"/>
      <w:r>
        <w:rPr>
          <w:rFonts w:ascii="Arial" w:hAnsi="Arial" w:cs="Arial"/>
          <w:sz w:val="24"/>
          <w:szCs w:val="24"/>
        </w:rPr>
        <w:t>, leva em consideração um ambiente de incertezas, cujo objetivo da firma bancária é a maximização dos lucros. Os bancos sob essa perspectiva</w:t>
      </w:r>
      <w:r w:rsidR="00885B1A">
        <w:rPr>
          <w:rFonts w:ascii="Arial" w:hAnsi="Arial" w:cs="Arial"/>
          <w:sz w:val="24"/>
          <w:szCs w:val="24"/>
        </w:rPr>
        <w:t xml:space="preserve"> deixam</w:t>
      </w:r>
      <w:r>
        <w:rPr>
          <w:rFonts w:ascii="Arial" w:hAnsi="Arial" w:cs="Arial"/>
          <w:sz w:val="24"/>
          <w:szCs w:val="24"/>
        </w:rPr>
        <w:t xml:space="preserve"> de </w:t>
      </w:r>
      <w:proofErr w:type="gramStart"/>
      <w:r>
        <w:rPr>
          <w:rFonts w:ascii="Arial" w:hAnsi="Arial" w:cs="Arial"/>
          <w:sz w:val="24"/>
          <w:szCs w:val="24"/>
        </w:rPr>
        <w:t>ser</w:t>
      </w:r>
      <w:proofErr w:type="gramEnd"/>
      <w:r>
        <w:rPr>
          <w:rFonts w:ascii="Arial" w:hAnsi="Arial" w:cs="Arial"/>
          <w:sz w:val="24"/>
          <w:szCs w:val="24"/>
        </w:rPr>
        <w:t xml:space="preserve"> agentes passivos, como proposto pelas duas explicações anteriores, e passam a controlar ativamente os dois lados de seu balanço. Pelo lado do ativo, critica-se a dicotomia da visão nova que dividia os ativos em líquidos e ilíquidos, considerando que existem diversos ativos com diversos graus de liquidez, cabendo aos banqueiros administrar essa composição de acordo com seu grau de incertezas. Pelo lado do passivo, os bancos deixam de </w:t>
      </w:r>
      <w:proofErr w:type="gramStart"/>
      <w:r>
        <w:rPr>
          <w:rFonts w:ascii="Arial" w:hAnsi="Arial" w:cs="Arial"/>
          <w:sz w:val="24"/>
          <w:szCs w:val="24"/>
        </w:rPr>
        <w:t>ser</w:t>
      </w:r>
      <w:proofErr w:type="gramEnd"/>
      <w:r>
        <w:rPr>
          <w:rFonts w:ascii="Arial" w:hAnsi="Arial" w:cs="Arial"/>
          <w:sz w:val="24"/>
          <w:szCs w:val="24"/>
        </w:rPr>
        <w:t xml:space="preserve"> expectadores e passam a trabalhar de modo a modificar a estrutura do passivo utilizando taxas de juros mais altas para alongar os depósitos, além de influenciar as preferências dos depositantes através da publicidade. (PAULA; OREIRO, 2008)</w:t>
      </w:r>
    </w:p>
    <w:p w:rsidR="00E71DA6" w:rsidRDefault="00E71DA6" w:rsidP="00885B1A">
      <w:pPr>
        <w:spacing w:after="0" w:line="360" w:lineRule="auto"/>
        <w:ind w:firstLine="708"/>
        <w:jc w:val="both"/>
        <w:rPr>
          <w:rFonts w:ascii="Arial" w:hAnsi="Arial" w:cs="Arial"/>
          <w:color w:val="000000"/>
          <w:sz w:val="24"/>
          <w:szCs w:val="24"/>
        </w:rPr>
      </w:pPr>
      <w:r>
        <w:rPr>
          <w:rFonts w:ascii="Arial" w:hAnsi="Arial" w:cs="Arial"/>
          <w:sz w:val="24"/>
          <w:szCs w:val="24"/>
        </w:rPr>
        <w:t xml:space="preserve">Percebe-se com a leitura dos parágrafos anteriores que o fator incerteza permeia o comportamento </w:t>
      </w:r>
      <w:r w:rsidR="00893FE5">
        <w:rPr>
          <w:rFonts w:ascii="Arial" w:hAnsi="Arial" w:cs="Arial"/>
          <w:sz w:val="24"/>
          <w:szCs w:val="24"/>
        </w:rPr>
        <w:t>de</w:t>
      </w:r>
      <w:r>
        <w:rPr>
          <w:rFonts w:ascii="Arial" w:hAnsi="Arial" w:cs="Arial"/>
          <w:sz w:val="24"/>
          <w:szCs w:val="24"/>
        </w:rPr>
        <w:t xml:space="preserve"> duas visões da firma bancária, a visão nova, em relação à preferência dos depósitos à vista, e a pós-</w:t>
      </w:r>
      <w:proofErr w:type="spellStart"/>
      <w:r>
        <w:rPr>
          <w:rFonts w:ascii="Arial" w:hAnsi="Arial" w:cs="Arial"/>
          <w:sz w:val="24"/>
          <w:szCs w:val="24"/>
        </w:rPr>
        <w:t>keynesiana</w:t>
      </w:r>
      <w:proofErr w:type="spellEnd"/>
      <w:r>
        <w:rPr>
          <w:rFonts w:ascii="Arial" w:hAnsi="Arial" w:cs="Arial"/>
          <w:sz w:val="24"/>
          <w:szCs w:val="24"/>
        </w:rPr>
        <w:t>, que fundamenta a composição de seu balanço ativo/passivo em torno das incertezas que o futuro lhe reserva. John Maynard Keynes, através da preferência pela liquidez, trata desse tema ao considerar a moeda mais que um mero meio de troca (função neutra)</w:t>
      </w:r>
      <w:r w:rsidR="007228D9">
        <w:rPr>
          <w:rFonts w:ascii="Arial" w:hAnsi="Arial" w:cs="Arial"/>
          <w:sz w:val="24"/>
          <w:szCs w:val="24"/>
        </w:rPr>
        <w:t>,</w:t>
      </w:r>
      <w:r>
        <w:rPr>
          <w:rFonts w:ascii="Arial" w:hAnsi="Arial" w:cs="Arial"/>
          <w:sz w:val="24"/>
          <w:szCs w:val="24"/>
        </w:rPr>
        <w:t xml:space="preserve"> considerando-a também uma forma de riqueza, ou seja, um ativo cuja principal característica é sua liquidez por excelência. Liquidez esta que se traduz aos agentes como forma de acalmar as inquietações diante das incertezas que o futuro proporciona. </w:t>
      </w:r>
      <w:r>
        <w:rPr>
          <w:rFonts w:ascii="Arial" w:hAnsi="Arial" w:cs="Arial"/>
          <w:color w:val="000000"/>
          <w:sz w:val="24"/>
          <w:szCs w:val="24"/>
        </w:rPr>
        <w:t xml:space="preserve">(CARVALHO </w:t>
      </w:r>
      <w:proofErr w:type="gramStart"/>
      <w:r>
        <w:rPr>
          <w:rFonts w:ascii="Arial" w:hAnsi="Arial" w:cs="Arial"/>
          <w:color w:val="000000"/>
          <w:sz w:val="24"/>
          <w:szCs w:val="24"/>
        </w:rPr>
        <w:t>et</w:t>
      </w:r>
      <w:proofErr w:type="gramEnd"/>
      <w:r>
        <w:rPr>
          <w:rFonts w:ascii="Arial" w:hAnsi="Arial" w:cs="Arial"/>
          <w:color w:val="000000"/>
          <w:sz w:val="24"/>
          <w:szCs w:val="24"/>
        </w:rPr>
        <w:t xml:space="preserve"> al, 2007)</w:t>
      </w:r>
    </w:p>
    <w:p w:rsidR="00E71DA6" w:rsidRDefault="00E71DA6" w:rsidP="00885B1A">
      <w:pPr>
        <w:spacing w:after="0" w:line="360" w:lineRule="auto"/>
        <w:ind w:firstLine="708"/>
        <w:jc w:val="both"/>
        <w:rPr>
          <w:rFonts w:ascii="Arial" w:hAnsi="Arial" w:cs="Arial"/>
          <w:sz w:val="24"/>
          <w:szCs w:val="24"/>
        </w:rPr>
      </w:pPr>
      <w:r>
        <w:rPr>
          <w:rFonts w:ascii="Arial" w:hAnsi="Arial" w:cs="Arial"/>
          <w:sz w:val="24"/>
          <w:szCs w:val="24"/>
        </w:rPr>
        <w:t>Ao se considerar a moeda um porto seguro em meio a incertezas, torna-se racional retê-la. Dessa forma, parte da moeda deixa de circular no circuito produtivo, e, assim, a moeda influencia a economia real (produção, renda, emprego) tornando-se, portanto, não neutra. Levando-se esse fator em c</w:t>
      </w:r>
      <w:r w:rsidR="007228D9">
        <w:rPr>
          <w:rFonts w:ascii="Arial" w:hAnsi="Arial" w:cs="Arial"/>
          <w:sz w:val="24"/>
          <w:szCs w:val="24"/>
        </w:rPr>
        <w:t>onsideração, alterações quanto à</w:t>
      </w:r>
      <w:r>
        <w:rPr>
          <w:rFonts w:ascii="Arial" w:hAnsi="Arial" w:cs="Arial"/>
          <w:sz w:val="24"/>
          <w:szCs w:val="24"/>
        </w:rPr>
        <w:t xml:space="preserve">s expectativas dos agentes podem acarretar em mudanças na preferência pela </w:t>
      </w:r>
      <w:r>
        <w:rPr>
          <w:rFonts w:ascii="Arial" w:hAnsi="Arial" w:cs="Arial"/>
          <w:sz w:val="24"/>
          <w:szCs w:val="24"/>
        </w:rPr>
        <w:lastRenderedPageBreak/>
        <w:t xml:space="preserve">liquidez destes, resultando em oscilações no produto, investimento e renda. (CARVALHO </w:t>
      </w:r>
      <w:proofErr w:type="gramStart"/>
      <w:r>
        <w:rPr>
          <w:rFonts w:ascii="Arial" w:hAnsi="Arial" w:cs="Arial"/>
          <w:sz w:val="24"/>
          <w:szCs w:val="24"/>
        </w:rPr>
        <w:t>et</w:t>
      </w:r>
      <w:proofErr w:type="gramEnd"/>
      <w:r>
        <w:rPr>
          <w:rFonts w:ascii="Arial" w:hAnsi="Arial" w:cs="Arial"/>
          <w:sz w:val="24"/>
          <w:szCs w:val="24"/>
        </w:rPr>
        <w:t xml:space="preserve"> al, 2007)</w:t>
      </w:r>
    </w:p>
    <w:p w:rsidR="00E71DA6" w:rsidRDefault="00E71DA6" w:rsidP="00885B1A">
      <w:pPr>
        <w:spacing w:after="0" w:line="360" w:lineRule="auto"/>
        <w:ind w:firstLine="708"/>
        <w:jc w:val="both"/>
        <w:rPr>
          <w:rFonts w:ascii="Arial" w:hAnsi="Arial" w:cs="Arial"/>
          <w:sz w:val="24"/>
          <w:szCs w:val="24"/>
        </w:rPr>
      </w:pPr>
      <w:r>
        <w:rPr>
          <w:rFonts w:ascii="Arial" w:hAnsi="Arial" w:cs="Arial"/>
          <w:sz w:val="24"/>
          <w:szCs w:val="24"/>
        </w:rPr>
        <w:t>Depreende-se, portanto, que é relevante a manutenção de um ambiente econômico que proporcione segurança e previsibilidade, pois, alterações no ambiente econômico podem afetar a preferência pela liquidez dos agentes. Em um panorama brasileiro, percebe-se uma dificuldade crônica em se manter um ambiente econômico estável, que pode ser percebido pelas altas taxas de juros vigentes</w:t>
      </w:r>
      <w:r w:rsidR="007228D9">
        <w:rPr>
          <w:rFonts w:ascii="Arial" w:hAnsi="Arial" w:cs="Arial"/>
          <w:sz w:val="24"/>
          <w:szCs w:val="24"/>
        </w:rPr>
        <w:t>,</w:t>
      </w:r>
      <w:r>
        <w:rPr>
          <w:rFonts w:ascii="Arial" w:hAnsi="Arial" w:cs="Arial"/>
          <w:sz w:val="24"/>
          <w:szCs w:val="24"/>
        </w:rPr>
        <w:t xml:space="preserve"> historicamente</w:t>
      </w:r>
      <w:r w:rsidR="007228D9">
        <w:rPr>
          <w:rFonts w:ascii="Arial" w:hAnsi="Arial" w:cs="Arial"/>
          <w:sz w:val="24"/>
          <w:szCs w:val="24"/>
        </w:rPr>
        <w:t>,</w:t>
      </w:r>
      <w:r>
        <w:rPr>
          <w:rFonts w:ascii="Arial" w:hAnsi="Arial" w:cs="Arial"/>
          <w:sz w:val="24"/>
          <w:szCs w:val="24"/>
        </w:rPr>
        <w:t xml:space="preserve"> no país. </w:t>
      </w:r>
    </w:p>
    <w:p w:rsidR="00E71DA6" w:rsidRDefault="00E71DA6" w:rsidP="00885B1A">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sz w:val="24"/>
          <w:szCs w:val="24"/>
        </w:rPr>
        <w:t xml:space="preserve">O indicativo que trouxe questionamentos e motivou essa pesquisa está no fato de que mesmo em momentos de dificuldades na economia, em que o aumento </w:t>
      </w:r>
      <w:r w:rsidR="007228D9">
        <w:rPr>
          <w:rFonts w:ascii="Arial" w:hAnsi="Arial" w:cs="Arial"/>
          <w:sz w:val="24"/>
          <w:szCs w:val="24"/>
        </w:rPr>
        <w:t>das taxas de juros gera</w:t>
      </w:r>
      <w:r>
        <w:rPr>
          <w:rFonts w:ascii="Arial" w:hAnsi="Arial" w:cs="Arial"/>
          <w:sz w:val="24"/>
          <w:szCs w:val="24"/>
        </w:rPr>
        <w:t xml:space="preserve"> um efeito colateral perverso na economia como um todo, o setor bancário continua com lucros elevados. </w:t>
      </w:r>
      <w:r w:rsidR="00455FF9">
        <w:rPr>
          <w:rFonts w:ascii="Arial" w:hAnsi="Arial" w:cs="Arial"/>
          <w:color w:val="000000" w:themeColor="text1"/>
          <w:sz w:val="24"/>
          <w:szCs w:val="24"/>
          <w:shd w:val="clear" w:color="auto" w:fill="FFFFFF"/>
        </w:rPr>
        <w:t>Explicando de outra forma: e</w:t>
      </w:r>
      <w:r>
        <w:rPr>
          <w:rFonts w:ascii="Arial" w:hAnsi="Arial" w:cs="Arial"/>
          <w:color w:val="000000" w:themeColor="text1"/>
          <w:sz w:val="24"/>
          <w:szCs w:val="24"/>
          <w:shd w:val="clear" w:color="auto" w:fill="FFFFFF"/>
        </w:rPr>
        <w:t xml:space="preserve">m momentos de incertezas, </w:t>
      </w:r>
      <w:r w:rsidR="00455FF9">
        <w:rPr>
          <w:rFonts w:ascii="Arial" w:hAnsi="Arial" w:cs="Arial"/>
          <w:color w:val="000000" w:themeColor="text1"/>
          <w:sz w:val="24"/>
          <w:szCs w:val="24"/>
          <w:shd w:val="clear" w:color="auto" w:fill="FFFFFF"/>
        </w:rPr>
        <w:t>quando</w:t>
      </w:r>
      <w:r>
        <w:rPr>
          <w:rFonts w:ascii="Arial" w:hAnsi="Arial" w:cs="Arial"/>
          <w:color w:val="000000" w:themeColor="text1"/>
          <w:sz w:val="24"/>
          <w:szCs w:val="24"/>
          <w:shd w:val="clear" w:color="auto" w:fill="FFFFFF"/>
        </w:rPr>
        <w:t xml:space="preserve"> os agentes tendem a se resguardar</w:t>
      </w:r>
      <w:r w:rsidR="00455FF9">
        <w:rPr>
          <w:rFonts w:ascii="Arial" w:hAnsi="Arial" w:cs="Arial"/>
          <w:color w:val="000000" w:themeColor="text1"/>
          <w:sz w:val="24"/>
          <w:szCs w:val="24"/>
          <w:shd w:val="clear" w:color="auto" w:fill="FFFFFF"/>
        </w:rPr>
        <w:t>em</w:t>
      </w:r>
      <w:r>
        <w:rPr>
          <w:rFonts w:ascii="Arial" w:hAnsi="Arial" w:cs="Arial"/>
          <w:color w:val="000000" w:themeColor="text1"/>
          <w:sz w:val="24"/>
          <w:szCs w:val="24"/>
          <w:shd w:val="clear" w:color="auto" w:fill="FFFFFF"/>
        </w:rPr>
        <w:t>, ou, preferir</w:t>
      </w:r>
      <w:r w:rsidR="00455FF9">
        <w:rPr>
          <w:rFonts w:ascii="Arial" w:hAnsi="Arial" w:cs="Arial"/>
          <w:color w:val="000000" w:themeColor="text1"/>
          <w:sz w:val="24"/>
          <w:szCs w:val="24"/>
          <w:shd w:val="clear" w:color="auto" w:fill="FFFFFF"/>
        </w:rPr>
        <w:t>em</w:t>
      </w:r>
      <w:r>
        <w:rPr>
          <w:rFonts w:ascii="Arial" w:hAnsi="Arial" w:cs="Arial"/>
          <w:color w:val="000000" w:themeColor="text1"/>
          <w:sz w:val="24"/>
          <w:szCs w:val="24"/>
          <w:shd w:val="clear" w:color="auto" w:fill="FFFFFF"/>
        </w:rPr>
        <w:t xml:space="preserve"> a liquidez, e</w:t>
      </w:r>
      <w:r w:rsidR="00455FF9">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consequentemente</w:t>
      </w:r>
      <w:r w:rsidR="00455FF9">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r w:rsidR="00983556">
        <w:rPr>
          <w:rFonts w:ascii="Arial" w:hAnsi="Arial" w:cs="Arial"/>
          <w:color w:val="000000" w:themeColor="text1"/>
          <w:sz w:val="24"/>
          <w:szCs w:val="24"/>
          <w:shd w:val="clear" w:color="auto" w:fill="FFFFFF"/>
        </w:rPr>
        <w:t>há</w:t>
      </w:r>
      <w:r w:rsidR="00180FA4">
        <w:rPr>
          <w:rFonts w:ascii="Arial" w:hAnsi="Arial" w:cs="Arial"/>
          <w:color w:val="000000" w:themeColor="text1"/>
          <w:sz w:val="24"/>
          <w:szCs w:val="24"/>
          <w:shd w:val="clear" w:color="auto" w:fill="FFFFFF"/>
        </w:rPr>
        <w:t xml:space="preserve"> uma</w:t>
      </w:r>
      <w:r>
        <w:rPr>
          <w:rFonts w:ascii="Arial" w:hAnsi="Arial" w:cs="Arial"/>
          <w:color w:val="000000" w:themeColor="text1"/>
          <w:sz w:val="24"/>
          <w:szCs w:val="24"/>
          <w:shd w:val="clear" w:color="auto" w:fill="FFFFFF"/>
        </w:rPr>
        <w:t xml:space="preserve"> diminuição nos lucros, o setor bancário, no Brasil, consegue se destacar.</w:t>
      </w:r>
    </w:p>
    <w:p w:rsidR="00E71DA6" w:rsidRDefault="00E71DA6" w:rsidP="00885B1A">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sz w:val="24"/>
          <w:szCs w:val="24"/>
        </w:rPr>
        <w:t>Nesse sentido</w:t>
      </w:r>
      <w:r w:rsidR="007228D9">
        <w:rPr>
          <w:rFonts w:ascii="Arial" w:hAnsi="Arial" w:cs="Arial"/>
          <w:sz w:val="24"/>
          <w:szCs w:val="24"/>
        </w:rPr>
        <w:t>,</w:t>
      </w:r>
      <w:r>
        <w:rPr>
          <w:rFonts w:ascii="Arial" w:hAnsi="Arial" w:cs="Arial"/>
          <w:sz w:val="24"/>
          <w:szCs w:val="24"/>
        </w:rPr>
        <w:t xml:space="preserve"> o presente estudo pretende analisar o comportamento bancário sob a ótica da preferência pela liquidez, pautado pelo</w:t>
      </w:r>
      <w:r w:rsidR="00455FF9">
        <w:rPr>
          <w:rFonts w:ascii="Arial" w:hAnsi="Arial" w:cs="Arial"/>
          <w:sz w:val="24"/>
          <w:szCs w:val="24"/>
        </w:rPr>
        <w:t xml:space="preserve"> seguinte questionamento: e</w:t>
      </w:r>
      <w:r>
        <w:rPr>
          <w:rFonts w:ascii="Arial" w:hAnsi="Arial" w:cs="Arial"/>
          <w:sz w:val="24"/>
          <w:szCs w:val="24"/>
        </w:rPr>
        <w:t xml:space="preserve">xiste uma relação de causalidade entre a taxa de juros (SELIC) e a preferência pela liquidez dos bancos? </w:t>
      </w:r>
      <w:r>
        <w:rPr>
          <w:rFonts w:ascii="Arial" w:hAnsi="Arial" w:cs="Arial"/>
          <w:color w:val="000000" w:themeColor="text1"/>
          <w:sz w:val="24"/>
          <w:szCs w:val="24"/>
          <w:shd w:val="clear" w:color="auto" w:fill="FFFFFF"/>
        </w:rPr>
        <w:t>Preferência pela liquidez que se retrata na quantidade de recursos destinados à aplicação de títulos e valores mobiliários (produtos que geram liquidez e baixo rendimento) em detrimento ao crédito (produto que gera baixa liquidez e maior rendimento)?</w:t>
      </w:r>
    </w:p>
    <w:p w:rsidR="00E71DA6" w:rsidRDefault="00E71DA6" w:rsidP="00885B1A">
      <w:pPr>
        <w:spacing w:after="0" w:line="360" w:lineRule="auto"/>
        <w:ind w:firstLine="708"/>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 partir desse questionamento, apresentar-se-á o referencial teórico a respeito da preferência pela liquidez e da teoria da firma bancária; assim como a descrição do regime de metas de inflação e suas peculiaridades já que é o regime monetário responsável pela determinação da taxa de juros (SELIC); além de se testar a causalidade entre taxa de juros e preferência pela liquidez dos bancos durante o regime de metas de inflação.</w:t>
      </w:r>
    </w:p>
    <w:p w:rsidR="00E71DA6" w:rsidRDefault="00E71DA6"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Esse questiona</w:t>
      </w:r>
      <w:r w:rsidR="007228D9">
        <w:rPr>
          <w:rFonts w:ascii="Arial" w:hAnsi="Arial" w:cs="Arial"/>
          <w:color w:val="000000" w:themeColor="text1"/>
          <w:sz w:val="24"/>
          <w:szCs w:val="24"/>
          <w:shd w:val="clear" w:color="auto" w:fill="FFFFFF"/>
        </w:rPr>
        <w:t>mento se mostra relevante dada</w:t>
      </w:r>
      <w:r>
        <w:rPr>
          <w:rFonts w:ascii="Arial" w:hAnsi="Arial" w:cs="Arial"/>
          <w:color w:val="000000" w:themeColor="text1"/>
          <w:sz w:val="24"/>
          <w:szCs w:val="24"/>
          <w:shd w:val="clear" w:color="auto" w:fill="FFFFFF"/>
        </w:rPr>
        <w:t xml:space="preserve"> importância que os banco</w:t>
      </w:r>
      <w:r w:rsidR="00455FF9">
        <w:rPr>
          <w:rFonts w:ascii="Arial" w:hAnsi="Arial" w:cs="Arial"/>
          <w:color w:val="000000" w:themeColor="text1"/>
          <w:sz w:val="24"/>
          <w:szCs w:val="24"/>
          <w:shd w:val="clear" w:color="auto" w:fill="FFFFFF"/>
        </w:rPr>
        <w:t>s</w:t>
      </w:r>
      <w:r>
        <w:rPr>
          <w:rFonts w:ascii="Arial" w:hAnsi="Arial" w:cs="Arial"/>
          <w:color w:val="000000" w:themeColor="text1"/>
          <w:sz w:val="24"/>
          <w:szCs w:val="24"/>
          <w:shd w:val="clear" w:color="auto" w:fill="FFFFFF"/>
        </w:rPr>
        <w:t xml:space="preserve"> têm em uma economia capitalista</w:t>
      </w:r>
      <w:r w:rsidR="007228D9">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tanto em momentos de euforia, quando se torna</w:t>
      </w:r>
      <w:r w:rsidR="00455FF9">
        <w:rPr>
          <w:rFonts w:ascii="Arial" w:hAnsi="Arial" w:cs="Arial"/>
          <w:color w:val="000000" w:themeColor="text1"/>
          <w:sz w:val="24"/>
          <w:szCs w:val="24"/>
          <w:shd w:val="clear" w:color="auto" w:fill="FFFFFF"/>
        </w:rPr>
        <w:t xml:space="preserve"> necessária</w:t>
      </w:r>
      <w:r>
        <w:rPr>
          <w:rFonts w:ascii="Arial" w:hAnsi="Arial" w:cs="Arial"/>
          <w:color w:val="000000" w:themeColor="text1"/>
          <w:sz w:val="24"/>
          <w:szCs w:val="24"/>
          <w:shd w:val="clear" w:color="auto" w:fill="FFFFFF"/>
        </w:rPr>
        <w:t xml:space="preserve"> a acomodação do crédito, que subsidia o crescimento </w:t>
      </w:r>
      <w:r w:rsidR="00455FF9">
        <w:rPr>
          <w:rFonts w:ascii="Arial" w:hAnsi="Arial" w:cs="Arial"/>
          <w:color w:val="000000" w:themeColor="text1"/>
          <w:sz w:val="24"/>
          <w:szCs w:val="24"/>
          <w:shd w:val="clear" w:color="auto" w:fill="FFFFFF"/>
        </w:rPr>
        <w:t>econômico, quant</w:t>
      </w:r>
      <w:r>
        <w:rPr>
          <w:rFonts w:ascii="Arial" w:hAnsi="Arial" w:cs="Arial"/>
          <w:color w:val="000000" w:themeColor="text1"/>
          <w:sz w:val="24"/>
          <w:szCs w:val="24"/>
          <w:shd w:val="clear" w:color="auto" w:fill="FFFFFF"/>
        </w:rPr>
        <w:t xml:space="preserve">o em </w:t>
      </w:r>
      <w:r w:rsidR="00455FF9">
        <w:rPr>
          <w:rFonts w:ascii="Arial" w:hAnsi="Arial" w:cs="Arial"/>
          <w:color w:val="000000" w:themeColor="text1"/>
          <w:sz w:val="24"/>
          <w:szCs w:val="24"/>
          <w:shd w:val="clear" w:color="auto" w:fill="FFFFFF"/>
        </w:rPr>
        <w:t>momentos de retração, posto que</w:t>
      </w:r>
      <w:r w:rsidR="002E1E41">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baseados na preferência pela liquidez os bancos se dirigem à liquidez e passam a retrair o crédito. Assim, é de suma </w:t>
      </w:r>
      <w:r>
        <w:rPr>
          <w:rFonts w:ascii="Arial" w:hAnsi="Arial" w:cs="Arial"/>
          <w:color w:val="000000" w:themeColor="text1"/>
          <w:sz w:val="24"/>
          <w:szCs w:val="24"/>
          <w:shd w:val="clear" w:color="auto" w:fill="FFFFFF"/>
        </w:rPr>
        <w:lastRenderedPageBreak/>
        <w:t xml:space="preserve">importância avançar </w:t>
      </w:r>
      <w:r w:rsidRPr="00CA1349">
        <w:rPr>
          <w:rFonts w:ascii="Arial" w:hAnsi="Arial" w:cs="Arial"/>
          <w:color w:val="000000" w:themeColor="text1"/>
          <w:sz w:val="24"/>
          <w:szCs w:val="24"/>
        </w:rPr>
        <w:t xml:space="preserve">no entendimento ou questionamento </w:t>
      </w:r>
      <w:r>
        <w:rPr>
          <w:rFonts w:ascii="Arial" w:hAnsi="Arial" w:cs="Arial"/>
          <w:color w:val="000000" w:themeColor="text1"/>
          <w:sz w:val="24"/>
          <w:szCs w:val="24"/>
        </w:rPr>
        <w:t>sobre o comportamento dos bancos, dado sua importância para economia como um todo, além de se verificar a dimensão dos ganhos auferidos com a opção pela liquidez.</w:t>
      </w:r>
    </w:p>
    <w:p w:rsidR="00E71DA6" w:rsidRDefault="00E71DA6"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Com o intuito de se verificar se há uma relação entre preferência pela liquidez e oscilações da taxa de juros, ou ainda mais, saber se além de relações entre </w:t>
      </w:r>
      <w:r w:rsidR="00455FF9">
        <w:rPr>
          <w:rFonts w:ascii="Arial" w:hAnsi="Arial" w:cs="Arial"/>
          <w:color w:val="000000" w:themeColor="text1"/>
          <w:sz w:val="24"/>
          <w:szCs w:val="24"/>
        </w:rPr>
        <w:t>tais variáveis</w:t>
      </w:r>
      <w:r>
        <w:rPr>
          <w:rFonts w:ascii="Arial" w:hAnsi="Arial" w:cs="Arial"/>
          <w:color w:val="000000" w:themeColor="text1"/>
          <w:sz w:val="24"/>
          <w:szCs w:val="24"/>
        </w:rPr>
        <w:t>, se existe uma causalidade entre elas</w:t>
      </w:r>
      <w:r w:rsidR="00455FF9">
        <w:rPr>
          <w:rFonts w:ascii="Arial" w:hAnsi="Arial" w:cs="Arial"/>
          <w:color w:val="000000" w:themeColor="text1"/>
          <w:sz w:val="24"/>
          <w:szCs w:val="24"/>
        </w:rPr>
        <w:t>,</w:t>
      </w:r>
      <w:r>
        <w:rPr>
          <w:rFonts w:ascii="Arial" w:hAnsi="Arial" w:cs="Arial"/>
          <w:color w:val="000000" w:themeColor="text1"/>
          <w:sz w:val="24"/>
          <w:szCs w:val="24"/>
        </w:rPr>
        <w:t xml:space="preserve"> será utilizado o test</w:t>
      </w:r>
      <w:r w:rsidR="00455FF9">
        <w:rPr>
          <w:rFonts w:ascii="Arial" w:hAnsi="Arial" w:cs="Arial"/>
          <w:color w:val="000000" w:themeColor="text1"/>
          <w:sz w:val="24"/>
          <w:szCs w:val="24"/>
        </w:rPr>
        <w:t>e de causalidade de Granger. P</w:t>
      </w:r>
      <w:r>
        <w:rPr>
          <w:rFonts w:ascii="Arial" w:hAnsi="Arial" w:cs="Arial"/>
          <w:color w:val="000000" w:themeColor="text1"/>
          <w:sz w:val="24"/>
          <w:szCs w:val="24"/>
        </w:rPr>
        <w:t>ara subsidiar este teste serão</w:t>
      </w:r>
      <w:r w:rsidRPr="00B73511">
        <w:rPr>
          <w:rFonts w:ascii="Arial" w:hAnsi="Arial" w:cs="Arial"/>
          <w:sz w:val="24"/>
          <w:szCs w:val="24"/>
        </w:rPr>
        <w:t xml:space="preserve"> </w:t>
      </w:r>
      <w:r>
        <w:rPr>
          <w:rFonts w:ascii="Arial" w:hAnsi="Arial" w:cs="Arial"/>
          <w:sz w:val="24"/>
          <w:szCs w:val="24"/>
        </w:rPr>
        <w:t xml:space="preserve">utilizados dados </w:t>
      </w:r>
      <w:r w:rsidR="00983556">
        <w:rPr>
          <w:rFonts w:ascii="Arial" w:hAnsi="Arial" w:cs="Arial"/>
          <w:sz w:val="24"/>
          <w:szCs w:val="24"/>
        </w:rPr>
        <w:t>trimestrais</w:t>
      </w:r>
      <w:r w:rsidR="00455FF9">
        <w:rPr>
          <w:rFonts w:ascii="Arial" w:hAnsi="Arial" w:cs="Arial"/>
          <w:sz w:val="24"/>
          <w:szCs w:val="24"/>
        </w:rPr>
        <w:t xml:space="preserve"> dos balancetes dos </w:t>
      </w:r>
      <w:r w:rsidR="00983556">
        <w:rPr>
          <w:rFonts w:ascii="Arial" w:hAnsi="Arial" w:cs="Arial"/>
          <w:sz w:val="24"/>
          <w:szCs w:val="24"/>
        </w:rPr>
        <w:t>cinco</w:t>
      </w:r>
      <w:r w:rsidR="00455FF9">
        <w:rPr>
          <w:rFonts w:ascii="Arial" w:hAnsi="Arial" w:cs="Arial"/>
          <w:sz w:val="24"/>
          <w:szCs w:val="24"/>
        </w:rPr>
        <w:t xml:space="preserve"> maiores bancos do pa</w:t>
      </w:r>
      <w:r w:rsidR="002E1E41">
        <w:rPr>
          <w:rFonts w:ascii="Arial" w:hAnsi="Arial" w:cs="Arial"/>
          <w:sz w:val="24"/>
          <w:szCs w:val="24"/>
        </w:rPr>
        <w:t>í</w:t>
      </w:r>
      <w:r w:rsidR="00983556">
        <w:rPr>
          <w:rFonts w:ascii="Arial" w:hAnsi="Arial" w:cs="Arial"/>
          <w:sz w:val="24"/>
          <w:szCs w:val="24"/>
        </w:rPr>
        <w:t>s</w:t>
      </w:r>
      <w:r w:rsidR="002E1E41">
        <w:rPr>
          <w:rFonts w:ascii="Arial" w:hAnsi="Arial" w:cs="Arial"/>
          <w:sz w:val="24"/>
          <w:szCs w:val="24"/>
        </w:rPr>
        <w:t>,</w:t>
      </w:r>
      <w:r w:rsidR="00455FF9">
        <w:rPr>
          <w:rFonts w:ascii="Arial" w:hAnsi="Arial" w:cs="Arial"/>
          <w:sz w:val="24"/>
          <w:szCs w:val="24"/>
        </w:rPr>
        <w:t xml:space="preserve"> </w:t>
      </w:r>
      <w:r>
        <w:rPr>
          <w:rFonts w:ascii="Arial" w:hAnsi="Arial" w:cs="Arial"/>
          <w:sz w:val="24"/>
          <w:szCs w:val="24"/>
        </w:rPr>
        <w:t xml:space="preserve">que representarão uma </w:t>
      </w:r>
      <w:proofErr w:type="gramStart"/>
      <w:r>
        <w:rPr>
          <w:rFonts w:ascii="Arial" w:hAnsi="Arial" w:cs="Arial"/>
          <w:i/>
          <w:sz w:val="24"/>
          <w:szCs w:val="24"/>
        </w:rPr>
        <w:t>proxy</w:t>
      </w:r>
      <w:proofErr w:type="gramEnd"/>
      <w:r>
        <w:rPr>
          <w:rFonts w:ascii="Arial" w:hAnsi="Arial" w:cs="Arial"/>
          <w:sz w:val="24"/>
          <w:szCs w:val="24"/>
        </w:rPr>
        <w:t xml:space="preserve"> da preferência pela liquidez, além </w:t>
      </w:r>
      <w:r w:rsidR="00983556">
        <w:rPr>
          <w:rFonts w:ascii="Arial" w:hAnsi="Arial" w:cs="Arial"/>
          <w:sz w:val="24"/>
          <w:szCs w:val="24"/>
        </w:rPr>
        <w:t>de médias trimestrais dos</w:t>
      </w:r>
      <w:r>
        <w:rPr>
          <w:rFonts w:ascii="Arial" w:hAnsi="Arial" w:cs="Arial"/>
          <w:sz w:val="24"/>
          <w:szCs w:val="24"/>
        </w:rPr>
        <w:t xml:space="preserve"> valores da taxa Selic. </w:t>
      </w:r>
      <w:r>
        <w:rPr>
          <w:rFonts w:ascii="Arial" w:hAnsi="Arial" w:cs="Arial"/>
          <w:color w:val="000000" w:themeColor="text1"/>
          <w:sz w:val="24"/>
          <w:szCs w:val="24"/>
        </w:rPr>
        <w:t xml:space="preserve">O intervalo temporal utilizado para ambas variáveis será </w:t>
      </w:r>
      <w:r w:rsidR="00983556">
        <w:rPr>
          <w:rFonts w:ascii="Arial" w:hAnsi="Arial" w:cs="Arial"/>
          <w:color w:val="000000" w:themeColor="text1"/>
          <w:sz w:val="24"/>
          <w:szCs w:val="24"/>
        </w:rPr>
        <w:t>do primeiro trimestre do ano 2000 ao quarto trimestre do ano de 2016.</w:t>
      </w:r>
    </w:p>
    <w:p w:rsidR="00E71DA6" w:rsidRDefault="00E71DA6"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 trabalho se divide em </w:t>
      </w:r>
      <w:r w:rsidR="001B5290">
        <w:rPr>
          <w:rFonts w:ascii="Arial" w:hAnsi="Arial" w:cs="Arial"/>
          <w:color w:val="000000" w:themeColor="text1"/>
          <w:sz w:val="24"/>
          <w:szCs w:val="24"/>
        </w:rPr>
        <w:t>cinco</w:t>
      </w:r>
      <w:r>
        <w:rPr>
          <w:rFonts w:ascii="Arial" w:hAnsi="Arial" w:cs="Arial"/>
          <w:color w:val="000000" w:themeColor="text1"/>
          <w:sz w:val="24"/>
          <w:szCs w:val="24"/>
        </w:rPr>
        <w:t xml:space="preserve"> capítulos além desta introdução. O capitulo dois </w:t>
      </w:r>
      <w:r w:rsidR="00455FF9">
        <w:rPr>
          <w:rFonts w:ascii="Arial" w:hAnsi="Arial" w:cs="Arial"/>
          <w:color w:val="000000" w:themeColor="text1"/>
          <w:sz w:val="24"/>
          <w:szCs w:val="24"/>
        </w:rPr>
        <w:t>apresentará</w:t>
      </w:r>
      <w:r>
        <w:rPr>
          <w:rFonts w:ascii="Arial" w:hAnsi="Arial" w:cs="Arial"/>
          <w:color w:val="000000" w:themeColor="text1"/>
          <w:sz w:val="24"/>
          <w:szCs w:val="24"/>
        </w:rPr>
        <w:t xml:space="preserve"> o conceito de Preferência pela liquidez, desen</w:t>
      </w:r>
      <w:r w:rsidR="00455FF9">
        <w:rPr>
          <w:rFonts w:ascii="Arial" w:hAnsi="Arial" w:cs="Arial"/>
          <w:color w:val="000000" w:themeColor="text1"/>
          <w:sz w:val="24"/>
          <w:szCs w:val="24"/>
        </w:rPr>
        <w:t>volvido por John Maynard Keynes, além da</w:t>
      </w:r>
      <w:r>
        <w:rPr>
          <w:rFonts w:ascii="Arial" w:hAnsi="Arial" w:cs="Arial"/>
          <w:color w:val="000000" w:themeColor="text1"/>
          <w:sz w:val="24"/>
          <w:szCs w:val="24"/>
        </w:rPr>
        <w:t xml:space="preserve"> teoria da firma bancária de ac</w:t>
      </w:r>
      <w:r w:rsidR="002E1E41">
        <w:rPr>
          <w:rFonts w:ascii="Arial" w:hAnsi="Arial" w:cs="Arial"/>
          <w:color w:val="000000" w:themeColor="text1"/>
          <w:sz w:val="24"/>
          <w:szCs w:val="24"/>
        </w:rPr>
        <w:t>ordo com três visões diferentes:</w:t>
      </w:r>
      <w:r>
        <w:rPr>
          <w:rFonts w:ascii="Arial" w:hAnsi="Arial" w:cs="Arial"/>
          <w:color w:val="000000" w:themeColor="text1"/>
          <w:sz w:val="24"/>
          <w:szCs w:val="24"/>
        </w:rPr>
        <w:t xml:space="preserve"> a clássica, “visão nova” e a visão pós-</w:t>
      </w:r>
      <w:proofErr w:type="spellStart"/>
      <w:r>
        <w:rPr>
          <w:rFonts w:ascii="Arial" w:hAnsi="Arial" w:cs="Arial"/>
          <w:color w:val="000000" w:themeColor="text1"/>
          <w:sz w:val="24"/>
          <w:szCs w:val="24"/>
        </w:rPr>
        <w:t>keynesiana</w:t>
      </w:r>
      <w:proofErr w:type="spellEnd"/>
      <w:r>
        <w:rPr>
          <w:rFonts w:ascii="Arial" w:hAnsi="Arial" w:cs="Arial"/>
          <w:color w:val="000000" w:themeColor="text1"/>
          <w:sz w:val="24"/>
          <w:szCs w:val="24"/>
        </w:rPr>
        <w:t xml:space="preserve">. No </w:t>
      </w:r>
      <w:r w:rsidR="00455FF9">
        <w:rPr>
          <w:rFonts w:ascii="Arial" w:hAnsi="Arial" w:cs="Arial"/>
          <w:color w:val="000000" w:themeColor="text1"/>
          <w:sz w:val="24"/>
          <w:szCs w:val="24"/>
        </w:rPr>
        <w:t>terceiro capítulo</w:t>
      </w:r>
      <w:r>
        <w:rPr>
          <w:rFonts w:ascii="Arial" w:hAnsi="Arial" w:cs="Arial"/>
          <w:color w:val="000000" w:themeColor="text1"/>
          <w:sz w:val="24"/>
          <w:szCs w:val="24"/>
        </w:rPr>
        <w:t xml:space="preserve"> </w:t>
      </w:r>
      <w:r w:rsidR="002E1E41">
        <w:rPr>
          <w:rFonts w:ascii="Arial" w:hAnsi="Arial" w:cs="Arial"/>
          <w:color w:val="000000" w:themeColor="text1"/>
          <w:sz w:val="24"/>
          <w:szCs w:val="24"/>
        </w:rPr>
        <w:t xml:space="preserve">será apresentado o Regime de Metas de Inflação (RMI) e suas peculiaridades. No capítulo quatro </w:t>
      </w:r>
      <w:r w:rsidR="001B5290">
        <w:rPr>
          <w:rFonts w:ascii="Arial" w:hAnsi="Arial" w:cs="Arial"/>
          <w:color w:val="000000" w:themeColor="text1"/>
          <w:sz w:val="24"/>
          <w:szCs w:val="24"/>
        </w:rPr>
        <w:t>será demonstrada a metodologia do teste econométrico, no quinto capítulo é apresentado a analise do comportamento bancário e o resultado dos testes econométricos</w:t>
      </w:r>
      <w:r>
        <w:rPr>
          <w:rFonts w:ascii="Arial" w:hAnsi="Arial" w:cs="Arial"/>
          <w:color w:val="000000" w:themeColor="text1"/>
          <w:sz w:val="24"/>
          <w:szCs w:val="24"/>
        </w:rPr>
        <w:t xml:space="preserve">, e por fim, no </w:t>
      </w:r>
      <w:r w:rsidR="001B5290">
        <w:rPr>
          <w:rFonts w:ascii="Arial" w:hAnsi="Arial" w:cs="Arial"/>
          <w:color w:val="000000" w:themeColor="text1"/>
          <w:sz w:val="24"/>
          <w:szCs w:val="24"/>
        </w:rPr>
        <w:t>sexto</w:t>
      </w:r>
      <w:r>
        <w:rPr>
          <w:rFonts w:ascii="Arial" w:hAnsi="Arial" w:cs="Arial"/>
          <w:color w:val="000000" w:themeColor="text1"/>
          <w:sz w:val="24"/>
          <w:szCs w:val="24"/>
        </w:rPr>
        <w:t xml:space="preserve"> capitulo</w:t>
      </w:r>
      <w:r w:rsidR="00234017">
        <w:rPr>
          <w:rFonts w:ascii="Arial" w:hAnsi="Arial" w:cs="Arial"/>
          <w:color w:val="000000" w:themeColor="text1"/>
          <w:sz w:val="24"/>
          <w:szCs w:val="24"/>
        </w:rPr>
        <w:t>,</w:t>
      </w:r>
      <w:r>
        <w:rPr>
          <w:rFonts w:ascii="Arial" w:hAnsi="Arial" w:cs="Arial"/>
          <w:color w:val="000000" w:themeColor="text1"/>
          <w:sz w:val="24"/>
          <w:szCs w:val="24"/>
        </w:rPr>
        <w:t xml:space="preserve"> são apresentadas as observações conclusivas.</w:t>
      </w:r>
    </w:p>
    <w:p w:rsidR="008A5CB9" w:rsidRDefault="008A5CB9" w:rsidP="00885B1A">
      <w:pPr>
        <w:spacing w:after="0" w:line="360" w:lineRule="auto"/>
        <w:jc w:val="both"/>
        <w:rPr>
          <w:rFonts w:ascii="Arial" w:hAnsi="Arial" w:cs="Arial"/>
          <w:color w:val="000000"/>
          <w:sz w:val="24"/>
          <w:szCs w:val="24"/>
        </w:rPr>
      </w:pPr>
    </w:p>
    <w:p w:rsidR="00E71DA6" w:rsidRDefault="00E71DA6" w:rsidP="00C33C3B">
      <w:pPr>
        <w:spacing w:line="360" w:lineRule="auto"/>
        <w:jc w:val="both"/>
        <w:rPr>
          <w:rFonts w:ascii="Arial" w:hAnsi="Arial" w:cs="Arial"/>
          <w:color w:val="000000"/>
          <w:sz w:val="24"/>
          <w:szCs w:val="24"/>
        </w:rPr>
      </w:pPr>
    </w:p>
    <w:p w:rsidR="00E71DA6" w:rsidRDefault="00E71DA6" w:rsidP="00C33C3B">
      <w:pPr>
        <w:spacing w:line="360" w:lineRule="auto"/>
        <w:jc w:val="both"/>
        <w:rPr>
          <w:rFonts w:ascii="Arial" w:hAnsi="Arial" w:cs="Arial"/>
          <w:color w:val="000000"/>
          <w:sz w:val="24"/>
          <w:szCs w:val="24"/>
        </w:rPr>
      </w:pPr>
    </w:p>
    <w:p w:rsidR="00E71DA6" w:rsidRDefault="00E71DA6" w:rsidP="00C33C3B">
      <w:pPr>
        <w:spacing w:line="360" w:lineRule="auto"/>
        <w:jc w:val="both"/>
        <w:rPr>
          <w:rFonts w:ascii="Arial" w:hAnsi="Arial" w:cs="Arial"/>
          <w:color w:val="000000"/>
          <w:sz w:val="24"/>
          <w:szCs w:val="24"/>
        </w:rPr>
      </w:pPr>
    </w:p>
    <w:p w:rsidR="00885B1A" w:rsidRDefault="00885B1A" w:rsidP="00C33C3B">
      <w:pPr>
        <w:spacing w:line="360" w:lineRule="auto"/>
        <w:jc w:val="both"/>
        <w:rPr>
          <w:rFonts w:ascii="Arial" w:hAnsi="Arial" w:cs="Arial"/>
          <w:color w:val="000000"/>
          <w:sz w:val="24"/>
          <w:szCs w:val="24"/>
        </w:rPr>
      </w:pPr>
    </w:p>
    <w:p w:rsidR="00885B1A" w:rsidRDefault="00885B1A" w:rsidP="00C33C3B">
      <w:pPr>
        <w:spacing w:line="360" w:lineRule="auto"/>
        <w:jc w:val="both"/>
        <w:rPr>
          <w:rFonts w:ascii="Arial" w:hAnsi="Arial" w:cs="Arial"/>
          <w:color w:val="000000"/>
          <w:sz w:val="24"/>
          <w:szCs w:val="24"/>
        </w:rPr>
      </w:pPr>
    </w:p>
    <w:p w:rsidR="00885B1A" w:rsidRDefault="00885B1A" w:rsidP="00C33C3B">
      <w:pPr>
        <w:spacing w:line="360" w:lineRule="auto"/>
        <w:jc w:val="both"/>
        <w:rPr>
          <w:rFonts w:ascii="Arial" w:hAnsi="Arial" w:cs="Arial"/>
          <w:color w:val="000000"/>
          <w:sz w:val="24"/>
          <w:szCs w:val="24"/>
        </w:rPr>
      </w:pPr>
    </w:p>
    <w:p w:rsidR="00885B1A" w:rsidRDefault="00885B1A" w:rsidP="00C33C3B">
      <w:pPr>
        <w:spacing w:line="360" w:lineRule="auto"/>
        <w:jc w:val="both"/>
        <w:rPr>
          <w:rFonts w:ascii="Arial" w:hAnsi="Arial" w:cs="Arial"/>
          <w:color w:val="000000"/>
          <w:sz w:val="24"/>
          <w:szCs w:val="24"/>
        </w:rPr>
      </w:pPr>
    </w:p>
    <w:p w:rsidR="00E71DA6" w:rsidRDefault="00E71DA6" w:rsidP="00C33C3B">
      <w:pPr>
        <w:spacing w:line="360" w:lineRule="auto"/>
        <w:jc w:val="both"/>
        <w:rPr>
          <w:rFonts w:ascii="Arial" w:hAnsi="Arial" w:cs="Arial"/>
          <w:color w:val="000000"/>
          <w:sz w:val="24"/>
          <w:szCs w:val="24"/>
        </w:rPr>
      </w:pPr>
    </w:p>
    <w:p w:rsidR="00E71DA6" w:rsidRDefault="00E71DA6" w:rsidP="00C33C3B">
      <w:pPr>
        <w:spacing w:line="360" w:lineRule="auto"/>
        <w:jc w:val="both"/>
        <w:rPr>
          <w:rFonts w:ascii="Arial" w:hAnsi="Arial" w:cs="Arial"/>
          <w:color w:val="000000"/>
          <w:sz w:val="24"/>
          <w:szCs w:val="24"/>
        </w:rPr>
      </w:pPr>
    </w:p>
    <w:p w:rsidR="00AE29FE" w:rsidRPr="00346046" w:rsidRDefault="009C03CD" w:rsidP="0073133B">
      <w:pPr>
        <w:pStyle w:val="Ttulo1"/>
      </w:pPr>
      <w:bookmarkStart w:id="2" w:name="_Toc484350732"/>
      <w:r>
        <w:rPr>
          <w:rStyle w:val="Ttulo1Char"/>
          <w:b/>
        </w:rPr>
        <w:lastRenderedPageBreak/>
        <w:t>KEYNES</w:t>
      </w:r>
      <w:r w:rsidR="00236627">
        <w:rPr>
          <w:rStyle w:val="Ttulo1Char"/>
          <w:b/>
        </w:rPr>
        <w:t xml:space="preserve">, </w:t>
      </w:r>
      <w:r>
        <w:rPr>
          <w:rStyle w:val="Ttulo1Char"/>
          <w:b/>
        </w:rPr>
        <w:t xml:space="preserve">BANCOS </w:t>
      </w:r>
      <w:r w:rsidR="00236627">
        <w:rPr>
          <w:rStyle w:val="Ttulo1Char"/>
          <w:b/>
        </w:rPr>
        <w:t xml:space="preserve">E A LUTA PARA ESCAPAR DAS VELHAS </w:t>
      </w:r>
      <w:proofErr w:type="gramStart"/>
      <w:r w:rsidR="00236627">
        <w:rPr>
          <w:rStyle w:val="Ttulo1Char"/>
          <w:b/>
        </w:rPr>
        <w:t>IDEIAS</w:t>
      </w:r>
      <w:bookmarkEnd w:id="2"/>
      <w:proofErr w:type="gramEnd"/>
    </w:p>
    <w:p w:rsidR="00AE29FE" w:rsidRDefault="00AE29FE" w:rsidP="00AE29FE">
      <w:pPr>
        <w:spacing w:line="360" w:lineRule="auto"/>
        <w:jc w:val="both"/>
        <w:rPr>
          <w:rFonts w:ascii="Arial" w:hAnsi="Arial" w:cs="Arial"/>
          <w:sz w:val="24"/>
          <w:szCs w:val="24"/>
        </w:rPr>
      </w:pPr>
    </w:p>
    <w:p w:rsidR="002C46D0" w:rsidRDefault="00465026" w:rsidP="00885B1A">
      <w:pPr>
        <w:spacing w:after="0" w:line="360" w:lineRule="auto"/>
        <w:ind w:firstLine="708"/>
        <w:jc w:val="both"/>
        <w:rPr>
          <w:rFonts w:ascii="Arial" w:hAnsi="Arial" w:cs="Arial"/>
          <w:sz w:val="24"/>
          <w:szCs w:val="24"/>
        </w:rPr>
      </w:pPr>
      <w:r>
        <w:rPr>
          <w:rFonts w:ascii="Arial" w:hAnsi="Arial" w:cs="Arial"/>
          <w:sz w:val="24"/>
          <w:szCs w:val="24"/>
        </w:rPr>
        <w:t>Com o intuito de embasar o estudo proposto, algumas peculiaridades que rondam o cerne</w:t>
      </w:r>
      <w:r w:rsidR="000634E2">
        <w:rPr>
          <w:rFonts w:ascii="Arial" w:hAnsi="Arial" w:cs="Arial"/>
          <w:sz w:val="24"/>
          <w:szCs w:val="24"/>
        </w:rPr>
        <w:t xml:space="preserve"> do comportamento bancário serão abordadas.</w:t>
      </w:r>
      <w:r w:rsidR="005712B0">
        <w:rPr>
          <w:rFonts w:ascii="Arial" w:hAnsi="Arial" w:cs="Arial"/>
          <w:sz w:val="24"/>
          <w:szCs w:val="24"/>
        </w:rPr>
        <w:t xml:space="preserve"> Para tanto, John Maynard Keynes, em sua luta para “escapar das velhas ideias” (BELLUZZO, 2016), contribui de forma preponderante para construção de um arcabouço </w:t>
      </w:r>
      <w:proofErr w:type="gramStart"/>
      <w:r w:rsidR="00297D06">
        <w:rPr>
          <w:rFonts w:ascii="Arial" w:hAnsi="Arial" w:cs="Arial"/>
          <w:sz w:val="24"/>
          <w:szCs w:val="24"/>
        </w:rPr>
        <w:t>teórico</w:t>
      </w:r>
      <w:r w:rsidR="00141D2E">
        <w:rPr>
          <w:rFonts w:ascii="Arial" w:hAnsi="Arial" w:cs="Arial"/>
          <w:sz w:val="24"/>
          <w:szCs w:val="24"/>
        </w:rPr>
        <w:t>, cuja participação de algumas variáveis se tornaram fundamentais na concepção ou análise da teoria econômica</w:t>
      </w:r>
      <w:proofErr w:type="gramEnd"/>
      <w:r w:rsidR="002C46D0">
        <w:rPr>
          <w:rFonts w:ascii="Arial" w:hAnsi="Arial" w:cs="Arial"/>
          <w:sz w:val="24"/>
          <w:szCs w:val="24"/>
        </w:rPr>
        <w:t>.</w:t>
      </w:r>
      <w:r w:rsidR="00D96425">
        <w:rPr>
          <w:rFonts w:ascii="Arial" w:hAnsi="Arial" w:cs="Arial"/>
          <w:sz w:val="24"/>
          <w:szCs w:val="24"/>
        </w:rPr>
        <w:t xml:space="preserve"> </w:t>
      </w:r>
      <w:r w:rsidR="002C46D0">
        <w:rPr>
          <w:rFonts w:ascii="Arial" w:hAnsi="Arial" w:cs="Arial"/>
          <w:sz w:val="24"/>
          <w:szCs w:val="24"/>
        </w:rPr>
        <w:t>Dentre essas concepções</w:t>
      </w:r>
      <w:r w:rsidR="00FE03B8">
        <w:rPr>
          <w:rFonts w:ascii="Arial" w:hAnsi="Arial" w:cs="Arial"/>
          <w:sz w:val="24"/>
          <w:szCs w:val="24"/>
        </w:rPr>
        <w:t>,</w:t>
      </w:r>
      <w:r w:rsidR="002C46D0">
        <w:rPr>
          <w:rFonts w:ascii="Arial" w:hAnsi="Arial" w:cs="Arial"/>
          <w:sz w:val="24"/>
          <w:szCs w:val="24"/>
        </w:rPr>
        <w:t xml:space="preserve"> a</w:t>
      </w:r>
      <w:r w:rsidR="00AE29FE">
        <w:rPr>
          <w:rFonts w:ascii="Arial" w:hAnsi="Arial" w:cs="Arial"/>
          <w:sz w:val="24"/>
          <w:szCs w:val="24"/>
        </w:rPr>
        <w:t xml:space="preserve"> teoria da preferência pela liquidez</w:t>
      </w:r>
      <w:r w:rsidR="002C46D0">
        <w:rPr>
          <w:rFonts w:ascii="Arial" w:hAnsi="Arial" w:cs="Arial"/>
          <w:sz w:val="24"/>
          <w:szCs w:val="24"/>
        </w:rPr>
        <w:t xml:space="preserve"> é de grande valia para este estudo</w:t>
      </w:r>
      <w:r w:rsidR="00FE03B8">
        <w:rPr>
          <w:rFonts w:ascii="Arial" w:hAnsi="Arial" w:cs="Arial"/>
          <w:sz w:val="24"/>
          <w:szCs w:val="24"/>
        </w:rPr>
        <w:t>,</w:t>
      </w:r>
      <w:r w:rsidR="002C46D0">
        <w:rPr>
          <w:rFonts w:ascii="Arial" w:hAnsi="Arial" w:cs="Arial"/>
          <w:sz w:val="24"/>
          <w:szCs w:val="24"/>
        </w:rPr>
        <w:t xml:space="preserve"> pois</w:t>
      </w:r>
      <w:r w:rsidR="00FE03B8">
        <w:rPr>
          <w:rFonts w:ascii="Arial" w:hAnsi="Arial" w:cs="Arial"/>
          <w:sz w:val="24"/>
          <w:szCs w:val="24"/>
        </w:rPr>
        <w:t>, a partir dela é possível compreender melhor o papel da moeda, da taxa de juros e do comportamento dos agentes que se norteiam por esta concepção.</w:t>
      </w:r>
    </w:p>
    <w:p w:rsidR="00AE29FE" w:rsidRDefault="00FE03B8" w:rsidP="00885B1A">
      <w:pPr>
        <w:spacing w:after="0" w:line="360" w:lineRule="auto"/>
        <w:ind w:firstLine="708"/>
        <w:jc w:val="both"/>
        <w:rPr>
          <w:rFonts w:ascii="Arial" w:hAnsi="Arial" w:cs="Arial"/>
          <w:sz w:val="24"/>
          <w:szCs w:val="24"/>
        </w:rPr>
      </w:pPr>
      <w:r>
        <w:rPr>
          <w:rFonts w:ascii="Arial" w:hAnsi="Arial" w:cs="Arial"/>
          <w:sz w:val="24"/>
          <w:szCs w:val="24"/>
        </w:rPr>
        <w:t>A teoria da preferência pela liquidez,</w:t>
      </w:r>
      <w:r w:rsidR="00AE29FE">
        <w:rPr>
          <w:rFonts w:ascii="Arial" w:hAnsi="Arial" w:cs="Arial"/>
          <w:sz w:val="24"/>
          <w:szCs w:val="24"/>
        </w:rPr>
        <w:t xml:space="preserve"> formulada </w:t>
      </w:r>
      <w:r>
        <w:rPr>
          <w:rFonts w:ascii="Arial" w:hAnsi="Arial" w:cs="Arial"/>
          <w:sz w:val="24"/>
          <w:szCs w:val="24"/>
        </w:rPr>
        <w:t xml:space="preserve">por </w:t>
      </w:r>
      <w:r w:rsidR="00AE29FE">
        <w:rPr>
          <w:rFonts w:ascii="Arial" w:hAnsi="Arial" w:cs="Arial"/>
          <w:sz w:val="24"/>
          <w:szCs w:val="24"/>
        </w:rPr>
        <w:t xml:space="preserve">Keynes (1883-1946) está inserida na obra clássica a </w:t>
      </w:r>
      <w:r w:rsidR="00AE29FE" w:rsidRPr="00470277">
        <w:rPr>
          <w:rFonts w:ascii="Arial" w:hAnsi="Arial" w:cs="Arial"/>
          <w:i/>
          <w:sz w:val="24"/>
          <w:szCs w:val="24"/>
        </w:rPr>
        <w:t>Teoria Geral do Emprego do juro e da moeda</w:t>
      </w:r>
      <w:r w:rsidR="00AE29FE">
        <w:rPr>
          <w:rFonts w:ascii="Arial" w:hAnsi="Arial" w:cs="Arial"/>
          <w:sz w:val="24"/>
          <w:szCs w:val="24"/>
        </w:rPr>
        <w:t xml:space="preserve">, publicado em 1936. Além desta obra, é importante ressaltar a contribuição de seu trabalho anterior, o </w:t>
      </w:r>
      <w:r w:rsidR="00AE29FE" w:rsidRPr="00470277">
        <w:rPr>
          <w:rFonts w:ascii="Arial" w:hAnsi="Arial" w:cs="Arial"/>
          <w:i/>
          <w:sz w:val="24"/>
          <w:szCs w:val="24"/>
        </w:rPr>
        <w:t>Tratado sobre a Moeda</w:t>
      </w:r>
      <w:r w:rsidR="00AE29FE">
        <w:rPr>
          <w:rFonts w:ascii="Arial" w:hAnsi="Arial" w:cs="Arial"/>
          <w:i/>
          <w:sz w:val="24"/>
          <w:szCs w:val="24"/>
        </w:rPr>
        <w:t>,</w:t>
      </w:r>
      <w:r w:rsidR="00AE29FE">
        <w:rPr>
          <w:rFonts w:ascii="Arial" w:hAnsi="Arial" w:cs="Arial"/>
          <w:sz w:val="24"/>
          <w:szCs w:val="24"/>
        </w:rPr>
        <w:t xml:space="preserve"> publicado em 1930</w:t>
      </w:r>
      <w:r>
        <w:rPr>
          <w:rFonts w:ascii="Arial" w:hAnsi="Arial" w:cs="Arial"/>
          <w:sz w:val="24"/>
          <w:szCs w:val="24"/>
        </w:rPr>
        <w:t xml:space="preserve">, que </w:t>
      </w:r>
      <w:r w:rsidR="00736BC4">
        <w:rPr>
          <w:rFonts w:ascii="Arial" w:hAnsi="Arial" w:cs="Arial"/>
          <w:sz w:val="24"/>
          <w:szCs w:val="24"/>
        </w:rPr>
        <w:t>introduziu importantes considerações e que seriam posteriorme</w:t>
      </w:r>
      <w:r w:rsidR="00236627">
        <w:rPr>
          <w:rFonts w:ascii="Arial" w:hAnsi="Arial" w:cs="Arial"/>
          <w:sz w:val="24"/>
          <w:szCs w:val="24"/>
        </w:rPr>
        <w:t>nte condessados na Teoria Geral</w:t>
      </w:r>
      <w:r w:rsidR="00736BC4">
        <w:rPr>
          <w:rFonts w:ascii="Arial" w:hAnsi="Arial" w:cs="Arial"/>
          <w:sz w:val="24"/>
          <w:szCs w:val="24"/>
        </w:rPr>
        <w:t xml:space="preserve"> (BELLUZZO, 2016).  </w:t>
      </w:r>
      <w:r w:rsidR="00AE29FE">
        <w:rPr>
          <w:rFonts w:ascii="Arial" w:hAnsi="Arial" w:cs="Arial"/>
          <w:sz w:val="24"/>
          <w:szCs w:val="24"/>
        </w:rPr>
        <w:t>A teoria criada por Keynes refere-se a uma visão alternativa à teoria monetária clássica que é baseada na teoria quantitativa da moeda (TQM) que tem como ponto de partida a equação de trocas, em que é relacionado o volume de transações de uma economia, avaliados a preços correntes com o estoque de moeda vigente multiplicado pela taxa de circulação da moeda.</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A partir dessa relação, os clássicos formulam algumas premissas</w:t>
      </w:r>
      <w:r w:rsidR="00FD70BF">
        <w:rPr>
          <w:rFonts w:ascii="Arial" w:hAnsi="Arial" w:cs="Arial"/>
          <w:sz w:val="24"/>
          <w:szCs w:val="24"/>
        </w:rPr>
        <w:t xml:space="preserve"> relacionadas ao papel da moeda. D</w:t>
      </w:r>
      <w:r>
        <w:rPr>
          <w:rFonts w:ascii="Arial" w:hAnsi="Arial" w:cs="Arial"/>
          <w:sz w:val="24"/>
          <w:szCs w:val="24"/>
        </w:rPr>
        <w:t>e um lado a importância da moeda se dá na estabili</w:t>
      </w:r>
      <w:r w:rsidR="00FD70BF">
        <w:rPr>
          <w:rFonts w:ascii="Arial" w:hAnsi="Arial" w:cs="Arial"/>
          <w:sz w:val="24"/>
          <w:szCs w:val="24"/>
        </w:rPr>
        <w:t>dade dos preços, pois segundo</w:t>
      </w:r>
      <w:r>
        <w:rPr>
          <w:rFonts w:ascii="Arial" w:hAnsi="Arial" w:cs="Arial"/>
          <w:sz w:val="24"/>
          <w:szCs w:val="24"/>
        </w:rPr>
        <w:t xml:space="preserve"> eles, o nível de preços é diretamente proporcional </w:t>
      </w:r>
      <w:r w:rsidR="00236627">
        <w:rPr>
          <w:rFonts w:ascii="Arial" w:hAnsi="Arial" w:cs="Arial"/>
          <w:sz w:val="24"/>
          <w:szCs w:val="24"/>
        </w:rPr>
        <w:t>à</w:t>
      </w:r>
      <w:r>
        <w:rPr>
          <w:rFonts w:ascii="Arial" w:hAnsi="Arial" w:cs="Arial"/>
          <w:sz w:val="24"/>
          <w:szCs w:val="24"/>
        </w:rPr>
        <w:t xml:space="preserve"> quantidade de moeda emitida, ou seja, quanto mais moeda emitida maior será o nível de preços. Por outro lado, a moeda não é importante no que tange à economia real (produto, emprego e taxa de juros) que são afetadas somente pela oferta, ou seja, a oferta é exógena, previamente definida. (FROYEN, 2002)</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Em suma, os clássicos viam a moeda apenas como um meio de troca</w:t>
      </w:r>
      <w:r w:rsidR="008230DA">
        <w:rPr>
          <w:rFonts w:ascii="Arial" w:hAnsi="Arial" w:cs="Arial"/>
          <w:sz w:val="24"/>
          <w:szCs w:val="24"/>
        </w:rPr>
        <w:t>, pois</w:t>
      </w:r>
      <w:r>
        <w:rPr>
          <w:rFonts w:ascii="Arial" w:hAnsi="Arial" w:cs="Arial"/>
          <w:sz w:val="24"/>
          <w:szCs w:val="24"/>
        </w:rPr>
        <w:t xml:space="preserve">, “o que realmente importa no processo de troca é a relação de uma mercadoria com a outra, a moeda sendo apenas um véu ou um óleo que se interpõe nesse processo e o </w:t>
      </w:r>
      <w:proofErr w:type="gramStart"/>
      <w:r>
        <w:rPr>
          <w:rFonts w:ascii="Arial" w:hAnsi="Arial" w:cs="Arial"/>
          <w:sz w:val="24"/>
          <w:szCs w:val="24"/>
        </w:rPr>
        <w:t>agiliza</w:t>
      </w:r>
      <w:proofErr w:type="gramEnd"/>
      <w:r>
        <w:rPr>
          <w:rFonts w:ascii="Arial" w:hAnsi="Arial" w:cs="Arial"/>
          <w:sz w:val="24"/>
          <w:szCs w:val="24"/>
        </w:rPr>
        <w:t xml:space="preserve">” (AMADO, 2000, p. 44). </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lastRenderedPageBreak/>
        <w:t xml:space="preserve">No que tange ao modelo clássico, importante frisar o papel da taxa de juros, já que este foi alvo de críticas por parte de Keynes e ajuda na compreensão da teoria da preferência pela liquidez. No modelo clássico, a taxa de juros </w:t>
      </w:r>
      <w:r w:rsidR="00917859">
        <w:rPr>
          <w:rFonts w:ascii="Arial" w:hAnsi="Arial" w:cs="Arial"/>
          <w:sz w:val="24"/>
          <w:szCs w:val="24"/>
        </w:rPr>
        <w:t>se dava</w:t>
      </w:r>
      <w:r>
        <w:rPr>
          <w:rFonts w:ascii="Arial" w:hAnsi="Arial" w:cs="Arial"/>
          <w:sz w:val="24"/>
          <w:szCs w:val="24"/>
        </w:rPr>
        <w:t xml:space="preserve"> </w:t>
      </w:r>
      <w:r w:rsidR="00917859">
        <w:rPr>
          <w:rFonts w:ascii="Arial" w:hAnsi="Arial" w:cs="Arial"/>
          <w:sz w:val="24"/>
          <w:szCs w:val="24"/>
        </w:rPr>
        <w:t>no ponto de equilíbrio entre</w:t>
      </w:r>
      <w:r>
        <w:rPr>
          <w:rFonts w:ascii="Arial" w:hAnsi="Arial" w:cs="Arial"/>
          <w:sz w:val="24"/>
          <w:szCs w:val="24"/>
        </w:rPr>
        <w:t xml:space="preserve"> o montante de fundos que os indivíduos desejavam emprestar com aqueles que os indivíduos desejavam tomar emprestados. Neste modelo, pelo lado dos demandantes de fundos emprestáveis (Firmas), a quantidade requisitada de empréstimos se daria pela expectativa de lucro de seus respectivos projetos cuja influência das taxas de juros era preponderante, pois representa o custo de se tomar os empréstimos. Dessa forma, quanto mais baixa</w:t>
      </w:r>
      <w:r w:rsidR="00D96425">
        <w:rPr>
          <w:rFonts w:ascii="Arial" w:hAnsi="Arial" w:cs="Arial"/>
          <w:sz w:val="24"/>
          <w:szCs w:val="24"/>
        </w:rPr>
        <w:t>s</w:t>
      </w:r>
      <w:r>
        <w:rPr>
          <w:rFonts w:ascii="Arial" w:hAnsi="Arial" w:cs="Arial"/>
          <w:sz w:val="24"/>
          <w:szCs w:val="24"/>
        </w:rPr>
        <w:t xml:space="preserve"> as taxas de juros, mais lucrativos se tornariam os projetos. </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Pelo lado dos ofertantes de empréstimos (poupadores), a poupança é função positiva da taxa de juros, quanto maior esta taxa maior o incentivo de abster-se do consumo e aumentar a poupança. Importante frisar que toda essa poupança era preferencialmente investida por meio de títulos, pois a moeda em si não paga juros (FROYEN, 2002).</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Baseados, portanto, nestas considerações do modelo clássico, Keynes desenvolveu conceitos alternativos sobre economia monetária. Para Keynes, diferentemente dos clássicos, a moeda não é apenas um meio de troca, mas também reserva de valor devido sua capacidade de transpo</w:t>
      </w:r>
      <w:r w:rsidR="00D96425">
        <w:rPr>
          <w:rFonts w:ascii="Arial" w:hAnsi="Arial" w:cs="Arial"/>
          <w:sz w:val="24"/>
          <w:szCs w:val="24"/>
        </w:rPr>
        <w:t>rtar riqueza no tempo. Segundo C</w:t>
      </w:r>
      <w:r>
        <w:rPr>
          <w:rFonts w:ascii="Arial" w:hAnsi="Arial" w:cs="Arial"/>
          <w:sz w:val="24"/>
          <w:szCs w:val="24"/>
        </w:rPr>
        <w:t xml:space="preserve">arvalho </w:t>
      </w:r>
      <w:r w:rsidR="00AB78DF">
        <w:rPr>
          <w:rFonts w:ascii="Arial" w:hAnsi="Arial" w:cs="Arial"/>
          <w:sz w:val="24"/>
          <w:szCs w:val="24"/>
        </w:rPr>
        <w:t>e outros</w:t>
      </w:r>
      <w:r>
        <w:rPr>
          <w:rFonts w:ascii="Arial" w:hAnsi="Arial" w:cs="Arial"/>
          <w:sz w:val="24"/>
          <w:szCs w:val="24"/>
        </w:rPr>
        <w:t xml:space="preserve"> (2007, p. 46), “ela [moeda] é mais do que uma forma conveniente de estabelecer a ponte entre os fluxos de entrada e saídas de recursos, como estabelecia a teoria clássica”. Nesse sentido, a moeda transforma-se em um ativo, dotada de atributos que lhe são específica, tal como a liquidez que confere ao detentor da moeda conforto no que se refere às incertezas do futuro. Assim, quanto maior a incerteza sobre o futuro, maior deverá ser a quantidade de moeda retida pelos agentes.</w:t>
      </w:r>
    </w:p>
    <w:p w:rsidR="00997921" w:rsidRDefault="00997921" w:rsidP="00885B1A">
      <w:pPr>
        <w:spacing w:after="0" w:line="360" w:lineRule="auto"/>
        <w:ind w:firstLine="708"/>
        <w:jc w:val="both"/>
        <w:rPr>
          <w:rFonts w:ascii="Arial" w:hAnsi="Arial" w:cs="Arial"/>
          <w:sz w:val="24"/>
          <w:szCs w:val="24"/>
        </w:rPr>
      </w:pPr>
      <w:r>
        <w:rPr>
          <w:rFonts w:ascii="Arial" w:hAnsi="Arial" w:cs="Arial"/>
          <w:sz w:val="24"/>
          <w:szCs w:val="24"/>
        </w:rPr>
        <w:t xml:space="preserve">Para Keynes, existem três motivos para se guardar moeda: o de transações, </w:t>
      </w:r>
      <w:r w:rsidR="00917859">
        <w:rPr>
          <w:rFonts w:ascii="Arial" w:hAnsi="Arial" w:cs="Arial"/>
          <w:sz w:val="24"/>
          <w:szCs w:val="24"/>
        </w:rPr>
        <w:t>o de precaução e o especulativo</w:t>
      </w:r>
      <w:r>
        <w:rPr>
          <w:rFonts w:ascii="Arial" w:hAnsi="Arial" w:cs="Arial"/>
          <w:sz w:val="24"/>
          <w:szCs w:val="24"/>
        </w:rPr>
        <w:t xml:space="preserve"> (HANSEN, 1987). O motivo de transação funciona como pressuposto pelo modelo clássico, ou seja, para efetuar trocas pessoais e comerciais. O motivo precaução se deve ao risco de emergências repentinas ou futuras, e por último</w:t>
      </w:r>
      <w:r w:rsidR="000F03A6">
        <w:rPr>
          <w:rFonts w:ascii="Arial" w:hAnsi="Arial" w:cs="Arial"/>
          <w:sz w:val="24"/>
          <w:szCs w:val="24"/>
        </w:rPr>
        <w:t>,</w:t>
      </w:r>
      <w:r>
        <w:rPr>
          <w:rFonts w:ascii="Arial" w:hAnsi="Arial" w:cs="Arial"/>
          <w:sz w:val="24"/>
          <w:szCs w:val="24"/>
        </w:rPr>
        <w:t xml:space="preserve"> o motivo especulação que se relaciona ao desejo de tirar proveito de </w:t>
      </w:r>
      <w:r w:rsidR="000F03A6">
        <w:rPr>
          <w:rFonts w:ascii="Arial" w:hAnsi="Arial" w:cs="Arial"/>
          <w:sz w:val="24"/>
          <w:szCs w:val="24"/>
        </w:rPr>
        <w:t>mudanças no mercado, ou seja, tirar proveito baseado em uma possível habilidade em se antecipar às oscilações.</w:t>
      </w:r>
    </w:p>
    <w:p w:rsidR="006034C5" w:rsidRDefault="00AE29FE" w:rsidP="00885B1A">
      <w:pPr>
        <w:spacing w:after="0" w:line="360" w:lineRule="auto"/>
        <w:ind w:firstLine="708"/>
        <w:jc w:val="both"/>
        <w:rPr>
          <w:rFonts w:ascii="Arial" w:hAnsi="Arial" w:cs="Arial"/>
          <w:sz w:val="24"/>
          <w:szCs w:val="24"/>
        </w:rPr>
      </w:pPr>
      <w:r>
        <w:rPr>
          <w:rFonts w:ascii="Arial" w:hAnsi="Arial" w:cs="Arial"/>
          <w:sz w:val="24"/>
          <w:szCs w:val="24"/>
        </w:rPr>
        <w:lastRenderedPageBreak/>
        <w:t xml:space="preserve">Keynes, em seu trabalho </w:t>
      </w:r>
      <w:proofErr w:type="spellStart"/>
      <w:r>
        <w:rPr>
          <w:rFonts w:ascii="Arial" w:hAnsi="Arial" w:cs="Arial"/>
          <w:i/>
          <w:sz w:val="24"/>
          <w:szCs w:val="24"/>
        </w:rPr>
        <w:t>Treatise</w:t>
      </w:r>
      <w:proofErr w:type="spellEnd"/>
      <w:r>
        <w:rPr>
          <w:rFonts w:ascii="Arial" w:hAnsi="Arial" w:cs="Arial"/>
          <w:i/>
          <w:sz w:val="24"/>
          <w:szCs w:val="24"/>
        </w:rPr>
        <w:t xml:space="preserve"> </w:t>
      </w:r>
      <w:proofErr w:type="spellStart"/>
      <w:r>
        <w:rPr>
          <w:rFonts w:ascii="Arial" w:hAnsi="Arial" w:cs="Arial"/>
          <w:i/>
          <w:sz w:val="24"/>
          <w:szCs w:val="24"/>
        </w:rPr>
        <w:t>on</w:t>
      </w:r>
      <w:proofErr w:type="spellEnd"/>
      <w:r>
        <w:rPr>
          <w:rFonts w:ascii="Arial" w:hAnsi="Arial" w:cs="Arial"/>
          <w:i/>
          <w:sz w:val="24"/>
          <w:szCs w:val="24"/>
        </w:rPr>
        <w:t xml:space="preserve"> Money, </w:t>
      </w:r>
      <w:r>
        <w:rPr>
          <w:rFonts w:ascii="Arial" w:hAnsi="Arial" w:cs="Arial"/>
          <w:sz w:val="24"/>
          <w:szCs w:val="24"/>
        </w:rPr>
        <w:t xml:space="preserve">distinguiu dois circuitos de circulação financeira, o industrial e o financeiro. No primeiro a moeda funciona como na teoria quantitativa da moeda, ou seja, a moeda serve apenas como intermediária nas trocas dando suporte ao giro de bens e serviços produzidos na economia. No circuito financeiro, Keynes inova ao considerar a possibilidade </w:t>
      </w:r>
      <w:r w:rsidR="00917859">
        <w:rPr>
          <w:rFonts w:ascii="Arial" w:hAnsi="Arial" w:cs="Arial"/>
          <w:sz w:val="24"/>
          <w:szCs w:val="24"/>
        </w:rPr>
        <w:t>da</w:t>
      </w:r>
      <w:r>
        <w:rPr>
          <w:rFonts w:ascii="Arial" w:hAnsi="Arial" w:cs="Arial"/>
          <w:sz w:val="24"/>
          <w:szCs w:val="24"/>
        </w:rPr>
        <w:t xml:space="preserve"> moeda se tornar um ativo financeiro, podendo ser usada nas operações financeiras para compra de outros ativos como ações</w:t>
      </w:r>
      <w:r w:rsidR="00B05D81">
        <w:rPr>
          <w:rFonts w:ascii="Arial" w:hAnsi="Arial" w:cs="Arial"/>
          <w:sz w:val="24"/>
          <w:szCs w:val="24"/>
        </w:rPr>
        <w:t>,</w:t>
      </w:r>
      <w:r>
        <w:rPr>
          <w:rFonts w:ascii="Arial" w:hAnsi="Arial" w:cs="Arial"/>
          <w:sz w:val="24"/>
          <w:szCs w:val="24"/>
        </w:rPr>
        <w:t xml:space="preserve"> títulos de dívida, ou seja, ativos não relacionados ao giro da renda corrente.</w:t>
      </w:r>
      <w:r w:rsidR="006034C5">
        <w:rPr>
          <w:rFonts w:ascii="Arial" w:hAnsi="Arial" w:cs="Arial"/>
          <w:sz w:val="24"/>
          <w:szCs w:val="24"/>
        </w:rPr>
        <w:t xml:space="preserve"> (CARVALHO </w:t>
      </w:r>
      <w:proofErr w:type="spellStart"/>
      <w:proofErr w:type="gramStart"/>
      <w:r w:rsidR="006034C5">
        <w:rPr>
          <w:rFonts w:ascii="Arial" w:hAnsi="Arial" w:cs="Arial"/>
          <w:sz w:val="24"/>
          <w:szCs w:val="24"/>
        </w:rPr>
        <w:t>el</w:t>
      </w:r>
      <w:proofErr w:type="spellEnd"/>
      <w:proofErr w:type="gramEnd"/>
      <w:r w:rsidR="006034C5">
        <w:rPr>
          <w:rFonts w:ascii="Arial" w:hAnsi="Arial" w:cs="Arial"/>
          <w:sz w:val="24"/>
          <w:szCs w:val="24"/>
        </w:rPr>
        <w:t xml:space="preserve"> al, 2007)</w:t>
      </w:r>
      <w:r>
        <w:rPr>
          <w:rFonts w:ascii="Arial" w:hAnsi="Arial" w:cs="Arial"/>
          <w:sz w:val="24"/>
          <w:szCs w:val="24"/>
        </w:rPr>
        <w:t xml:space="preserve"> </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Dessa forma considera-se uma possibilidade de vazamento da renda do circuito industrial, que acarreta na não neutralidade</w:t>
      </w:r>
      <w:r w:rsidR="00B05D81">
        <w:rPr>
          <w:rFonts w:ascii="Arial" w:hAnsi="Arial" w:cs="Arial"/>
          <w:sz w:val="24"/>
          <w:szCs w:val="24"/>
        </w:rPr>
        <w:t xml:space="preserve"> da moeda colocando em xeque a teoria quantitativa da moeda</w:t>
      </w:r>
      <w:r>
        <w:rPr>
          <w:rFonts w:ascii="Arial" w:hAnsi="Arial" w:cs="Arial"/>
          <w:sz w:val="24"/>
          <w:szCs w:val="24"/>
        </w:rPr>
        <w:t>. Carvalho e outros (2007, p. 49) reforçam essa ideia,</w:t>
      </w:r>
    </w:p>
    <w:p w:rsidR="002277D4" w:rsidRPr="002277D4" w:rsidRDefault="00AE29FE" w:rsidP="002277D4">
      <w:pPr>
        <w:spacing w:after="0" w:line="240" w:lineRule="auto"/>
        <w:ind w:left="2124"/>
        <w:jc w:val="both"/>
        <w:rPr>
          <w:rFonts w:ascii="Arial" w:hAnsi="Arial" w:cs="Arial"/>
          <w:sz w:val="20"/>
          <w:szCs w:val="20"/>
        </w:rPr>
      </w:pPr>
      <w:proofErr w:type="gramStart"/>
      <w:r w:rsidRPr="009C7E76">
        <w:rPr>
          <w:rFonts w:ascii="Arial" w:hAnsi="Arial" w:cs="Arial"/>
          <w:sz w:val="20"/>
          <w:szCs w:val="20"/>
        </w:rPr>
        <w:t>a</w:t>
      </w:r>
      <w:proofErr w:type="gramEnd"/>
      <w:r w:rsidRPr="009C7E76">
        <w:rPr>
          <w:rFonts w:ascii="Arial" w:hAnsi="Arial" w:cs="Arial"/>
          <w:sz w:val="20"/>
          <w:szCs w:val="20"/>
        </w:rPr>
        <w:t xml:space="preserve"> característica mais distintiva deste circuito [financeiro] é seu deslocamento da circulação de bens e serviços, já que os motivos por detrás das operações financeiras têm pouco a ver com as atividades geradoras de renda quebrando qualquer relação de proporcionalidade entre quantidade total de moeda em circulação e a renda agregada, q</w:t>
      </w:r>
      <w:r w:rsidR="002277D4">
        <w:rPr>
          <w:rFonts w:ascii="Arial" w:hAnsi="Arial" w:cs="Arial"/>
          <w:sz w:val="20"/>
          <w:szCs w:val="20"/>
        </w:rPr>
        <w:t>ue é a pedra angular da TQM</w:t>
      </w:r>
    </w:p>
    <w:p w:rsidR="006034C5" w:rsidRDefault="00AE29FE" w:rsidP="002277D4">
      <w:pPr>
        <w:spacing w:after="0" w:line="360" w:lineRule="auto"/>
        <w:ind w:firstLine="708"/>
        <w:jc w:val="both"/>
        <w:rPr>
          <w:rFonts w:ascii="Arial" w:hAnsi="Arial" w:cs="Arial"/>
          <w:sz w:val="24"/>
          <w:szCs w:val="24"/>
        </w:rPr>
      </w:pPr>
      <w:r>
        <w:rPr>
          <w:rFonts w:ascii="Arial" w:hAnsi="Arial" w:cs="Arial"/>
          <w:sz w:val="24"/>
          <w:szCs w:val="24"/>
        </w:rPr>
        <w:t>Na elaboração da teoria da preferência pela liquidez, Keynes criticou a visão clássica sobre a taxa de juros, segundo a qual a taxa de juros é o preço que equilibra a oferta e demanda por poupança. Keynes, por outro lado, vê a taxa de juros como uma recompensa por não se entesourar o dinheiro, ou seja, a taxa de juros não é uma recompensa pelo adiamento do consumo, mas sim porque se aplica esta poupança em ativos financeiros</w:t>
      </w:r>
      <w:r w:rsidR="006034C5">
        <w:rPr>
          <w:rFonts w:ascii="Arial" w:hAnsi="Arial" w:cs="Arial"/>
          <w:sz w:val="24"/>
          <w:szCs w:val="24"/>
        </w:rPr>
        <w:t>. (KEYNES, 2012)</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Cabe aos agentes, em um primeiro momento, definir sua propensão ao consumo (parte da renda destinada ao consumo). Em um segundo momento, cabe à escolha de que forma conservar a parte não consumida da renda, </w:t>
      </w:r>
    </w:p>
    <w:p w:rsidR="00AE29FE" w:rsidRPr="00EF6C85" w:rsidRDefault="00AE29FE" w:rsidP="00885B1A">
      <w:pPr>
        <w:spacing w:after="0" w:line="240" w:lineRule="auto"/>
        <w:ind w:left="2124"/>
        <w:jc w:val="both"/>
        <w:rPr>
          <w:rFonts w:ascii="Arial" w:hAnsi="Arial" w:cs="Arial"/>
          <w:sz w:val="20"/>
          <w:szCs w:val="20"/>
        </w:rPr>
      </w:pPr>
      <w:proofErr w:type="gramStart"/>
      <w:r w:rsidRPr="00E55CB5">
        <w:rPr>
          <w:rFonts w:ascii="Arial" w:hAnsi="Arial" w:cs="Arial"/>
          <w:sz w:val="20"/>
          <w:szCs w:val="20"/>
        </w:rPr>
        <w:t>quer</w:t>
      </w:r>
      <w:proofErr w:type="gramEnd"/>
      <w:r w:rsidRPr="00E55CB5">
        <w:rPr>
          <w:rFonts w:ascii="Arial" w:hAnsi="Arial" w:cs="Arial"/>
          <w:sz w:val="20"/>
          <w:szCs w:val="20"/>
        </w:rPr>
        <w:t xml:space="preserve"> conserva-lo sob a forma de direito líquido imediato (isto é, dinheiro ou seu equivalente)? Ou está disposto a alienar esse direito imediato por um período específico ou indeterminado, deixando à situação futura do mercado a fixação das condições em que </w:t>
      </w:r>
      <w:proofErr w:type="gramStart"/>
      <w:r w:rsidRPr="00E55CB5">
        <w:rPr>
          <w:rFonts w:ascii="Arial" w:hAnsi="Arial" w:cs="Arial"/>
          <w:sz w:val="20"/>
          <w:szCs w:val="20"/>
        </w:rPr>
        <w:t>poderá,</w:t>
      </w:r>
      <w:proofErr w:type="gramEnd"/>
      <w:r w:rsidRPr="00E55CB5">
        <w:rPr>
          <w:rFonts w:ascii="Arial" w:hAnsi="Arial" w:cs="Arial"/>
          <w:sz w:val="20"/>
          <w:szCs w:val="20"/>
        </w:rPr>
        <w:t xml:space="preserve"> se necessário, converter o direito adiado sobre bens específico em direito aquisitivo imediato sobre os bens em geral? Em outras palavras, qual é o grau da</w:t>
      </w:r>
      <w:r>
        <w:rPr>
          <w:rFonts w:ascii="Arial" w:hAnsi="Arial" w:cs="Arial"/>
          <w:sz w:val="20"/>
          <w:szCs w:val="20"/>
        </w:rPr>
        <w:t xml:space="preserve"> sua preferência pela liquidez?</w:t>
      </w:r>
      <w:r w:rsidRPr="00E55CB5">
        <w:rPr>
          <w:rFonts w:ascii="Arial" w:hAnsi="Arial" w:cs="Arial"/>
          <w:sz w:val="20"/>
          <w:szCs w:val="20"/>
        </w:rPr>
        <w:t xml:space="preserve"> </w:t>
      </w:r>
      <w:r>
        <w:rPr>
          <w:rFonts w:ascii="Arial" w:hAnsi="Arial" w:cs="Arial"/>
          <w:sz w:val="20"/>
          <w:szCs w:val="20"/>
        </w:rPr>
        <w:t>(K</w:t>
      </w:r>
      <w:r w:rsidR="003233BE">
        <w:rPr>
          <w:rFonts w:ascii="Arial" w:hAnsi="Arial" w:cs="Arial"/>
          <w:sz w:val="20"/>
          <w:szCs w:val="20"/>
        </w:rPr>
        <w:t>EYNES</w:t>
      </w:r>
      <w:r>
        <w:rPr>
          <w:rFonts w:ascii="Arial" w:hAnsi="Arial" w:cs="Arial"/>
          <w:sz w:val="20"/>
          <w:szCs w:val="20"/>
        </w:rPr>
        <w:t>, 2012, p 149)</w:t>
      </w:r>
    </w:p>
    <w:p w:rsidR="006D1F20" w:rsidRDefault="006D1F20" w:rsidP="00885B1A">
      <w:pPr>
        <w:spacing w:after="0" w:line="360" w:lineRule="auto"/>
        <w:ind w:firstLine="708"/>
        <w:jc w:val="both"/>
        <w:rPr>
          <w:rFonts w:ascii="Arial" w:hAnsi="Arial" w:cs="Arial"/>
          <w:sz w:val="24"/>
          <w:szCs w:val="24"/>
        </w:rPr>
      </w:pPr>
      <w:r>
        <w:rPr>
          <w:rFonts w:ascii="Arial" w:hAnsi="Arial" w:cs="Arial"/>
          <w:sz w:val="24"/>
          <w:szCs w:val="24"/>
        </w:rPr>
        <w:tab/>
        <w:t xml:space="preserve">Ao se ter uma percepção da visão de Keynes sobre a taxa de juros vale a pena voltar em algumas considerações sobre a relação desta com os motivos para se </w:t>
      </w:r>
      <w:proofErr w:type="gramStart"/>
      <w:r>
        <w:rPr>
          <w:rFonts w:ascii="Arial" w:hAnsi="Arial" w:cs="Arial"/>
          <w:sz w:val="24"/>
          <w:szCs w:val="24"/>
        </w:rPr>
        <w:t>reter</w:t>
      </w:r>
      <w:proofErr w:type="gramEnd"/>
      <w:r>
        <w:rPr>
          <w:rFonts w:ascii="Arial" w:hAnsi="Arial" w:cs="Arial"/>
          <w:sz w:val="24"/>
          <w:szCs w:val="24"/>
        </w:rPr>
        <w:t xml:space="preserve"> moeda. Sendo a taxa de juros a gratificação por se abster da liquidez</w:t>
      </w:r>
      <w:r w:rsidR="00422582">
        <w:rPr>
          <w:rFonts w:ascii="Arial" w:hAnsi="Arial" w:cs="Arial"/>
          <w:sz w:val="24"/>
          <w:szCs w:val="24"/>
        </w:rPr>
        <w:t xml:space="preserve">, </w:t>
      </w:r>
      <w:r w:rsidR="005421E0">
        <w:rPr>
          <w:rFonts w:ascii="Arial" w:hAnsi="Arial" w:cs="Arial"/>
          <w:sz w:val="24"/>
          <w:szCs w:val="24"/>
        </w:rPr>
        <w:t xml:space="preserve">alterações desta taxa afeta a preferência do público. Uma redução na taxa de juros diminuiria o custo de oportunidade de se manter dinheiro entesourado para fins de precaução, além de afetar o motivo especulação, pois, uma redução na taxa de juros </w:t>
      </w:r>
      <w:r w:rsidR="005421E0">
        <w:rPr>
          <w:rFonts w:ascii="Arial" w:hAnsi="Arial" w:cs="Arial"/>
          <w:sz w:val="24"/>
          <w:szCs w:val="24"/>
        </w:rPr>
        <w:lastRenderedPageBreak/>
        <w:t>eleva o valor dos títulos deixando uma margem pequena para ganhos futuros.</w:t>
      </w:r>
      <w:r w:rsidR="00656B90">
        <w:rPr>
          <w:rFonts w:ascii="Arial" w:hAnsi="Arial" w:cs="Arial"/>
          <w:sz w:val="24"/>
          <w:szCs w:val="24"/>
        </w:rPr>
        <w:t xml:space="preserve"> (KEYNES, 2012)</w:t>
      </w:r>
    </w:p>
    <w:p w:rsidR="00AE29FE" w:rsidRPr="00E55CB5" w:rsidRDefault="00656B90" w:rsidP="00885B1A">
      <w:pPr>
        <w:spacing w:after="0" w:line="360" w:lineRule="auto"/>
        <w:ind w:firstLine="708"/>
        <w:jc w:val="both"/>
        <w:rPr>
          <w:rFonts w:ascii="Arial" w:hAnsi="Arial" w:cs="Arial"/>
          <w:sz w:val="24"/>
          <w:szCs w:val="24"/>
        </w:rPr>
      </w:pPr>
      <w:r>
        <w:rPr>
          <w:rFonts w:ascii="Arial" w:hAnsi="Arial" w:cs="Arial"/>
          <w:sz w:val="24"/>
          <w:szCs w:val="24"/>
        </w:rPr>
        <w:t xml:space="preserve">Ao se retratar que possíveis alterações na taxa de juros podem afetar as preferências dos agentes, demonstra-se que o fator incerteza permeia os agentes como um todo. Assim, a </w:t>
      </w:r>
      <w:r w:rsidR="00AE29FE">
        <w:rPr>
          <w:rFonts w:ascii="Arial" w:hAnsi="Arial" w:cs="Arial"/>
          <w:sz w:val="24"/>
          <w:szCs w:val="24"/>
        </w:rPr>
        <w:t>propensão a reter moeda, se deve basicamente à incerteza sobre o futuro</w:t>
      </w:r>
      <w:r w:rsidR="00B05D81">
        <w:rPr>
          <w:rFonts w:ascii="Arial" w:hAnsi="Arial" w:cs="Arial"/>
          <w:sz w:val="24"/>
          <w:szCs w:val="24"/>
        </w:rPr>
        <w:t>,</w:t>
      </w:r>
      <w:r w:rsidR="00AE29FE">
        <w:rPr>
          <w:rFonts w:ascii="Arial" w:hAnsi="Arial" w:cs="Arial"/>
          <w:sz w:val="24"/>
          <w:szCs w:val="24"/>
        </w:rPr>
        <w:t xml:space="preserve"> “a toda sorte de dúvidas vagas e estados flutuantes de confiança e</w:t>
      </w:r>
      <w:r w:rsidR="00B05D81">
        <w:rPr>
          <w:rFonts w:ascii="Arial" w:hAnsi="Arial" w:cs="Arial"/>
          <w:sz w:val="24"/>
          <w:szCs w:val="24"/>
        </w:rPr>
        <w:t xml:space="preserve"> coragem” (HANSEN, 1987, p. 139</w:t>
      </w:r>
      <w:r w:rsidR="00AE29FE">
        <w:rPr>
          <w:rFonts w:ascii="Arial" w:hAnsi="Arial" w:cs="Arial"/>
          <w:sz w:val="24"/>
          <w:szCs w:val="24"/>
        </w:rPr>
        <w:t>).  Mudanças nas expectativas quanto ao futuro</w:t>
      </w:r>
      <w:r>
        <w:rPr>
          <w:rFonts w:ascii="Arial" w:hAnsi="Arial" w:cs="Arial"/>
          <w:sz w:val="24"/>
          <w:szCs w:val="24"/>
        </w:rPr>
        <w:t xml:space="preserve"> –inclui-se aqui</w:t>
      </w:r>
      <w:r w:rsidR="00637F8F">
        <w:rPr>
          <w:rFonts w:ascii="Arial" w:hAnsi="Arial" w:cs="Arial"/>
          <w:sz w:val="24"/>
          <w:szCs w:val="24"/>
        </w:rPr>
        <w:t>,</w:t>
      </w:r>
      <w:r>
        <w:rPr>
          <w:rFonts w:ascii="Arial" w:hAnsi="Arial" w:cs="Arial"/>
          <w:sz w:val="24"/>
          <w:szCs w:val="24"/>
        </w:rPr>
        <w:t xml:space="preserve"> a incerteza quanto </w:t>
      </w:r>
      <w:r w:rsidR="00637F8F">
        <w:rPr>
          <w:rFonts w:ascii="Arial" w:hAnsi="Arial" w:cs="Arial"/>
          <w:sz w:val="24"/>
          <w:szCs w:val="24"/>
        </w:rPr>
        <w:t>à</w:t>
      </w:r>
      <w:r>
        <w:rPr>
          <w:rFonts w:ascii="Arial" w:hAnsi="Arial" w:cs="Arial"/>
          <w:sz w:val="24"/>
          <w:szCs w:val="24"/>
        </w:rPr>
        <w:t xml:space="preserve"> taxa de juros futura</w:t>
      </w:r>
      <w:r w:rsidR="00637F8F">
        <w:rPr>
          <w:rFonts w:ascii="Arial" w:hAnsi="Arial" w:cs="Arial"/>
          <w:sz w:val="24"/>
          <w:szCs w:val="24"/>
        </w:rPr>
        <w:t xml:space="preserve"> </w:t>
      </w:r>
      <w:r>
        <w:rPr>
          <w:rFonts w:ascii="Arial" w:hAnsi="Arial" w:cs="Arial"/>
          <w:sz w:val="24"/>
          <w:szCs w:val="24"/>
        </w:rPr>
        <w:t>-</w:t>
      </w:r>
      <w:r w:rsidR="00AE29FE">
        <w:rPr>
          <w:rFonts w:ascii="Arial" w:hAnsi="Arial" w:cs="Arial"/>
          <w:sz w:val="24"/>
          <w:szCs w:val="24"/>
        </w:rPr>
        <w:t xml:space="preserve"> afetam a quantidade de moeda que o público deseja reter, afetando também a taxa de juros esperada. Assim, a cada conjunto de circunstância e de expectativas corresponderá a uma taxa de juros apropriada. </w:t>
      </w:r>
    </w:p>
    <w:p w:rsidR="00AE29FE" w:rsidRDefault="00AE29FE" w:rsidP="00885B1A">
      <w:pPr>
        <w:spacing w:after="0" w:line="360" w:lineRule="auto"/>
        <w:jc w:val="both"/>
        <w:rPr>
          <w:rFonts w:ascii="Arial" w:hAnsi="Arial" w:cs="Arial"/>
          <w:sz w:val="24"/>
          <w:szCs w:val="24"/>
        </w:rPr>
      </w:pPr>
    </w:p>
    <w:p w:rsidR="00AE29FE" w:rsidRPr="007806BF" w:rsidRDefault="003233BE" w:rsidP="006F3DEE">
      <w:pPr>
        <w:pStyle w:val="Ttulo2"/>
        <w:rPr>
          <w:rFonts w:cs="Arial"/>
          <w:szCs w:val="24"/>
        </w:rPr>
      </w:pPr>
      <w:bookmarkStart w:id="3" w:name="_Toc484350733"/>
      <w:r w:rsidRPr="007806BF">
        <w:rPr>
          <w:rStyle w:val="SubttuloChar"/>
          <w:b/>
        </w:rPr>
        <w:t>Teoria da firma bancária</w:t>
      </w:r>
      <w:bookmarkEnd w:id="3"/>
    </w:p>
    <w:p w:rsidR="00AE29FE" w:rsidRDefault="00AE29FE" w:rsidP="00AE29FE">
      <w:pPr>
        <w:spacing w:line="360" w:lineRule="auto"/>
        <w:jc w:val="both"/>
        <w:rPr>
          <w:rFonts w:ascii="Arial" w:hAnsi="Arial" w:cs="Arial"/>
          <w:sz w:val="24"/>
          <w:szCs w:val="24"/>
        </w:rPr>
      </w:pP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No que tange a introdução do papel dos bancos em uma economia monetária, importante ressaltar o papel de três visões sobre o tema. A abordagem clássica, neoclássica ou “visão nova”, e a perspectiva pós-</w:t>
      </w:r>
      <w:proofErr w:type="spellStart"/>
      <w:r>
        <w:rPr>
          <w:rFonts w:ascii="Arial" w:hAnsi="Arial" w:cs="Arial"/>
          <w:sz w:val="24"/>
          <w:szCs w:val="24"/>
        </w:rPr>
        <w:t>keynesiana</w:t>
      </w:r>
      <w:proofErr w:type="spellEnd"/>
      <w:r>
        <w:rPr>
          <w:rFonts w:ascii="Arial" w:hAnsi="Arial" w:cs="Arial"/>
          <w:sz w:val="24"/>
          <w:szCs w:val="24"/>
        </w:rPr>
        <w:t>. Estas três perspectivas, através de suas contradições e complementos, contribuirão para a compreensão do estudo proposto.</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O conceito tradicional de firma bancária, cujo papel do banco se restringe a ser mero intermediador financeiro entre agentes superavitários e deficitários foi</w:t>
      </w:r>
      <w:r w:rsidR="009C03CD">
        <w:rPr>
          <w:rFonts w:ascii="Arial" w:hAnsi="Arial" w:cs="Arial"/>
          <w:sz w:val="24"/>
          <w:szCs w:val="24"/>
        </w:rPr>
        <w:t xml:space="preserve"> desenvolvido por </w:t>
      </w:r>
      <w:proofErr w:type="spellStart"/>
      <w:r w:rsidR="009C03CD">
        <w:rPr>
          <w:rFonts w:ascii="Arial" w:hAnsi="Arial" w:cs="Arial"/>
          <w:sz w:val="24"/>
          <w:szCs w:val="24"/>
        </w:rPr>
        <w:t>Gurley</w:t>
      </w:r>
      <w:proofErr w:type="spellEnd"/>
      <w:r w:rsidR="009C03CD">
        <w:rPr>
          <w:rFonts w:ascii="Arial" w:hAnsi="Arial" w:cs="Arial"/>
          <w:sz w:val="24"/>
          <w:szCs w:val="24"/>
        </w:rPr>
        <w:t xml:space="preserve"> e Shaw.</w:t>
      </w:r>
      <w:r>
        <w:rPr>
          <w:rFonts w:ascii="Arial" w:hAnsi="Arial" w:cs="Arial"/>
          <w:sz w:val="24"/>
          <w:szCs w:val="24"/>
        </w:rPr>
        <w:t xml:space="preserve"> James Tobin aprimorou a teoria de </w:t>
      </w:r>
      <w:proofErr w:type="spellStart"/>
      <w:r>
        <w:rPr>
          <w:rFonts w:ascii="Arial" w:hAnsi="Arial" w:cs="Arial"/>
          <w:sz w:val="24"/>
          <w:szCs w:val="24"/>
        </w:rPr>
        <w:t>Gurley</w:t>
      </w:r>
      <w:proofErr w:type="spellEnd"/>
      <w:r>
        <w:rPr>
          <w:rFonts w:ascii="Arial" w:hAnsi="Arial" w:cs="Arial"/>
          <w:sz w:val="24"/>
          <w:szCs w:val="24"/>
        </w:rPr>
        <w:t xml:space="preserve"> e Shaw denominando-a de “visão nova”. A contribuição de Tobin foi ao sentido de desenvolver um modelo em que um banco comercial deixa de ser apenas um mero intermediador financeiro</w:t>
      </w:r>
      <w:r w:rsidR="002277D4">
        <w:rPr>
          <w:rFonts w:ascii="Arial" w:hAnsi="Arial" w:cs="Arial"/>
          <w:sz w:val="24"/>
          <w:szCs w:val="24"/>
        </w:rPr>
        <w:t>,</w:t>
      </w:r>
      <w:r>
        <w:rPr>
          <w:rFonts w:ascii="Arial" w:hAnsi="Arial" w:cs="Arial"/>
          <w:sz w:val="24"/>
          <w:szCs w:val="24"/>
        </w:rPr>
        <w:t xml:space="preserve"> buscando </w:t>
      </w:r>
      <w:proofErr w:type="gramStart"/>
      <w:r>
        <w:rPr>
          <w:rFonts w:ascii="Arial" w:hAnsi="Arial" w:cs="Arial"/>
          <w:sz w:val="24"/>
          <w:szCs w:val="24"/>
        </w:rPr>
        <w:t>otimizar</w:t>
      </w:r>
      <w:proofErr w:type="gramEnd"/>
      <w:r>
        <w:rPr>
          <w:rFonts w:ascii="Arial" w:hAnsi="Arial" w:cs="Arial"/>
          <w:sz w:val="24"/>
          <w:szCs w:val="24"/>
        </w:rPr>
        <w:t xml:space="preserve"> seu balanço de acordo com uma postura parcimoniosa devido a incerteza sobre a evolução dos depósitos em seu ativo, o que pode acarretar em problemas de liquidez. (GUERREIRO, 2015)</w:t>
      </w:r>
    </w:p>
    <w:p w:rsidR="0030610C" w:rsidRDefault="00AE29FE" w:rsidP="00885B1A">
      <w:pPr>
        <w:spacing w:after="0" w:line="360" w:lineRule="auto"/>
        <w:ind w:firstLine="708"/>
        <w:jc w:val="both"/>
        <w:rPr>
          <w:rFonts w:ascii="Arial" w:hAnsi="Arial" w:cs="Arial"/>
          <w:sz w:val="24"/>
          <w:szCs w:val="24"/>
        </w:rPr>
      </w:pPr>
      <w:r>
        <w:rPr>
          <w:rFonts w:ascii="Arial" w:hAnsi="Arial" w:cs="Arial"/>
          <w:sz w:val="24"/>
          <w:szCs w:val="24"/>
        </w:rPr>
        <w:t>Já a visão pós-</w:t>
      </w:r>
      <w:proofErr w:type="spellStart"/>
      <w:r>
        <w:rPr>
          <w:rFonts w:ascii="Arial" w:hAnsi="Arial" w:cs="Arial"/>
          <w:sz w:val="24"/>
          <w:szCs w:val="24"/>
        </w:rPr>
        <w:t>keynesiana</w:t>
      </w:r>
      <w:proofErr w:type="spellEnd"/>
      <w:r>
        <w:rPr>
          <w:rFonts w:ascii="Arial" w:hAnsi="Arial" w:cs="Arial"/>
          <w:sz w:val="24"/>
          <w:szCs w:val="24"/>
        </w:rPr>
        <w:t xml:space="preserve">, baseada no conceito de preferência pela liquidez diz que os bancos atuam tanto pelo lado do ativo adquirindo ativos líquidos visando se </w:t>
      </w:r>
      <w:r w:rsidR="008F6BA3">
        <w:rPr>
          <w:rFonts w:ascii="Arial" w:hAnsi="Arial" w:cs="Arial"/>
          <w:sz w:val="24"/>
          <w:szCs w:val="24"/>
        </w:rPr>
        <w:t>proteger</w:t>
      </w:r>
      <w:r>
        <w:rPr>
          <w:rFonts w:ascii="Arial" w:hAnsi="Arial" w:cs="Arial"/>
          <w:sz w:val="24"/>
          <w:szCs w:val="24"/>
        </w:rPr>
        <w:t xml:space="preserve"> quanto pelo lado do passivo através de inovações financeiras ou selecionando os tipos de depósito que compõem seu balanço. A possiblidade de atuar em </w:t>
      </w:r>
      <w:r w:rsidR="0002579D">
        <w:rPr>
          <w:rFonts w:ascii="Arial" w:hAnsi="Arial" w:cs="Arial"/>
          <w:sz w:val="24"/>
          <w:szCs w:val="24"/>
        </w:rPr>
        <w:t>ambos os</w:t>
      </w:r>
      <w:r>
        <w:rPr>
          <w:rFonts w:ascii="Arial" w:hAnsi="Arial" w:cs="Arial"/>
          <w:sz w:val="24"/>
          <w:szCs w:val="24"/>
        </w:rPr>
        <w:t xml:space="preserve"> lados do balanço relega aos bancos um papel amplificador na economia estimulando ainda mais as fases de crescimento e acentuando as </w:t>
      </w:r>
      <w:r>
        <w:rPr>
          <w:rFonts w:ascii="Arial" w:hAnsi="Arial" w:cs="Arial"/>
          <w:sz w:val="24"/>
          <w:szCs w:val="24"/>
        </w:rPr>
        <w:lastRenderedPageBreak/>
        <w:t>retrações quando a economia encontra-se em dificuldades.</w:t>
      </w:r>
      <w:r w:rsidR="0042426E">
        <w:rPr>
          <w:rFonts w:ascii="Arial" w:hAnsi="Arial" w:cs="Arial"/>
          <w:sz w:val="24"/>
          <w:szCs w:val="24"/>
        </w:rPr>
        <w:t xml:space="preserve"> (PAULA; OREIRO, 2008)</w:t>
      </w:r>
    </w:p>
    <w:p w:rsidR="006010CB" w:rsidRDefault="006010CB" w:rsidP="00885B1A">
      <w:pPr>
        <w:spacing w:after="0" w:line="360" w:lineRule="auto"/>
        <w:ind w:firstLine="708"/>
        <w:jc w:val="both"/>
        <w:rPr>
          <w:rFonts w:ascii="Arial" w:hAnsi="Arial" w:cs="Arial"/>
          <w:sz w:val="24"/>
          <w:szCs w:val="24"/>
        </w:rPr>
      </w:pPr>
    </w:p>
    <w:p w:rsidR="00AE29FE" w:rsidRPr="007806BF" w:rsidRDefault="003233BE" w:rsidP="00885B1A">
      <w:pPr>
        <w:pStyle w:val="Ttulo3"/>
        <w:rPr>
          <w:rFonts w:cs="Arial"/>
        </w:rPr>
      </w:pPr>
      <w:bookmarkStart w:id="4" w:name="_Toc484350734"/>
      <w:r w:rsidRPr="007806BF">
        <w:rPr>
          <w:rStyle w:val="SubttuloChar"/>
          <w:b/>
        </w:rPr>
        <w:t xml:space="preserve">Visão de </w:t>
      </w:r>
      <w:proofErr w:type="spellStart"/>
      <w:r w:rsidRPr="007806BF">
        <w:rPr>
          <w:rStyle w:val="SubttuloChar"/>
          <w:b/>
        </w:rPr>
        <w:t>Gurley</w:t>
      </w:r>
      <w:proofErr w:type="spellEnd"/>
      <w:r w:rsidRPr="007806BF">
        <w:rPr>
          <w:rStyle w:val="SubttuloChar"/>
          <w:b/>
        </w:rPr>
        <w:t xml:space="preserve"> e Shaw</w:t>
      </w:r>
      <w:bookmarkEnd w:id="4"/>
    </w:p>
    <w:p w:rsidR="00AE29FE" w:rsidRDefault="00AE29FE" w:rsidP="00885B1A">
      <w:pPr>
        <w:spacing w:after="0" w:line="360" w:lineRule="auto"/>
        <w:jc w:val="both"/>
        <w:rPr>
          <w:rFonts w:ascii="Arial" w:hAnsi="Arial" w:cs="Arial"/>
          <w:sz w:val="24"/>
          <w:szCs w:val="24"/>
        </w:rPr>
      </w:pPr>
    </w:p>
    <w:p w:rsidR="00AE29FE" w:rsidRDefault="00D270E1" w:rsidP="00885B1A">
      <w:pPr>
        <w:spacing w:after="0" w:line="360" w:lineRule="auto"/>
        <w:ind w:firstLine="708"/>
        <w:jc w:val="both"/>
        <w:rPr>
          <w:rFonts w:ascii="Arial" w:hAnsi="Arial" w:cs="Arial"/>
          <w:sz w:val="24"/>
          <w:szCs w:val="24"/>
        </w:rPr>
      </w:pPr>
      <w:r>
        <w:rPr>
          <w:rFonts w:ascii="Arial" w:hAnsi="Arial" w:cs="Arial"/>
          <w:sz w:val="24"/>
          <w:szCs w:val="24"/>
        </w:rPr>
        <w:t xml:space="preserve">Inicia-se a abordagem sobre a firma bancária demonstrando </w:t>
      </w:r>
      <w:r w:rsidR="00E625DA">
        <w:rPr>
          <w:rFonts w:ascii="Arial" w:hAnsi="Arial" w:cs="Arial"/>
          <w:sz w:val="24"/>
          <w:szCs w:val="24"/>
        </w:rPr>
        <w:t>de forma sintética o papel básico da intermediação financeira sob</w:t>
      </w:r>
      <w:r>
        <w:rPr>
          <w:rFonts w:ascii="Arial" w:hAnsi="Arial" w:cs="Arial"/>
          <w:sz w:val="24"/>
          <w:szCs w:val="24"/>
        </w:rPr>
        <w:t xml:space="preserve"> </w:t>
      </w:r>
      <w:r w:rsidR="00E625DA">
        <w:rPr>
          <w:rFonts w:ascii="Arial" w:hAnsi="Arial" w:cs="Arial"/>
          <w:sz w:val="24"/>
          <w:szCs w:val="24"/>
        </w:rPr>
        <w:t>a</w:t>
      </w:r>
      <w:r w:rsidR="00AE29FE">
        <w:rPr>
          <w:rFonts w:ascii="Arial" w:hAnsi="Arial" w:cs="Arial"/>
          <w:sz w:val="24"/>
          <w:szCs w:val="24"/>
        </w:rPr>
        <w:t xml:space="preserve"> visão </w:t>
      </w:r>
      <w:r w:rsidR="00E625DA">
        <w:rPr>
          <w:rFonts w:ascii="Arial" w:hAnsi="Arial" w:cs="Arial"/>
          <w:sz w:val="24"/>
          <w:szCs w:val="24"/>
        </w:rPr>
        <w:t>clássica da teoria bancária, que</w:t>
      </w:r>
      <w:r w:rsidR="00AE29FE">
        <w:rPr>
          <w:rFonts w:ascii="Arial" w:hAnsi="Arial" w:cs="Arial"/>
          <w:sz w:val="24"/>
          <w:szCs w:val="24"/>
        </w:rPr>
        <w:t xml:space="preserve"> começa por definir três tipos de unidades econômicas baseadas em seus gastos de receitas: as de orçamento equilibrado (receita igual à despesa); as de orçamento superavitário (receitas maiores que despesa); e deficitárias (despesas maiores que receita). No que tange aos agentes deficitários, existiriam três possibilidades para se financiar as suas despesas: o autofinanciamento (utilização de recursos próprios); financiamento direto (o financiamento é feito diretamente entre as unidades superavitárias e deficitárias através de emissão de títulos); e o financiamento indireto (um agente intermediário capta recursos excedentes dos superavitários e aloca-os entre as unidades deficitárias). (GUERREIRO, 2015)</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Dessa forma, os autores concluem que na ausência de intermediários financeiros o desenvolvimento econômico seria mais lento, pois, “a intermediação de intermediários financeiros no fluxo de ‘fundos emprestáveis’ eleva a taxa com que os passivos crescem em relação à renda e riqueza” (GURLEY; SHAW, apud GUERREIRO, 2015, p.10</w:t>
      </w:r>
      <w:proofErr w:type="gramStart"/>
      <w:r>
        <w:rPr>
          <w:rFonts w:ascii="Arial" w:hAnsi="Arial" w:cs="Arial"/>
          <w:sz w:val="24"/>
          <w:szCs w:val="24"/>
        </w:rPr>
        <w:t>)</w:t>
      </w:r>
      <w:proofErr w:type="gramEnd"/>
    </w:p>
    <w:p w:rsidR="006C3B59"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Outro ponto importante referente à visão destes autores, diz respeito </w:t>
      </w:r>
      <w:r w:rsidR="00375068">
        <w:rPr>
          <w:rFonts w:ascii="Arial" w:hAnsi="Arial" w:cs="Arial"/>
          <w:sz w:val="24"/>
          <w:szCs w:val="24"/>
        </w:rPr>
        <w:t>a</w:t>
      </w:r>
      <w:r>
        <w:rPr>
          <w:rFonts w:ascii="Arial" w:hAnsi="Arial" w:cs="Arial"/>
          <w:sz w:val="24"/>
          <w:szCs w:val="24"/>
        </w:rPr>
        <w:t xml:space="preserve"> critica sobre a concepção dos bancos comercias serem criadores infinitos de moeda, cujo conceito está vinculado à teoria do multiplicador bancário</w:t>
      </w:r>
      <w:r w:rsidR="006C3B59">
        <w:rPr>
          <w:rFonts w:ascii="Arial" w:hAnsi="Arial" w:cs="Arial"/>
          <w:sz w:val="24"/>
          <w:szCs w:val="24"/>
        </w:rPr>
        <w:t>. A concepção do multiplicador bancário descreve um processo autônomo que é acionado de acordo com variações na base monetária e no multiplicador bancário cujo resultado é a criação de moeda bancária.</w:t>
      </w:r>
    </w:p>
    <w:p w:rsidR="006C3B59" w:rsidRDefault="006C3B59" w:rsidP="00885B1A">
      <w:pPr>
        <w:spacing w:after="0" w:line="360" w:lineRule="auto"/>
        <w:ind w:firstLine="708"/>
        <w:jc w:val="both"/>
        <w:rPr>
          <w:rFonts w:ascii="Arial" w:hAnsi="Arial" w:cs="Arial"/>
          <w:sz w:val="24"/>
          <w:szCs w:val="24"/>
        </w:rPr>
      </w:pPr>
      <w:r>
        <w:rPr>
          <w:rFonts w:ascii="Arial" w:hAnsi="Arial" w:cs="Arial"/>
          <w:sz w:val="24"/>
          <w:szCs w:val="24"/>
        </w:rPr>
        <w:t>A fórmula do multiplicador bancário se dá por,</w:t>
      </w:r>
    </w:p>
    <w:p w:rsidR="006C3B59" w:rsidRDefault="00975AF0" w:rsidP="00885B1A">
      <w:pPr>
        <w:spacing w:after="0" w:line="360" w:lineRule="auto"/>
        <w:ind w:firstLine="708"/>
        <w:jc w:val="both"/>
        <w:rPr>
          <w:rFonts w:ascii="Arial" w:hAnsi="Arial" w:cs="Arial"/>
          <w:sz w:val="24"/>
          <w:szCs w:val="24"/>
        </w:rPr>
      </w:pPr>
      <m:oMath>
        <m:r>
          <w:rPr>
            <w:rFonts w:ascii="Cambria Math" w:hAnsi="Cambria Math" w:cs="Arial"/>
            <w:sz w:val="24"/>
            <w:szCs w:val="24"/>
          </w:rPr>
          <m:t>D=</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r</m:t>
            </m:r>
          </m:den>
        </m:f>
        <m:r>
          <w:rPr>
            <w:rFonts w:ascii="Cambria Math" w:hAnsi="Cambria Math" w:cs="Arial"/>
            <w:sz w:val="24"/>
            <w:szCs w:val="24"/>
          </w:rPr>
          <m:t>R,  0&lt;r&lt;1,</m:t>
        </m:r>
      </m:oMath>
      <w:r w:rsidR="00141D2E">
        <w:rPr>
          <w:rFonts w:ascii="Arial" w:hAnsi="Arial" w:cs="Arial"/>
          <w:sz w:val="24"/>
          <w:szCs w:val="24"/>
        </w:rPr>
        <w:t xml:space="preserve">  </w:t>
      </w:r>
      <w:r w:rsidR="00141D2E">
        <w:rPr>
          <w:rFonts w:ascii="Arial" w:hAnsi="Arial" w:cs="Arial"/>
          <w:sz w:val="24"/>
          <w:szCs w:val="24"/>
        </w:rPr>
        <w:tab/>
        <w:t>(1)</w:t>
      </w:r>
    </w:p>
    <w:p w:rsidR="00975AF0" w:rsidRDefault="00975AF0" w:rsidP="00885B1A">
      <w:pPr>
        <w:spacing w:after="0" w:line="360" w:lineRule="auto"/>
        <w:jc w:val="both"/>
        <w:rPr>
          <w:rFonts w:ascii="Arial" w:hAnsi="Arial" w:cs="Arial"/>
          <w:sz w:val="24"/>
          <w:szCs w:val="24"/>
        </w:rPr>
      </w:pPr>
      <w:proofErr w:type="gramStart"/>
      <w:r>
        <w:rPr>
          <w:rFonts w:ascii="Arial" w:hAnsi="Arial" w:cs="Arial"/>
          <w:sz w:val="24"/>
          <w:szCs w:val="24"/>
        </w:rPr>
        <w:t>em</w:t>
      </w:r>
      <w:proofErr w:type="gramEnd"/>
      <w:r>
        <w:rPr>
          <w:rFonts w:ascii="Arial" w:hAnsi="Arial" w:cs="Arial"/>
          <w:sz w:val="24"/>
          <w:szCs w:val="24"/>
        </w:rPr>
        <w:t xml:space="preserve"> que:</w:t>
      </w:r>
    </w:p>
    <w:p w:rsidR="00975AF0" w:rsidRDefault="00975AF0" w:rsidP="00885B1A">
      <w:pPr>
        <w:spacing w:after="0" w:line="240" w:lineRule="auto"/>
        <w:jc w:val="both"/>
        <w:rPr>
          <w:rFonts w:ascii="Arial" w:hAnsi="Arial" w:cs="Arial"/>
          <w:sz w:val="24"/>
          <w:szCs w:val="24"/>
        </w:rPr>
      </w:pPr>
      <w:r>
        <w:rPr>
          <w:rFonts w:ascii="Arial" w:hAnsi="Arial" w:cs="Arial"/>
          <w:sz w:val="24"/>
          <w:szCs w:val="24"/>
        </w:rPr>
        <w:t>D= volume de depósitos à vista</w:t>
      </w:r>
    </w:p>
    <w:p w:rsidR="00975AF0" w:rsidRDefault="00975AF0" w:rsidP="00885B1A">
      <w:pPr>
        <w:spacing w:after="0" w:line="240" w:lineRule="auto"/>
        <w:jc w:val="both"/>
        <w:rPr>
          <w:rFonts w:ascii="Arial" w:hAnsi="Arial" w:cs="Arial"/>
          <w:sz w:val="24"/>
          <w:szCs w:val="24"/>
        </w:rPr>
      </w:pPr>
      <w:r>
        <w:rPr>
          <w:rFonts w:ascii="Arial" w:hAnsi="Arial" w:cs="Arial"/>
          <w:sz w:val="24"/>
          <w:szCs w:val="24"/>
        </w:rPr>
        <w:t>R= reserva dos bancos</w:t>
      </w:r>
    </w:p>
    <w:p w:rsidR="00975AF0" w:rsidRDefault="00975AF0" w:rsidP="00885B1A">
      <w:pPr>
        <w:spacing w:after="0" w:line="240" w:lineRule="auto"/>
        <w:jc w:val="both"/>
        <w:rPr>
          <w:rFonts w:ascii="Arial" w:hAnsi="Arial" w:cs="Arial"/>
          <w:sz w:val="24"/>
          <w:szCs w:val="24"/>
        </w:rPr>
      </w:pPr>
      <w:r>
        <w:rPr>
          <w:rFonts w:ascii="Arial" w:hAnsi="Arial" w:cs="Arial"/>
          <w:sz w:val="24"/>
          <w:szCs w:val="24"/>
        </w:rPr>
        <w:t>r= taxa de reserva exigida pelas autoridades monetárias</w:t>
      </w:r>
    </w:p>
    <w:p w:rsidR="00975AF0" w:rsidRDefault="009E34DA" w:rsidP="00885B1A">
      <w:pPr>
        <w:spacing w:after="0" w:line="240" w:lineRule="auto"/>
        <w:jc w:val="both"/>
        <w:rPr>
          <w:rFonts w:ascii="Arial" w:hAnsi="Arial" w:cs="Arial"/>
          <w:sz w:val="24"/>
          <w:szCs w:val="24"/>
        </w:rPr>
      </w:pPr>
      <m:oMath>
        <m:f>
          <m:fPr>
            <m:ctrlPr>
              <w:rPr>
                <w:rFonts w:ascii="Cambria Math" w:hAnsi="Cambria Math" w:cs="Arial"/>
                <w:i/>
                <w:sz w:val="28"/>
                <w:szCs w:val="28"/>
              </w:rPr>
            </m:ctrlPr>
          </m:fPr>
          <m:num>
            <m:r>
              <w:rPr>
                <w:rFonts w:ascii="Cambria Math" w:hAnsi="Cambria Math" w:cs="Arial"/>
                <w:sz w:val="28"/>
                <w:szCs w:val="28"/>
              </w:rPr>
              <m:t>1</m:t>
            </m:r>
          </m:num>
          <m:den>
            <m:r>
              <w:rPr>
                <w:rFonts w:ascii="Cambria Math" w:hAnsi="Cambria Math" w:cs="Arial"/>
                <w:sz w:val="28"/>
                <w:szCs w:val="28"/>
              </w:rPr>
              <m:t>r</m:t>
            </m:r>
          </m:den>
        </m:f>
      </m:oMath>
      <w:r w:rsidR="00975AF0">
        <w:rPr>
          <w:rFonts w:ascii="Arial" w:hAnsi="Arial" w:cs="Arial"/>
          <w:sz w:val="24"/>
          <w:szCs w:val="24"/>
        </w:rPr>
        <w:t xml:space="preserve"> =multiplicador bancário</w:t>
      </w:r>
    </w:p>
    <w:p w:rsidR="00975AF0" w:rsidRDefault="00FC78B0" w:rsidP="00885B1A">
      <w:pPr>
        <w:spacing w:after="0" w:line="360" w:lineRule="auto"/>
        <w:ind w:firstLine="708"/>
        <w:jc w:val="both"/>
        <w:rPr>
          <w:rFonts w:ascii="Arial" w:hAnsi="Arial" w:cs="Arial"/>
          <w:sz w:val="24"/>
          <w:szCs w:val="24"/>
        </w:rPr>
      </w:pPr>
      <w:r>
        <w:rPr>
          <w:rFonts w:ascii="Arial" w:hAnsi="Arial" w:cs="Arial"/>
          <w:sz w:val="24"/>
          <w:szCs w:val="24"/>
        </w:rPr>
        <w:lastRenderedPageBreak/>
        <w:t>Através dessa equação depreende-se que os depósitos à vista são gerados pela variação no nível de reservas bancárias, e que quanto maior (menor) a taxa de reservas menor (maior)</w:t>
      </w:r>
      <w:r w:rsidR="009A1236">
        <w:rPr>
          <w:rFonts w:ascii="Arial" w:hAnsi="Arial" w:cs="Arial"/>
          <w:sz w:val="24"/>
          <w:szCs w:val="24"/>
        </w:rPr>
        <w:t xml:space="preserve"> será a criação (destruição) dos depósitos à vista, ou seja, o sistema bancário pode emprestar uma quantia múltipla das reservas, sujeito à manutenção de um nível estabelecido ou imposto pela autoridade </w:t>
      </w:r>
      <w:r w:rsidR="00142C68">
        <w:rPr>
          <w:rFonts w:ascii="Arial" w:hAnsi="Arial" w:cs="Arial"/>
          <w:sz w:val="24"/>
          <w:szCs w:val="24"/>
        </w:rPr>
        <w:t xml:space="preserve">monetária. </w:t>
      </w:r>
      <w:r w:rsidR="00EF6C85">
        <w:rPr>
          <w:rFonts w:ascii="Arial" w:hAnsi="Arial" w:cs="Arial"/>
          <w:sz w:val="24"/>
          <w:szCs w:val="24"/>
        </w:rPr>
        <w:t>(</w:t>
      </w:r>
      <w:r w:rsidR="009A1236">
        <w:rPr>
          <w:rFonts w:ascii="Arial" w:hAnsi="Arial" w:cs="Arial"/>
          <w:sz w:val="24"/>
          <w:szCs w:val="24"/>
        </w:rPr>
        <w:t>PAULA, 2014)</w:t>
      </w:r>
    </w:p>
    <w:p w:rsidR="006464D9" w:rsidRDefault="009A1236" w:rsidP="00885B1A">
      <w:pPr>
        <w:spacing w:after="0" w:line="360" w:lineRule="auto"/>
        <w:ind w:firstLine="708"/>
        <w:jc w:val="both"/>
        <w:rPr>
          <w:rFonts w:ascii="Arial" w:hAnsi="Arial" w:cs="Arial"/>
          <w:sz w:val="24"/>
          <w:szCs w:val="24"/>
        </w:rPr>
      </w:pPr>
      <w:r>
        <w:rPr>
          <w:rFonts w:ascii="Arial" w:hAnsi="Arial" w:cs="Arial"/>
          <w:sz w:val="24"/>
          <w:szCs w:val="24"/>
        </w:rPr>
        <w:t>Dessa forma, segundo os clássicos, os bancos comerciais funcionam de forma monopolista, em que</w:t>
      </w:r>
      <w:r w:rsidR="00AE29FE">
        <w:rPr>
          <w:rFonts w:ascii="Arial" w:hAnsi="Arial" w:cs="Arial"/>
          <w:sz w:val="24"/>
          <w:szCs w:val="24"/>
        </w:rPr>
        <w:t xml:space="preserve"> todo</w:t>
      </w:r>
      <w:r>
        <w:rPr>
          <w:rFonts w:ascii="Arial" w:hAnsi="Arial" w:cs="Arial"/>
          <w:sz w:val="24"/>
          <w:szCs w:val="24"/>
        </w:rPr>
        <w:t xml:space="preserve"> pagamento e recebimento são executados através deste banco, e todo</w:t>
      </w:r>
      <w:r w:rsidR="00AE29FE">
        <w:rPr>
          <w:rFonts w:ascii="Arial" w:hAnsi="Arial" w:cs="Arial"/>
          <w:sz w:val="24"/>
          <w:szCs w:val="24"/>
        </w:rPr>
        <w:t xml:space="preserve"> empréstimo concedido pelo banco volta de forma integral ao seu balanço na forma de depósitos. Assim, “o banco comercial pode criar moeda com um simples movimento em seus registros, por exemplo, através de uma mera penada de seu presidente aprovando a concessão de um empréstimo” (TOBIN</w:t>
      </w:r>
      <w:r w:rsidR="00457E10">
        <w:rPr>
          <w:rFonts w:ascii="Arial" w:hAnsi="Arial" w:cs="Arial"/>
          <w:sz w:val="24"/>
          <w:szCs w:val="24"/>
        </w:rPr>
        <w:t>, a</w:t>
      </w:r>
      <w:r w:rsidR="00AE29FE">
        <w:rPr>
          <w:rFonts w:ascii="Arial" w:hAnsi="Arial" w:cs="Arial"/>
          <w:sz w:val="24"/>
          <w:szCs w:val="24"/>
        </w:rPr>
        <w:t xml:space="preserve">pud PAULA, 1999, p. </w:t>
      </w:r>
      <w:r w:rsidR="000978A1">
        <w:rPr>
          <w:rFonts w:ascii="Arial" w:hAnsi="Arial" w:cs="Arial"/>
          <w:sz w:val="24"/>
          <w:szCs w:val="24"/>
        </w:rPr>
        <w:t>327</w:t>
      </w:r>
      <w:r w:rsidR="00AE29FE">
        <w:rPr>
          <w:rFonts w:ascii="Arial" w:hAnsi="Arial" w:cs="Arial"/>
          <w:sz w:val="24"/>
          <w:szCs w:val="24"/>
        </w:rPr>
        <w:t xml:space="preserve">). </w:t>
      </w:r>
      <w:proofErr w:type="spellStart"/>
      <w:r w:rsidR="00AE29FE">
        <w:rPr>
          <w:rFonts w:ascii="Arial" w:hAnsi="Arial" w:cs="Arial"/>
          <w:sz w:val="24"/>
          <w:szCs w:val="24"/>
        </w:rPr>
        <w:t>Gurley</w:t>
      </w:r>
      <w:proofErr w:type="spellEnd"/>
      <w:r w:rsidR="00AE29FE">
        <w:rPr>
          <w:rFonts w:ascii="Arial" w:hAnsi="Arial" w:cs="Arial"/>
          <w:sz w:val="24"/>
          <w:szCs w:val="24"/>
        </w:rPr>
        <w:t xml:space="preserve"> e Shaw, não concordam com o papel de destaque dos bancos comerciais, alegando que este é apenas mais um entre outros tantos intermediários financeiros e que sua capacidade de criar crédito está ligada aos fundos emprestáveis, ou seja, estritamente dependente dos agentes s</w:t>
      </w:r>
      <w:r w:rsidR="00897A63">
        <w:rPr>
          <w:rFonts w:ascii="Arial" w:hAnsi="Arial" w:cs="Arial"/>
          <w:sz w:val="24"/>
          <w:szCs w:val="24"/>
        </w:rPr>
        <w:t>uperavitários. (</w:t>
      </w:r>
      <w:proofErr w:type="gramStart"/>
      <w:r w:rsidR="00897A63">
        <w:rPr>
          <w:rFonts w:ascii="Arial" w:hAnsi="Arial" w:cs="Arial"/>
          <w:sz w:val="24"/>
          <w:szCs w:val="24"/>
        </w:rPr>
        <w:t>GUERREIRO,</w:t>
      </w:r>
      <w:proofErr w:type="gramEnd"/>
      <w:r w:rsidR="00897A63">
        <w:rPr>
          <w:rFonts w:ascii="Arial" w:hAnsi="Arial" w:cs="Arial"/>
          <w:sz w:val="24"/>
          <w:szCs w:val="24"/>
        </w:rPr>
        <w:t>2015)</w:t>
      </w:r>
    </w:p>
    <w:p w:rsidR="00375068" w:rsidRDefault="00375068" w:rsidP="00885B1A">
      <w:pPr>
        <w:spacing w:after="0" w:line="360" w:lineRule="auto"/>
        <w:jc w:val="both"/>
        <w:rPr>
          <w:rFonts w:ascii="Arial" w:hAnsi="Arial" w:cs="Arial"/>
          <w:sz w:val="24"/>
          <w:szCs w:val="24"/>
        </w:rPr>
      </w:pPr>
      <w:r>
        <w:rPr>
          <w:rFonts w:ascii="Arial" w:hAnsi="Arial" w:cs="Arial"/>
          <w:sz w:val="24"/>
          <w:szCs w:val="24"/>
        </w:rPr>
        <w:t>Dessa forma,</w:t>
      </w:r>
    </w:p>
    <w:p w:rsidR="00AE29FE" w:rsidRDefault="00AE29FE" w:rsidP="008F6BA3">
      <w:pPr>
        <w:spacing w:after="0" w:line="240" w:lineRule="auto"/>
        <w:ind w:left="2124"/>
        <w:jc w:val="both"/>
        <w:rPr>
          <w:rFonts w:ascii="Arial" w:hAnsi="Arial" w:cs="Arial"/>
          <w:sz w:val="20"/>
          <w:szCs w:val="20"/>
        </w:rPr>
      </w:pPr>
      <w:r w:rsidRPr="009B4FC1">
        <w:rPr>
          <w:rFonts w:ascii="Arial" w:hAnsi="Arial" w:cs="Arial"/>
          <w:sz w:val="20"/>
          <w:szCs w:val="20"/>
        </w:rPr>
        <w:t>...</w:t>
      </w:r>
      <w:proofErr w:type="gramStart"/>
      <w:r w:rsidRPr="009B4FC1">
        <w:rPr>
          <w:rFonts w:ascii="Arial" w:hAnsi="Arial" w:cs="Arial"/>
          <w:sz w:val="20"/>
          <w:szCs w:val="20"/>
        </w:rPr>
        <w:t>seu comportamento pouco afeta</w:t>
      </w:r>
      <w:proofErr w:type="gramEnd"/>
      <w:r w:rsidRPr="009B4FC1">
        <w:rPr>
          <w:rFonts w:ascii="Arial" w:hAnsi="Arial" w:cs="Arial"/>
          <w:sz w:val="20"/>
          <w:szCs w:val="20"/>
        </w:rPr>
        <w:t xml:space="preserve"> a determinação das condições de financiamento da economia. Os bancos comerciais funcionam, assim, apenas como uma correia de transmissão que intermedia a relação entre as autoridades monetárias e os agentes </w:t>
      </w:r>
      <w:proofErr w:type="gramStart"/>
      <w:r w:rsidRPr="009B4FC1">
        <w:rPr>
          <w:rFonts w:ascii="Arial" w:hAnsi="Arial" w:cs="Arial"/>
          <w:sz w:val="20"/>
          <w:szCs w:val="20"/>
        </w:rPr>
        <w:t>não-financeiros</w:t>
      </w:r>
      <w:proofErr w:type="gramEnd"/>
      <w:r w:rsidRPr="009B4FC1">
        <w:rPr>
          <w:rFonts w:ascii="Arial" w:hAnsi="Arial" w:cs="Arial"/>
          <w:sz w:val="20"/>
          <w:szCs w:val="20"/>
        </w:rPr>
        <w:t>.”</w:t>
      </w:r>
      <w:r>
        <w:rPr>
          <w:rFonts w:ascii="Arial" w:hAnsi="Arial" w:cs="Arial"/>
          <w:sz w:val="20"/>
          <w:szCs w:val="20"/>
        </w:rPr>
        <w:t xml:space="preserve"> (PAULA, 1999, p.32</w:t>
      </w:r>
      <w:r w:rsidR="000978A1">
        <w:rPr>
          <w:rFonts w:ascii="Arial" w:hAnsi="Arial" w:cs="Arial"/>
          <w:sz w:val="20"/>
          <w:szCs w:val="20"/>
        </w:rPr>
        <w:t>4</w:t>
      </w:r>
      <w:r w:rsidR="008F6BA3">
        <w:rPr>
          <w:rFonts w:ascii="Arial" w:hAnsi="Arial" w:cs="Arial"/>
          <w:sz w:val="20"/>
          <w:szCs w:val="20"/>
        </w:rPr>
        <w:t>)</w:t>
      </w:r>
    </w:p>
    <w:p w:rsidR="00346046" w:rsidRDefault="00EF6C85" w:rsidP="00885B1A">
      <w:pPr>
        <w:spacing w:after="0" w:line="240" w:lineRule="auto"/>
        <w:jc w:val="both"/>
        <w:rPr>
          <w:rFonts w:ascii="Arial" w:hAnsi="Arial" w:cs="Arial"/>
          <w:sz w:val="24"/>
          <w:szCs w:val="24"/>
        </w:rPr>
      </w:pPr>
      <w:r>
        <w:rPr>
          <w:rFonts w:ascii="Arial" w:hAnsi="Arial" w:cs="Arial"/>
          <w:sz w:val="24"/>
          <w:szCs w:val="24"/>
        </w:rPr>
        <w:tab/>
        <w:t>Ou seja, o papel de um</w:t>
      </w:r>
      <w:r w:rsidR="007314E5">
        <w:rPr>
          <w:rFonts w:ascii="Arial" w:hAnsi="Arial" w:cs="Arial"/>
          <w:sz w:val="24"/>
          <w:szCs w:val="24"/>
        </w:rPr>
        <w:t xml:space="preserve"> banco</w:t>
      </w:r>
      <w:r w:rsidR="00375068">
        <w:rPr>
          <w:rFonts w:ascii="Arial" w:hAnsi="Arial" w:cs="Arial"/>
          <w:sz w:val="24"/>
          <w:szCs w:val="24"/>
        </w:rPr>
        <w:t xml:space="preserve"> comercial é o de mero intermediador, neutro na economia.</w:t>
      </w:r>
    </w:p>
    <w:p w:rsidR="00346046" w:rsidRDefault="00346046" w:rsidP="00885B1A">
      <w:pPr>
        <w:spacing w:after="0" w:line="240" w:lineRule="auto"/>
        <w:jc w:val="both"/>
        <w:rPr>
          <w:rFonts w:ascii="Arial" w:hAnsi="Arial" w:cs="Arial"/>
          <w:sz w:val="24"/>
          <w:szCs w:val="24"/>
        </w:rPr>
      </w:pPr>
    </w:p>
    <w:p w:rsidR="00AE29FE" w:rsidRPr="00E86212" w:rsidRDefault="002B0138" w:rsidP="00885B1A">
      <w:pPr>
        <w:pStyle w:val="Ttulo3"/>
        <w:rPr>
          <w:i/>
        </w:rPr>
      </w:pPr>
      <w:bookmarkStart w:id="5" w:name="_Toc484350735"/>
      <w:r w:rsidRPr="00E86212">
        <w:rPr>
          <w:rStyle w:val="SubttuloChar"/>
          <w:rFonts w:eastAsiaTheme="majorEastAsia" w:cstheme="majorBidi"/>
          <w:b/>
          <w:i/>
          <w:spacing w:val="0"/>
        </w:rPr>
        <w:t>A “visão nova” de Tobin</w:t>
      </w:r>
      <w:bookmarkEnd w:id="5"/>
    </w:p>
    <w:p w:rsidR="00AE29FE" w:rsidRDefault="00AE29FE" w:rsidP="00885B1A">
      <w:pPr>
        <w:spacing w:after="0" w:line="360" w:lineRule="auto"/>
        <w:jc w:val="both"/>
        <w:rPr>
          <w:rFonts w:ascii="Arial" w:hAnsi="Arial" w:cs="Arial"/>
          <w:b/>
          <w:sz w:val="24"/>
          <w:szCs w:val="24"/>
        </w:rPr>
      </w:pP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Da mesma forma como </w:t>
      </w:r>
      <w:proofErr w:type="spellStart"/>
      <w:r>
        <w:rPr>
          <w:rFonts w:ascii="Arial" w:hAnsi="Arial" w:cs="Arial"/>
          <w:sz w:val="24"/>
          <w:szCs w:val="24"/>
        </w:rPr>
        <w:t>Gurley</w:t>
      </w:r>
      <w:proofErr w:type="spellEnd"/>
      <w:r>
        <w:rPr>
          <w:rFonts w:ascii="Arial" w:hAnsi="Arial" w:cs="Arial"/>
          <w:sz w:val="24"/>
          <w:szCs w:val="24"/>
        </w:rPr>
        <w:t xml:space="preserve"> e Shaw, Tobin é um critico da teoria do multiplicador bancário cujas características foram explicadas no tópico anterior. A esta teoria</w:t>
      </w:r>
      <w:r w:rsidR="003F2797">
        <w:rPr>
          <w:rFonts w:ascii="Arial" w:hAnsi="Arial" w:cs="Arial"/>
          <w:sz w:val="24"/>
          <w:szCs w:val="24"/>
        </w:rPr>
        <w:t>,</w:t>
      </w:r>
      <w:r>
        <w:rPr>
          <w:rFonts w:ascii="Arial" w:hAnsi="Arial" w:cs="Arial"/>
          <w:sz w:val="24"/>
          <w:szCs w:val="24"/>
        </w:rPr>
        <w:t xml:space="preserve"> Tobin denominou de “visão velha” do multiplicador bancário (PAULA, </w:t>
      </w:r>
      <w:r w:rsidR="000978A1">
        <w:rPr>
          <w:rFonts w:ascii="Arial" w:hAnsi="Arial" w:cs="Arial"/>
          <w:sz w:val="24"/>
          <w:szCs w:val="24"/>
        </w:rPr>
        <w:t>1999</w:t>
      </w:r>
      <w:r>
        <w:rPr>
          <w:rFonts w:ascii="Arial" w:hAnsi="Arial" w:cs="Arial"/>
          <w:sz w:val="24"/>
          <w:szCs w:val="24"/>
        </w:rPr>
        <w:t xml:space="preserve">). Tobin direciona algumas críticas à </w:t>
      </w:r>
      <w:r w:rsidR="00E87EF9">
        <w:rPr>
          <w:rFonts w:ascii="Arial" w:hAnsi="Arial" w:cs="Arial"/>
          <w:sz w:val="24"/>
          <w:szCs w:val="24"/>
        </w:rPr>
        <w:t>“visão velha” (GUERREIRO 2015). A</w:t>
      </w:r>
      <w:r>
        <w:rPr>
          <w:rFonts w:ascii="Arial" w:hAnsi="Arial" w:cs="Arial"/>
          <w:sz w:val="24"/>
          <w:szCs w:val="24"/>
        </w:rPr>
        <w:t xml:space="preserve"> primeira diz respeito ao fato desta visão tratar o conjunto dos bancos comercias como um único ente, um monopólio bancário. Dessa forma todo empréstimo concedido voltaria integralmente ao mesmo banco sob a forma de depósitos bancários. Neste ponto, ao se considerar um banco comercial de forma individual, </w:t>
      </w:r>
      <w:r>
        <w:rPr>
          <w:rFonts w:ascii="Arial" w:hAnsi="Arial" w:cs="Arial"/>
          <w:sz w:val="24"/>
          <w:szCs w:val="24"/>
        </w:rPr>
        <w:lastRenderedPageBreak/>
        <w:t xml:space="preserve">não se pode afirmar que os empréstimos concedidos retornem em sua integralidade ao balanço do mesmo banco, </w:t>
      </w:r>
    </w:p>
    <w:p w:rsidR="00AE29FE" w:rsidRPr="008F6BA3" w:rsidRDefault="00AE29FE" w:rsidP="008F6BA3">
      <w:pPr>
        <w:spacing w:after="0" w:line="240" w:lineRule="auto"/>
        <w:ind w:left="2124"/>
        <w:jc w:val="both"/>
        <w:rPr>
          <w:rFonts w:ascii="Arial" w:hAnsi="Arial" w:cs="Arial"/>
          <w:sz w:val="20"/>
          <w:szCs w:val="20"/>
        </w:rPr>
      </w:pPr>
      <w:proofErr w:type="gramStart"/>
      <w:r w:rsidRPr="00B14F1A">
        <w:rPr>
          <w:rFonts w:ascii="Arial" w:hAnsi="Arial" w:cs="Arial"/>
          <w:sz w:val="20"/>
          <w:szCs w:val="20"/>
        </w:rPr>
        <w:t>só</w:t>
      </w:r>
      <w:proofErr w:type="gramEnd"/>
      <w:r w:rsidRPr="00B14F1A">
        <w:rPr>
          <w:rFonts w:ascii="Arial" w:hAnsi="Arial" w:cs="Arial"/>
          <w:sz w:val="20"/>
          <w:szCs w:val="20"/>
        </w:rPr>
        <w:t xml:space="preserve"> uma parte dos recursos criados pelos empréstimos retornam sob a forma de depósitos bancários, sendo que a outra parte pode ser distribuída entre diferentes alternativas de aplicações existentes, oferecidas pelas instituições financeiras bancárias e não-bancária</w:t>
      </w:r>
      <w:r>
        <w:rPr>
          <w:rFonts w:ascii="Arial" w:hAnsi="Arial" w:cs="Arial"/>
          <w:sz w:val="20"/>
          <w:szCs w:val="20"/>
        </w:rPr>
        <w:t xml:space="preserve"> (PAULA, 1999, p.</w:t>
      </w:r>
      <w:r w:rsidR="000978A1">
        <w:rPr>
          <w:rFonts w:ascii="Arial" w:hAnsi="Arial" w:cs="Arial"/>
          <w:sz w:val="20"/>
          <w:szCs w:val="20"/>
        </w:rPr>
        <w:t>328</w:t>
      </w:r>
      <w:r>
        <w:rPr>
          <w:rFonts w:ascii="Arial" w:hAnsi="Arial" w:cs="Arial"/>
          <w:sz w:val="20"/>
          <w:szCs w:val="20"/>
        </w:rPr>
        <w:t>)</w:t>
      </w:r>
    </w:p>
    <w:p w:rsidR="00AE29FE" w:rsidRDefault="00AE29FE" w:rsidP="00885B1A">
      <w:pPr>
        <w:spacing w:after="0" w:line="360" w:lineRule="auto"/>
        <w:jc w:val="both"/>
        <w:rPr>
          <w:rFonts w:ascii="Arial" w:hAnsi="Arial" w:cs="Arial"/>
          <w:sz w:val="24"/>
          <w:szCs w:val="24"/>
        </w:rPr>
      </w:pPr>
      <w:r w:rsidRPr="00B14F1A">
        <w:rPr>
          <w:rFonts w:ascii="Arial" w:hAnsi="Arial" w:cs="Arial"/>
          <w:sz w:val="20"/>
          <w:szCs w:val="20"/>
        </w:rPr>
        <w:t xml:space="preserve"> </w:t>
      </w:r>
      <w:r>
        <w:rPr>
          <w:rFonts w:ascii="Arial" w:hAnsi="Arial" w:cs="Arial"/>
          <w:sz w:val="20"/>
          <w:szCs w:val="20"/>
        </w:rPr>
        <w:tab/>
      </w:r>
      <w:r>
        <w:rPr>
          <w:rFonts w:ascii="Arial" w:hAnsi="Arial" w:cs="Arial"/>
          <w:sz w:val="24"/>
          <w:szCs w:val="24"/>
        </w:rPr>
        <w:t>Outro ponto referente à determinação dos volumes de depósitos diz respeito ao fato dos bancos não estarem limitados por quaisquer quantidades dadas de reserva, uma vez que podem recorrer aos empréstimos do banco central, mercado interb</w:t>
      </w:r>
      <w:r w:rsidR="001723EF">
        <w:rPr>
          <w:rFonts w:ascii="Arial" w:hAnsi="Arial" w:cs="Arial"/>
          <w:sz w:val="24"/>
          <w:szCs w:val="24"/>
        </w:rPr>
        <w:t>ancário ou pela venda de ativos. A</w:t>
      </w:r>
      <w:r>
        <w:rPr>
          <w:rFonts w:ascii="Arial" w:hAnsi="Arial" w:cs="Arial"/>
          <w:sz w:val="24"/>
          <w:szCs w:val="24"/>
        </w:rPr>
        <w:t>lém disso, mesmo que a hipótese de um banco monopolista fosse crível</w:t>
      </w:r>
      <w:r w:rsidR="008F6BA3">
        <w:rPr>
          <w:rFonts w:ascii="Arial" w:hAnsi="Arial" w:cs="Arial"/>
          <w:sz w:val="24"/>
          <w:szCs w:val="24"/>
        </w:rPr>
        <w:t>,</w:t>
      </w:r>
      <w:r>
        <w:rPr>
          <w:rFonts w:ascii="Arial" w:hAnsi="Arial" w:cs="Arial"/>
          <w:sz w:val="24"/>
          <w:szCs w:val="24"/>
        </w:rPr>
        <w:t xml:space="preserve"> o mesmo poderia perder parte do fluxo de depósitos para eventuais fugas de capitais para o exterior e da quantidade de moeda que o públi</w:t>
      </w:r>
      <w:r w:rsidR="003F2797">
        <w:rPr>
          <w:rFonts w:ascii="Arial" w:hAnsi="Arial" w:cs="Arial"/>
          <w:sz w:val="24"/>
          <w:szCs w:val="24"/>
        </w:rPr>
        <w:t>co desejasse reter em seu poder</w:t>
      </w:r>
      <w:r>
        <w:rPr>
          <w:rFonts w:ascii="Arial" w:hAnsi="Arial" w:cs="Arial"/>
          <w:sz w:val="24"/>
          <w:szCs w:val="24"/>
        </w:rPr>
        <w:t xml:space="preserve"> (GUERREIRO, 2015). Importante ressaltar, que mesmo considerando o fato dos bancos não estarem limitados pelas quantidades de reserva, </w:t>
      </w:r>
      <w:r w:rsidR="001723EF">
        <w:rPr>
          <w:rFonts w:ascii="Arial" w:hAnsi="Arial" w:cs="Arial"/>
          <w:sz w:val="24"/>
          <w:szCs w:val="24"/>
        </w:rPr>
        <w:t xml:space="preserve">ou seja, os bancos podem criar moeda privada </w:t>
      </w:r>
      <w:r w:rsidR="006D7F83">
        <w:rPr>
          <w:rFonts w:ascii="Arial" w:hAnsi="Arial" w:cs="Arial"/>
          <w:sz w:val="24"/>
          <w:szCs w:val="24"/>
        </w:rPr>
        <w:t xml:space="preserve">sob a forma de depósitos à vista, </w:t>
      </w:r>
      <w:r>
        <w:rPr>
          <w:rFonts w:ascii="Arial" w:hAnsi="Arial" w:cs="Arial"/>
          <w:sz w:val="24"/>
          <w:szCs w:val="24"/>
        </w:rPr>
        <w:t>este ainda não é capaz de criar moeda, pois considera “a oferta de moeda como</w:t>
      </w:r>
      <w:r w:rsidR="001B7F3A">
        <w:rPr>
          <w:rFonts w:ascii="Arial" w:hAnsi="Arial" w:cs="Arial"/>
          <w:sz w:val="24"/>
          <w:szCs w:val="24"/>
        </w:rPr>
        <w:t xml:space="preserve"> determinada </w:t>
      </w:r>
      <w:proofErr w:type="spellStart"/>
      <w:r w:rsidR="001B7F3A">
        <w:rPr>
          <w:rFonts w:ascii="Arial" w:hAnsi="Arial" w:cs="Arial"/>
          <w:sz w:val="24"/>
          <w:szCs w:val="24"/>
        </w:rPr>
        <w:t>exogenamente</w:t>
      </w:r>
      <w:proofErr w:type="spellEnd"/>
      <w:r w:rsidR="001B7F3A">
        <w:rPr>
          <w:rFonts w:ascii="Arial" w:hAnsi="Arial" w:cs="Arial"/>
          <w:sz w:val="24"/>
          <w:szCs w:val="24"/>
        </w:rPr>
        <w:t xml:space="preserve"> pelo Banco C</w:t>
      </w:r>
      <w:r>
        <w:rPr>
          <w:rFonts w:ascii="Arial" w:hAnsi="Arial" w:cs="Arial"/>
          <w:sz w:val="24"/>
          <w:szCs w:val="24"/>
        </w:rPr>
        <w:t>entral, que administra a base monetária por meio de controles quantitativos” (GUERREIRO, 2015, p.16</w:t>
      </w:r>
      <w:proofErr w:type="gramStart"/>
      <w:r>
        <w:rPr>
          <w:rFonts w:ascii="Arial" w:hAnsi="Arial" w:cs="Arial"/>
          <w:sz w:val="24"/>
          <w:szCs w:val="24"/>
        </w:rPr>
        <w:t>)</w:t>
      </w:r>
      <w:proofErr w:type="gramEnd"/>
    </w:p>
    <w:p w:rsidR="00AE29FE" w:rsidRDefault="00AE29FE" w:rsidP="00885B1A">
      <w:pPr>
        <w:spacing w:after="0" w:line="360" w:lineRule="auto"/>
        <w:ind w:firstLine="708"/>
        <w:jc w:val="both"/>
        <w:rPr>
          <w:rFonts w:ascii="Arial" w:hAnsi="Arial" w:cs="Arial"/>
          <w:sz w:val="24"/>
          <w:szCs w:val="24"/>
        </w:rPr>
      </w:pPr>
      <w:proofErr w:type="gramStart"/>
      <w:r>
        <w:rPr>
          <w:rFonts w:ascii="Arial" w:hAnsi="Arial" w:cs="Arial"/>
          <w:sz w:val="24"/>
          <w:szCs w:val="24"/>
        </w:rPr>
        <w:t>Uma outra</w:t>
      </w:r>
      <w:proofErr w:type="gramEnd"/>
      <w:r>
        <w:rPr>
          <w:rFonts w:ascii="Arial" w:hAnsi="Arial" w:cs="Arial"/>
          <w:sz w:val="24"/>
          <w:szCs w:val="24"/>
        </w:rPr>
        <w:t xml:space="preserve"> crítica de suma importância diz respeito às preferências do público na determinação do volume dos depósitos à vista. Tobin citado por Guerreiro (2015, p.16), </w:t>
      </w:r>
    </w:p>
    <w:p w:rsidR="00AE29FE" w:rsidRPr="00E52F26" w:rsidRDefault="00AE29FE" w:rsidP="008F6BA3">
      <w:pPr>
        <w:spacing w:after="0" w:line="240" w:lineRule="auto"/>
        <w:ind w:left="2124"/>
        <w:jc w:val="both"/>
        <w:rPr>
          <w:rFonts w:ascii="Arial" w:hAnsi="Arial" w:cs="Arial"/>
          <w:sz w:val="20"/>
          <w:szCs w:val="20"/>
        </w:rPr>
      </w:pPr>
      <w:proofErr w:type="gramStart"/>
      <w:r w:rsidRPr="00E52F26">
        <w:rPr>
          <w:rFonts w:ascii="Arial" w:hAnsi="Arial" w:cs="Arial"/>
          <w:sz w:val="20"/>
          <w:szCs w:val="20"/>
        </w:rPr>
        <w:t>divide</w:t>
      </w:r>
      <w:proofErr w:type="gramEnd"/>
      <w:r w:rsidRPr="00E52F26">
        <w:rPr>
          <w:rFonts w:ascii="Arial" w:hAnsi="Arial" w:cs="Arial"/>
          <w:sz w:val="20"/>
          <w:szCs w:val="20"/>
        </w:rPr>
        <w:t xml:space="preserve"> o público entre tomadores e emprestadores de recursos, cada qual com as suas respectivas preferências de portfólio, com os primeiros desejando se endividar para adquirir novos ativos e os últimos desejando aplicar parte da sua riqueza em ativos com baixo risco de </w:t>
      </w:r>
      <w:r w:rsidRPr="00E52F26">
        <w:rPr>
          <w:rFonts w:ascii="Arial" w:hAnsi="Arial" w:cs="Arial"/>
          <w:i/>
          <w:sz w:val="20"/>
          <w:szCs w:val="20"/>
        </w:rPr>
        <w:t>default</w:t>
      </w:r>
      <w:r>
        <w:rPr>
          <w:rFonts w:ascii="Arial" w:hAnsi="Arial" w:cs="Arial"/>
          <w:i/>
          <w:sz w:val="20"/>
          <w:szCs w:val="20"/>
        </w:rPr>
        <w:t>.</w:t>
      </w:r>
      <w:r w:rsidRPr="00E52F26">
        <w:rPr>
          <w:rFonts w:ascii="Arial" w:hAnsi="Arial" w:cs="Arial"/>
          <w:sz w:val="20"/>
          <w:szCs w:val="20"/>
        </w:rPr>
        <w:t xml:space="preserve"> </w:t>
      </w:r>
    </w:p>
    <w:p w:rsidR="002338E7"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Para os bancos, os empréstimos concedidos aos tomadores são enquadrados como ativos enquanto seu passivo é constituído pelos ativos dos emprestadores de recursos. Dessa forma a essência da “visão nova” tem o propósito de, </w:t>
      </w:r>
    </w:p>
    <w:p w:rsidR="002338E7" w:rsidRPr="002338E7" w:rsidRDefault="00AE29FE" w:rsidP="008F6BA3">
      <w:pPr>
        <w:spacing w:after="0" w:line="240" w:lineRule="auto"/>
        <w:ind w:left="2124"/>
        <w:jc w:val="both"/>
        <w:rPr>
          <w:rFonts w:ascii="Arial" w:hAnsi="Arial" w:cs="Arial"/>
          <w:sz w:val="20"/>
          <w:szCs w:val="20"/>
        </w:rPr>
      </w:pPr>
      <w:proofErr w:type="gramStart"/>
      <w:r w:rsidRPr="002338E7">
        <w:rPr>
          <w:rFonts w:ascii="Arial" w:hAnsi="Arial" w:cs="Arial"/>
          <w:sz w:val="20"/>
          <w:szCs w:val="20"/>
        </w:rPr>
        <w:t>satisfazer</w:t>
      </w:r>
      <w:proofErr w:type="gramEnd"/>
      <w:r w:rsidRPr="002338E7">
        <w:rPr>
          <w:rFonts w:ascii="Arial" w:hAnsi="Arial" w:cs="Arial"/>
          <w:sz w:val="20"/>
          <w:szCs w:val="20"/>
        </w:rPr>
        <w:t xml:space="preserve"> simultaneamente as preferencias de portfólio de agentes econômicos deficitários e superavitários, ao mesmo tempo em que procuram maximizar a sua rentabilidade, por meio da administ</w:t>
      </w:r>
      <w:r w:rsidR="002338E7">
        <w:rPr>
          <w:rFonts w:ascii="Arial" w:hAnsi="Arial" w:cs="Arial"/>
          <w:sz w:val="20"/>
          <w:szCs w:val="20"/>
        </w:rPr>
        <w:t>ração de seus ativos e passivos</w:t>
      </w:r>
      <w:r w:rsidRPr="002338E7">
        <w:rPr>
          <w:rFonts w:ascii="Arial" w:hAnsi="Arial" w:cs="Arial"/>
          <w:sz w:val="20"/>
          <w:szCs w:val="20"/>
        </w:rPr>
        <w:t xml:space="preserve"> (GUERREIRO, 2015, p. 17).</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O equilíbrio competitivo do banco, portanto, se dá no ponto em que o tamanho do seu ativo está de acordo com o tamanho do seu passivo, ou, “no ponto em que a receita marginal dos ativos se igualasse ao custo marginal das obrigações” (PAULA, 1999, p.</w:t>
      </w:r>
      <w:r w:rsidR="002338E7">
        <w:rPr>
          <w:rFonts w:ascii="Arial" w:hAnsi="Arial" w:cs="Arial"/>
          <w:sz w:val="24"/>
          <w:szCs w:val="24"/>
        </w:rPr>
        <w:t>328</w:t>
      </w:r>
      <w:r>
        <w:rPr>
          <w:rFonts w:ascii="Arial" w:hAnsi="Arial" w:cs="Arial"/>
          <w:sz w:val="24"/>
          <w:szCs w:val="24"/>
        </w:rPr>
        <w:t xml:space="preserve">). </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Ao se levar em conta o objetivo do banco de equilíbrio competitivo, em conjunto com o pressuposto de que o passivo dos bancos depende da preferência do público, introduz-se uma nova forma de ver a firma bancária. Devido a incertezas </w:t>
      </w:r>
      <w:r>
        <w:rPr>
          <w:rFonts w:ascii="Arial" w:hAnsi="Arial" w:cs="Arial"/>
          <w:sz w:val="24"/>
          <w:szCs w:val="24"/>
        </w:rPr>
        <w:lastRenderedPageBreak/>
        <w:t>quanto ao lado do passivo, o banco está sujeito ao risco de ocorrência de uma redução súbita e inesperada do volume dos depósitos podendo gerar um problema de liquidez. Dessa forma, os b</w:t>
      </w:r>
      <w:r w:rsidR="00C93C6B">
        <w:rPr>
          <w:rFonts w:ascii="Arial" w:hAnsi="Arial" w:cs="Arial"/>
          <w:sz w:val="24"/>
          <w:szCs w:val="24"/>
        </w:rPr>
        <w:t>ancos sob a “visão nova” buscam não apenas serem</w:t>
      </w:r>
      <w:r>
        <w:rPr>
          <w:rFonts w:ascii="Arial" w:hAnsi="Arial" w:cs="Arial"/>
          <w:sz w:val="24"/>
          <w:szCs w:val="24"/>
        </w:rPr>
        <w:t xml:space="preserve"> intermediário</w:t>
      </w:r>
      <w:r w:rsidR="001B7F3A">
        <w:rPr>
          <w:rFonts w:ascii="Arial" w:hAnsi="Arial" w:cs="Arial"/>
          <w:sz w:val="24"/>
          <w:szCs w:val="24"/>
        </w:rPr>
        <w:t>s</w:t>
      </w:r>
      <w:r>
        <w:rPr>
          <w:rFonts w:ascii="Arial" w:hAnsi="Arial" w:cs="Arial"/>
          <w:sz w:val="24"/>
          <w:szCs w:val="24"/>
        </w:rPr>
        <w:t xml:space="preserve"> entre agentes superavitários e deficitários,</w:t>
      </w:r>
      <w:r w:rsidR="00C93C6B">
        <w:rPr>
          <w:rFonts w:ascii="Arial" w:hAnsi="Arial" w:cs="Arial"/>
          <w:sz w:val="24"/>
          <w:szCs w:val="24"/>
        </w:rPr>
        <w:t xml:space="preserve"> mas também</w:t>
      </w:r>
      <w:r>
        <w:rPr>
          <w:rFonts w:ascii="Arial" w:hAnsi="Arial" w:cs="Arial"/>
          <w:sz w:val="24"/>
          <w:szCs w:val="24"/>
        </w:rPr>
        <w:t xml:space="preserve"> um modo de adequar</w:t>
      </w:r>
      <w:r w:rsidR="001B7F3A">
        <w:rPr>
          <w:rFonts w:ascii="Arial" w:hAnsi="Arial" w:cs="Arial"/>
          <w:sz w:val="24"/>
          <w:szCs w:val="24"/>
        </w:rPr>
        <w:t>em</w:t>
      </w:r>
      <w:r>
        <w:rPr>
          <w:rFonts w:ascii="Arial" w:hAnsi="Arial" w:cs="Arial"/>
          <w:sz w:val="24"/>
          <w:szCs w:val="24"/>
        </w:rPr>
        <w:t xml:space="preserve"> seu ativo de acordo com a incerteza gerada pelo lado do passivo. </w:t>
      </w:r>
    </w:p>
    <w:p w:rsidR="00AE29FE" w:rsidRDefault="00A6477C" w:rsidP="00885B1A">
      <w:pPr>
        <w:spacing w:after="0" w:line="360" w:lineRule="auto"/>
        <w:ind w:firstLine="708"/>
        <w:jc w:val="both"/>
        <w:rPr>
          <w:rFonts w:ascii="Arial" w:hAnsi="Arial" w:cs="Arial"/>
          <w:sz w:val="24"/>
          <w:szCs w:val="24"/>
        </w:rPr>
      </w:pPr>
      <w:r>
        <w:rPr>
          <w:rFonts w:ascii="Arial" w:hAnsi="Arial" w:cs="Arial"/>
          <w:sz w:val="24"/>
          <w:szCs w:val="24"/>
        </w:rPr>
        <w:t>Portanto</w:t>
      </w:r>
      <w:r w:rsidR="00AE29FE">
        <w:rPr>
          <w:rFonts w:ascii="Arial" w:hAnsi="Arial" w:cs="Arial"/>
          <w:sz w:val="24"/>
          <w:szCs w:val="24"/>
        </w:rPr>
        <w:t>, cabe aos bancos escolher entre “um conjunto de ativos rentáveis e com baixa liquidez (empréstimos e investimentos) e outro conjunto de ativos com baixa rentabilidade e alta liquidez (ativos defensivos)” (OREIRO, 2005, p.102). Nesse cenário, o banco estaria disposto a manter ativos menos rentáveis em seu balanço com o intuito de se proteger contra as incertezas.</w:t>
      </w:r>
    </w:p>
    <w:p w:rsidR="00F94F7F" w:rsidRDefault="007E7066" w:rsidP="00885B1A">
      <w:pPr>
        <w:spacing w:after="0" w:line="360" w:lineRule="auto"/>
        <w:ind w:firstLine="708"/>
        <w:jc w:val="both"/>
        <w:rPr>
          <w:rFonts w:ascii="Arial" w:hAnsi="Arial" w:cs="Arial"/>
          <w:sz w:val="24"/>
          <w:szCs w:val="24"/>
        </w:rPr>
      </w:pPr>
      <w:r>
        <w:rPr>
          <w:rFonts w:ascii="Arial" w:hAnsi="Arial" w:cs="Arial"/>
          <w:sz w:val="24"/>
          <w:szCs w:val="24"/>
        </w:rPr>
        <w:t>Por fim, depreende-se que o setor bancário, sob a ótica da “visão nova”, não é um determinante da atividade econômica dado que sua atitude é de simplesmente ajustar-se passivamente as condições estruturais promovidas em outro lugar, ou seja, seu balanço é resultado direto das decisões tomadas por outros agentes, sendo os valores</w:t>
      </w:r>
      <w:r w:rsidR="001B7F3A">
        <w:rPr>
          <w:rFonts w:ascii="Arial" w:hAnsi="Arial" w:cs="Arial"/>
          <w:sz w:val="24"/>
          <w:szCs w:val="24"/>
        </w:rPr>
        <w:t xml:space="preserve">, </w:t>
      </w:r>
      <w:r>
        <w:rPr>
          <w:rFonts w:ascii="Arial" w:hAnsi="Arial" w:cs="Arial"/>
          <w:sz w:val="24"/>
          <w:szCs w:val="24"/>
        </w:rPr>
        <w:t>principalmente pelo lado do passivo</w:t>
      </w:r>
      <w:r w:rsidR="001B7F3A">
        <w:rPr>
          <w:rFonts w:ascii="Arial" w:hAnsi="Arial" w:cs="Arial"/>
          <w:sz w:val="24"/>
          <w:szCs w:val="24"/>
        </w:rPr>
        <w:t>,</w:t>
      </w:r>
      <w:r>
        <w:rPr>
          <w:rFonts w:ascii="Arial" w:hAnsi="Arial" w:cs="Arial"/>
          <w:sz w:val="24"/>
          <w:szCs w:val="24"/>
        </w:rPr>
        <w:t xml:space="preserve"> determinados externamente, evidenciando assim, uma falta de preferência por par</w:t>
      </w:r>
      <w:r w:rsidR="00B43CF6">
        <w:rPr>
          <w:rFonts w:ascii="Arial" w:hAnsi="Arial" w:cs="Arial"/>
          <w:sz w:val="24"/>
          <w:szCs w:val="24"/>
        </w:rPr>
        <w:t>te dos bancos. (DE PAULA, 2014)</w:t>
      </w:r>
    </w:p>
    <w:p w:rsidR="00B43CF6" w:rsidRDefault="00B43CF6" w:rsidP="00885B1A">
      <w:pPr>
        <w:spacing w:after="0" w:line="360" w:lineRule="auto"/>
        <w:ind w:firstLine="708"/>
        <w:jc w:val="both"/>
        <w:rPr>
          <w:rFonts w:ascii="Arial" w:hAnsi="Arial" w:cs="Arial"/>
          <w:sz w:val="24"/>
          <w:szCs w:val="24"/>
        </w:rPr>
      </w:pPr>
    </w:p>
    <w:p w:rsidR="00AE29FE" w:rsidRPr="007806BF" w:rsidRDefault="002B0138" w:rsidP="00885B1A">
      <w:pPr>
        <w:pStyle w:val="Ttulo3"/>
        <w:rPr>
          <w:rFonts w:cs="Arial"/>
        </w:rPr>
      </w:pPr>
      <w:bookmarkStart w:id="6" w:name="_Toc484350736"/>
      <w:r w:rsidRPr="007806BF">
        <w:rPr>
          <w:rStyle w:val="SubttuloChar"/>
          <w:b/>
          <w:i/>
        </w:rPr>
        <w:t>Visão pós-</w:t>
      </w:r>
      <w:proofErr w:type="spellStart"/>
      <w:r w:rsidRPr="007806BF">
        <w:rPr>
          <w:rStyle w:val="SubttuloChar"/>
          <w:b/>
          <w:i/>
        </w:rPr>
        <w:t>keynesiana</w:t>
      </w:r>
      <w:bookmarkEnd w:id="6"/>
      <w:proofErr w:type="spellEnd"/>
    </w:p>
    <w:p w:rsidR="00AE29FE" w:rsidRDefault="00AE29FE" w:rsidP="00885B1A">
      <w:pPr>
        <w:spacing w:after="0" w:line="360" w:lineRule="auto"/>
        <w:jc w:val="both"/>
        <w:rPr>
          <w:rFonts w:ascii="Arial" w:hAnsi="Arial" w:cs="Arial"/>
          <w:sz w:val="24"/>
          <w:szCs w:val="24"/>
        </w:rPr>
      </w:pP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Para a compreensão da visão pós-</w:t>
      </w:r>
      <w:proofErr w:type="spellStart"/>
      <w:r>
        <w:rPr>
          <w:rFonts w:ascii="Arial" w:hAnsi="Arial" w:cs="Arial"/>
          <w:sz w:val="24"/>
          <w:szCs w:val="24"/>
        </w:rPr>
        <w:t>keynesiana</w:t>
      </w:r>
      <w:proofErr w:type="spellEnd"/>
      <w:r>
        <w:rPr>
          <w:rFonts w:ascii="Arial" w:hAnsi="Arial" w:cs="Arial"/>
          <w:sz w:val="24"/>
          <w:szCs w:val="24"/>
        </w:rPr>
        <w:t xml:space="preserve"> da firma bancária é preciso ter em mente alguns conceitos vistos anteriormente, ou, conceitos de economia monetária</w:t>
      </w:r>
      <w:r w:rsidR="001B7F3A">
        <w:rPr>
          <w:rFonts w:ascii="Arial" w:hAnsi="Arial" w:cs="Arial"/>
          <w:sz w:val="24"/>
          <w:szCs w:val="24"/>
        </w:rPr>
        <w:t>,</w:t>
      </w:r>
      <w:r>
        <w:rPr>
          <w:rFonts w:ascii="Arial" w:hAnsi="Arial" w:cs="Arial"/>
          <w:sz w:val="24"/>
          <w:szCs w:val="24"/>
        </w:rPr>
        <w:t xml:space="preserve"> cujas principais características residem na incerteza quanto ao futuro, que envolve o processo de tomada de decisões, além da não neutralidade da moeda</w:t>
      </w:r>
      <w:r w:rsidR="001B7F3A">
        <w:rPr>
          <w:rFonts w:ascii="Arial" w:hAnsi="Arial" w:cs="Arial"/>
          <w:sz w:val="24"/>
          <w:szCs w:val="24"/>
        </w:rPr>
        <w:t>,</w:t>
      </w:r>
      <w:r>
        <w:rPr>
          <w:rFonts w:ascii="Arial" w:hAnsi="Arial" w:cs="Arial"/>
          <w:sz w:val="24"/>
          <w:szCs w:val="24"/>
        </w:rPr>
        <w:t xml:space="preserve"> que passa de um mero meio de troca a um ativo que transporta riqueza no tempo. Tais preceitos afetam os motivos e decisões dos diversos agentes de uma economia através da preferência pela liquidez que, como consequência, influencia as decisões quanto ao investimento, afetando assim a renda, produto e o emprego agregado. (GUERREIRO, 2015)</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Os bancos, como qualquer outra firma capitalista, buscam a valorização de seu capital em um ambiente de incertezas, tomam decisões de investimento baseadas na preferência pela liquidez, direcionando seu portfólio de acordo com suas expectativas quanto ao futuro. Dessa forma</w:t>
      </w:r>
      <w:r w:rsidR="00C93C6B">
        <w:rPr>
          <w:rFonts w:ascii="Arial" w:hAnsi="Arial" w:cs="Arial"/>
          <w:sz w:val="24"/>
          <w:szCs w:val="24"/>
        </w:rPr>
        <w:t>,</w:t>
      </w:r>
      <w:r>
        <w:rPr>
          <w:rFonts w:ascii="Arial" w:hAnsi="Arial" w:cs="Arial"/>
          <w:sz w:val="24"/>
          <w:szCs w:val="24"/>
        </w:rPr>
        <w:t xml:space="preserve"> os bancos não são “apenas intermediários passivos de recursos, são criadores de créditos, na existência ou não </w:t>
      </w:r>
      <w:r>
        <w:rPr>
          <w:rFonts w:ascii="Arial" w:hAnsi="Arial" w:cs="Arial"/>
          <w:sz w:val="24"/>
          <w:szCs w:val="24"/>
        </w:rPr>
        <w:lastRenderedPageBreak/>
        <w:t>de depósitos prévios, em virtude da criação da moeda bancária”. (FRAGA, 2009, p.156).</w:t>
      </w:r>
    </w:p>
    <w:p w:rsidR="007E0DE2" w:rsidRDefault="00C94BDD" w:rsidP="00885B1A">
      <w:pPr>
        <w:spacing w:after="0" w:line="360" w:lineRule="auto"/>
        <w:ind w:firstLine="708"/>
        <w:jc w:val="both"/>
        <w:rPr>
          <w:rFonts w:ascii="Arial" w:hAnsi="Arial" w:cs="Arial"/>
          <w:sz w:val="24"/>
          <w:szCs w:val="24"/>
        </w:rPr>
      </w:pPr>
      <w:r>
        <w:rPr>
          <w:rFonts w:ascii="Arial" w:hAnsi="Arial" w:cs="Arial"/>
          <w:sz w:val="24"/>
          <w:szCs w:val="24"/>
        </w:rPr>
        <w:t>Cabe aos bancos</w:t>
      </w:r>
      <w:r w:rsidR="00EE02E4">
        <w:rPr>
          <w:rFonts w:ascii="Arial" w:hAnsi="Arial" w:cs="Arial"/>
          <w:sz w:val="24"/>
          <w:szCs w:val="24"/>
        </w:rPr>
        <w:t>, então,</w:t>
      </w:r>
      <w:r>
        <w:rPr>
          <w:rFonts w:ascii="Arial" w:hAnsi="Arial" w:cs="Arial"/>
          <w:sz w:val="24"/>
          <w:szCs w:val="24"/>
        </w:rPr>
        <w:t xml:space="preserve"> enfrentar uma escolha básica entre realizar compromissos via cessão de crédito ou preservar a flexibilidade de forma a </w:t>
      </w:r>
      <w:r w:rsidRPr="007E0DE2">
        <w:rPr>
          <w:rFonts w:ascii="Arial" w:hAnsi="Arial" w:cs="Arial"/>
          <w:sz w:val="24"/>
          <w:szCs w:val="24"/>
        </w:rPr>
        <w:t xml:space="preserve">privilegiar a liquidez de seu ativo. A concessão de crédito por parte do banco </w:t>
      </w:r>
      <w:r w:rsidR="007E0DE2" w:rsidRPr="007E0DE2">
        <w:rPr>
          <w:rFonts w:ascii="Arial" w:hAnsi="Arial" w:cs="Arial"/>
          <w:sz w:val="24"/>
          <w:szCs w:val="24"/>
        </w:rPr>
        <w:t>leva em conta além da capacidade de gerar caixa por parte do tomador – fluxo de moeda que seria suficiente par</w:t>
      </w:r>
      <w:r w:rsidR="00CD474B">
        <w:rPr>
          <w:rFonts w:ascii="Arial" w:hAnsi="Arial" w:cs="Arial"/>
          <w:sz w:val="24"/>
          <w:szCs w:val="24"/>
        </w:rPr>
        <w:t>a atender seus compromissos</w:t>
      </w:r>
      <w:r w:rsidR="007E0DE2" w:rsidRPr="007E0DE2">
        <w:rPr>
          <w:rFonts w:ascii="Arial" w:hAnsi="Arial" w:cs="Arial"/>
          <w:sz w:val="24"/>
          <w:szCs w:val="24"/>
        </w:rPr>
        <w:t>, a capacidade de manutenção do valor dos colaterais – títulos reais, promissórias que são dadas em garantia em um empréstimo. Em suma, a variação do desejo de se conceder crédito gira em torno dessas duas possibilidades, projeto de investimento e valor do colateral. (PAULA, 2014)</w:t>
      </w:r>
    </w:p>
    <w:p w:rsidR="00C94BDD" w:rsidRDefault="00A15D67" w:rsidP="00885B1A">
      <w:pPr>
        <w:spacing w:after="0" w:line="360" w:lineRule="auto"/>
        <w:ind w:firstLine="708"/>
        <w:jc w:val="both"/>
        <w:rPr>
          <w:rFonts w:ascii="Arial" w:hAnsi="Arial" w:cs="Arial"/>
          <w:sz w:val="24"/>
          <w:szCs w:val="24"/>
        </w:rPr>
      </w:pPr>
      <w:r>
        <w:rPr>
          <w:rFonts w:ascii="Arial" w:hAnsi="Arial" w:cs="Arial"/>
          <w:sz w:val="24"/>
          <w:szCs w:val="24"/>
        </w:rPr>
        <w:t>A volatilidade dessas expectativas, acrescida da preferência pela liquidez dos bancos</w:t>
      </w:r>
      <w:r w:rsidR="00EB486A">
        <w:rPr>
          <w:rFonts w:ascii="Arial" w:hAnsi="Arial" w:cs="Arial"/>
          <w:sz w:val="24"/>
          <w:szCs w:val="24"/>
        </w:rPr>
        <w:t>,</w:t>
      </w:r>
      <w:r>
        <w:rPr>
          <w:rFonts w:ascii="Arial" w:hAnsi="Arial" w:cs="Arial"/>
          <w:sz w:val="24"/>
          <w:szCs w:val="24"/>
        </w:rPr>
        <w:t xml:space="preserve"> acarretam </w:t>
      </w:r>
      <w:r w:rsidR="001B7F3A">
        <w:rPr>
          <w:rFonts w:ascii="Arial" w:hAnsi="Arial" w:cs="Arial"/>
          <w:sz w:val="24"/>
          <w:szCs w:val="24"/>
        </w:rPr>
        <w:t>flutuações na oferta de crédito</w:t>
      </w:r>
      <w:r>
        <w:rPr>
          <w:rFonts w:ascii="Arial" w:hAnsi="Arial" w:cs="Arial"/>
          <w:sz w:val="24"/>
          <w:szCs w:val="24"/>
        </w:rPr>
        <w:t xml:space="preserve"> e</w:t>
      </w:r>
      <w:r w:rsidR="001B7F3A">
        <w:rPr>
          <w:rFonts w:ascii="Arial" w:hAnsi="Arial" w:cs="Arial"/>
          <w:sz w:val="24"/>
          <w:szCs w:val="24"/>
        </w:rPr>
        <w:t>,</w:t>
      </w:r>
      <w:r>
        <w:rPr>
          <w:rFonts w:ascii="Arial" w:hAnsi="Arial" w:cs="Arial"/>
          <w:sz w:val="24"/>
          <w:szCs w:val="24"/>
        </w:rPr>
        <w:t xml:space="preserve"> consequentemente</w:t>
      </w:r>
      <w:r w:rsidR="001B7F3A">
        <w:rPr>
          <w:rFonts w:ascii="Arial" w:hAnsi="Arial" w:cs="Arial"/>
          <w:sz w:val="24"/>
          <w:szCs w:val="24"/>
        </w:rPr>
        <w:t>,</w:t>
      </w:r>
      <w:r>
        <w:rPr>
          <w:rFonts w:ascii="Arial" w:hAnsi="Arial" w:cs="Arial"/>
          <w:sz w:val="24"/>
          <w:szCs w:val="24"/>
        </w:rPr>
        <w:t xml:space="preserve"> no nível de produto e renda da economia, ou como reforça MINSKY, </w:t>
      </w:r>
      <w:r w:rsidR="001B7F3A">
        <w:rPr>
          <w:rFonts w:ascii="Arial" w:hAnsi="Arial" w:cs="Arial"/>
          <w:sz w:val="24"/>
          <w:szCs w:val="24"/>
        </w:rPr>
        <w:t>citado por</w:t>
      </w:r>
      <w:r w:rsidR="00AC0D52">
        <w:rPr>
          <w:rFonts w:ascii="Arial" w:hAnsi="Arial" w:cs="Arial"/>
          <w:sz w:val="24"/>
          <w:szCs w:val="24"/>
        </w:rPr>
        <w:t xml:space="preserve"> </w:t>
      </w:r>
      <w:r>
        <w:rPr>
          <w:rFonts w:ascii="Arial" w:hAnsi="Arial" w:cs="Arial"/>
          <w:sz w:val="24"/>
          <w:szCs w:val="24"/>
        </w:rPr>
        <w:t xml:space="preserve">PAULA, </w:t>
      </w:r>
      <w:r w:rsidR="00B36909">
        <w:rPr>
          <w:rFonts w:ascii="Arial" w:hAnsi="Arial" w:cs="Arial"/>
          <w:sz w:val="24"/>
          <w:szCs w:val="24"/>
        </w:rPr>
        <w:t>(</w:t>
      </w:r>
      <w:r>
        <w:rPr>
          <w:rFonts w:ascii="Arial" w:hAnsi="Arial" w:cs="Arial"/>
          <w:sz w:val="24"/>
          <w:szCs w:val="24"/>
        </w:rPr>
        <w:t>2014, p</w:t>
      </w:r>
      <w:r w:rsidR="00B36909">
        <w:rPr>
          <w:rFonts w:ascii="Arial" w:hAnsi="Arial" w:cs="Arial"/>
          <w:sz w:val="24"/>
          <w:szCs w:val="24"/>
        </w:rPr>
        <w:t>.</w:t>
      </w:r>
      <w:r>
        <w:rPr>
          <w:rFonts w:ascii="Arial" w:hAnsi="Arial" w:cs="Arial"/>
          <w:sz w:val="24"/>
          <w:szCs w:val="24"/>
        </w:rPr>
        <w:t>26</w:t>
      </w:r>
      <w:r w:rsidR="00B36909">
        <w:rPr>
          <w:rFonts w:ascii="Arial" w:hAnsi="Arial" w:cs="Arial"/>
          <w:sz w:val="24"/>
          <w:szCs w:val="24"/>
        </w:rPr>
        <w:t>)</w:t>
      </w:r>
      <w:r>
        <w:rPr>
          <w:rFonts w:ascii="Arial" w:hAnsi="Arial" w:cs="Arial"/>
          <w:sz w:val="24"/>
          <w:szCs w:val="24"/>
        </w:rPr>
        <w:t xml:space="preserve">, “este ativismo do banqueiro afeta não apenas o volume e distribuição do financiamento, mas também </w:t>
      </w:r>
      <w:r w:rsidR="00D77B8B">
        <w:rPr>
          <w:rFonts w:ascii="Arial" w:hAnsi="Arial" w:cs="Arial"/>
          <w:sz w:val="24"/>
          <w:szCs w:val="24"/>
        </w:rPr>
        <w:t>o comportamento cíclico dos preços, da renda e do emprego”.</w:t>
      </w:r>
    </w:p>
    <w:p w:rsidR="00E12375" w:rsidRDefault="00E12375" w:rsidP="00885B1A">
      <w:pPr>
        <w:spacing w:after="0" w:line="360" w:lineRule="auto"/>
        <w:ind w:firstLine="708"/>
        <w:jc w:val="both"/>
        <w:rPr>
          <w:rFonts w:ascii="Arial" w:hAnsi="Arial" w:cs="Arial"/>
          <w:sz w:val="24"/>
          <w:szCs w:val="24"/>
        </w:rPr>
      </w:pPr>
      <w:r>
        <w:rPr>
          <w:rFonts w:ascii="Arial" w:hAnsi="Arial" w:cs="Arial"/>
          <w:sz w:val="24"/>
          <w:szCs w:val="24"/>
        </w:rPr>
        <w:t xml:space="preserve">A firma bancária, como qualquer outro agente econômico opera </w:t>
      </w:r>
      <w:proofErr w:type="gramStart"/>
      <w:r>
        <w:rPr>
          <w:rFonts w:ascii="Arial" w:hAnsi="Arial" w:cs="Arial"/>
          <w:sz w:val="24"/>
          <w:szCs w:val="24"/>
        </w:rPr>
        <w:t>sob restrições</w:t>
      </w:r>
      <w:proofErr w:type="gramEnd"/>
      <w:r>
        <w:rPr>
          <w:rFonts w:ascii="Arial" w:hAnsi="Arial" w:cs="Arial"/>
          <w:sz w:val="24"/>
          <w:szCs w:val="24"/>
        </w:rPr>
        <w:t xml:space="preserve"> </w:t>
      </w:r>
      <w:r w:rsidR="007E0DE2">
        <w:rPr>
          <w:rFonts w:ascii="Arial" w:hAnsi="Arial" w:cs="Arial"/>
          <w:sz w:val="24"/>
          <w:szCs w:val="24"/>
        </w:rPr>
        <w:t>e incertezas inerente a todos, à</w:t>
      </w:r>
      <w:r>
        <w:rPr>
          <w:rFonts w:ascii="Arial" w:hAnsi="Arial" w:cs="Arial"/>
          <w:sz w:val="24"/>
          <w:szCs w:val="24"/>
        </w:rPr>
        <w:t>s vezes até maiores devido sua atividade de cunho especulativo, ou melhor, de transformador</w:t>
      </w:r>
      <w:r w:rsidR="007E0DE2">
        <w:rPr>
          <w:rFonts w:ascii="Arial" w:hAnsi="Arial" w:cs="Arial"/>
          <w:sz w:val="24"/>
          <w:szCs w:val="24"/>
        </w:rPr>
        <w:t>a</w:t>
      </w:r>
      <w:r>
        <w:rPr>
          <w:rFonts w:ascii="Arial" w:hAnsi="Arial" w:cs="Arial"/>
          <w:sz w:val="24"/>
          <w:szCs w:val="24"/>
        </w:rPr>
        <w:t xml:space="preserve"> de maturidades. A incerteza, no que tange a formação de expectativas </w:t>
      </w:r>
      <w:r w:rsidR="00AC0D52">
        <w:rPr>
          <w:rFonts w:ascii="Arial" w:hAnsi="Arial" w:cs="Arial"/>
          <w:sz w:val="24"/>
          <w:szCs w:val="24"/>
        </w:rPr>
        <w:t>e tomada de decisões, tem papel crucial, pois, “o banco deve tomar uma posição ativa com retorno estocástico, como deve financiar esta posição com uma base de pass</w:t>
      </w:r>
      <w:r w:rsidR="000420C1">
        <w:rPr>
          <w:rFonts w:ascii="Arial" w:hAnsi="Arial" w:cs="Arial"/>
          <w:sz w:val="24"/>
          <w:szCs w:val="24"/>
        </w:rPr>
        <w:t>ivo de composição incerta”. (</w:t>
      </w:r>
      <w:r w:rsidR="00AC0D52">
        <w:rPr>
          <w:rFonts w:ascii="Arial" w:hAnsi="Arial" w:cs="Arial"/>
          <w:sz w:val="24"/>
          <w:szCs w:val="24"/>
        </w:rPr>
        <w:t xml:space="preserve">PAULA, 2014, p.27) </w:t>
      </w:r>
    </w:p>
    <w:p w:rsidR="00D076E1" w:rsidRDefault="00BA5491" w:rsidP="00885B1A">
      <w:pPr>
        <w:spacing w:after="0" w:line="360" w:lineRule="auto"/>
        <w:ind w:firstLine="708"/>
        <w:jc w:val="both"/>
        <w:rPr>
          <w:rFonts w:ascii="Arial" w:hAnsi="Arial" w:cs="Arial"/>
          <w:sz w:val="24"/>
          <w:szCs w:val="24"/>
        </w:rPr>
      </w:pPr>
      <w:r>
        <w:rPr>
          <w:rFonts w:ascii="Arial" w:hAnsi="Arial" w:cs="Arial"/>
          <w:sz w:val="24"/>
          <w:szCs w:val="24"/>
        </w:rPr>
        <w:t>Conforme dito anteriormente, os bancos buscam conciliar lucratividade com sua preferência pela liquidez</w:t>
      </w:r>
      <w:r w:rsidR="00FD1FBC">
        <w:rPr>
          <w:rFonts w:ascii="Arial" w:hAnsi="Arial" w:cs="Arial"/>
          <w:sz w:val="24"/>
          <w:szCs w:val="24"/>
        </w:rPr>
        <w:t xml:space="preserve">, e, dessa forma, a composição do seu ativo é norteada por esses princípios. Mas, diferentemente da </w:t>
      </w:r>
      <w:r w:rsidR="00AE29FE">
        <w:rPr>
          <w:rFonts w:ascii="Arial" w:hAnsi="Arial" w:cs="Arial"/>
          <w:sz w:val="24"/>
          <w:szCs w:val="24"/>
        </w:rPr>
        <w:t xml:space="preserve">dicotomia proposta pela “visão nova” </w:t>
      </w:r>
      <w:r w:rsidR="00FD1FBC">
        <w:rPr>
          <w:rFonts w:ascii="Arial" w:hAnsi="Arial" w:cs="Arial"/>
          <w:sz w:val="24"/>
          <w:szCs w:val="24"/>
        </w:rPr>
        <w:t xml:space="preserve">da firma bancária </w:t>
      </w:r>
      <w:r w:rsidR="00AE29FE">
        <w:rPr>
          <w:rFonts w:ascii="Arial" w:hAnsi="Arial" w:cs="Arial"/>
          <w:sz w:val="24"/>
          <w:szCs w:val="24"/>
        </w:rPr>
        <w:t>entre ativos líquidos versus ilíquidos</w:t>
      </w:r>
      <w:r w:rsidR="00FD1FBC">
        <w:rPr>
          <w:rFonts w:ascii="Arial" w:hAnsi="Arial" w:cs="Arial"/>
          <w:sz w:val="24"/>
          <w:szCs w:val="24"/>
        </w:rPr>
        <w:t>, os pós-</w:t>
      </w:r>
      <w:proofErr w:type="spellStart"/>
      <w:r w:rsidR="00FD1FBC">
        <w:rPr>
          <w:rFonts w:ascii="Arial" w:hAnsi="Arial" w:cs="Arial"/>
          <w:sz w:val="24"/>
          <w:szCs w:val="24"/>
        </w:rPr>
        <w:t>keynesianos</w:t>
      </w:r>
      <w:proofErr w:type="spellEnd"/>
      <w:r w:rsidR="00FD1FBC">
        <w:rPr>
          <w:rFonts w:ascii="Arial" w:hAnsi="Arial" w:cs="Arial"/>
          <w:sz w:val="24"/>
          <w:szCs w:val="24"/>
        </w:rPr>
        <w:t xml:space="preserve"> não consideram essa divisão</w:t>
      </w:r>
      <w:r w:rsidR="00AE29FE">
        <w:rPr>
          <w:rFonts w:ascii="Arial" w:hAnsi="Arial" w:cs="Arial"/>
          <w:sz w:val="24"/>
          <w:szCs w:val="24"/>
        </w:rPr>
        <w:t xml:space="preserve"> satisfatória (OREIRO, 2005). Não se trata apenas de compensar a acumulação de ativos pagantes mais ilíquidos pela retenção de ativos completamente líquidos que não ofereçam qualquer remuneração, mas sim de graus de liquidez associados aos diversos tipos de ativos ao alcance dos bancos. </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lastRenderedPageBreak/>
        <w:t>Estas escolhas variam de acordo com o grau de incerteza</w:t>
      </w:r>
      <w:r w:rsidR="000B179C">
        <w:rPr>
          <w:rFonts w:ascii="Arial" w:hAnsi="Arial" w:cs="Arial"/>
          <w:sz w:val="24"/>
          <w:szCs w:val="24"/>
        </w:rPr>
        <w:t xml:space="preserve"> quanto ao futuro</w:t>
      </w:r>
      <w:r w:rsidR="00142C68">
        <w:rPr>
          <w:rFonts w:ascii="Arial" w:hAnsi="Arial" w:cs="Arial"/>
          <w:sz w:val="24"/>
          <w:szCs w:val="24"/>
        </w:rPr>
        <w:t xml:space="preserve"> sentido pelos banqueiros.</w:t>
      </w:r>
      <w:r w:rsidR="00B32766">
        <w:rPr>
          <w:rFonts w:ascii="Arial" w:hAnsi="Arial" w:cs="Arial"/>
          <w:sz w:val="24"/>
          <w:szCs w:val="24"/>
        </w:rPr>
        <w:t xml:space="preserve"> Keynes citado por</w:t>
      </w:r>
      <w:r w:rsidR="0021606E">
        <w:rPr>
          <w:rFonts w:ascii="Arial" w:hAnsi="Arial" w:cs="Arial"/>
          <w:sz w:val="24"/>
          <w:szCs w:val="24"/>
        </w:rPr>
        <w:t xml:space="preserve"> </w:t>
      </w:r>
      <w:r>
        <w:rPr>
          <w:rFonts w:ascii="Arial" w:hAnsi="Arial" w:cs="Arial"/>
          <w:sz w:val="24"/>
          <w:szCs w:val="24"/>
        </w:rPr>
        <w:t xml:space="preserve">Paula </w:t>
      </w:r>
      <w:r w:rsidR="00B36909">
        <w:rPr>
          <w:rFonts w:ascii="Arial" w:hAnsi="Arial" w:cs="Arial"/>
          <w:sz w:val="24"/>
          <w:szCs w:val="24"/>
        </w:rPr>
        <w:t xml:space="preserve">e </w:t>
      </w:r>
      <w:proofErr w:type="spellStart"/>
      <w:r w:rsidR="00B36909">
        <w:rPr>
          <w:rFonts w:ascii="Arial" w:hAnsi="Arial" w:cs="Arial"/>
          <w:sz w:val="24"/>
          <w:szCs w:val="24"/>
        </w:rPr>
        <w:t>Oreiro</w:t>
      </w:r>
      <w:proofErr w:type="spellEnd"/>
      <w:r>
        <w:rPr>
          <w:rFonts w:ascii="Arial" w:hAnsi="Arial" w:cs="Arial"/>
          <w:sz w:val="24"/>
          <w:szCs w:val="24"/>
        </w:rPr>
        <w:t xml:space="preserve"> (200</w:t>
      </w:r>
      <w:r w:rsidR="0021606E">
        <w:rPr>
          <w:rFonts w:ascii="Arial" w:hAnsi="Arial" w:cs="Arial"/>
          <w:sz w:val="24"/>
          <w:szCs w:val="24"/>
        </w:rPr>
        <w:t>8</w:t>
      </w:r>
      <w:r>
        <w:rPr>
          <w:rFonts w:ascii="Arial" w:hAnsi="Arial" w:cs="Arial"/>
          <w:sz w:val="24"/>
          <w:szCs w:val="24"/>
        </w:rPr>
        <w:t>, p. 13)</w:t>
      </w:r>
      <w:r w:rsidR="00D145AF">
        <w:rPr>
          <w:rFonts w:ascii="Arial" w:hAnsi="Arial" w:cs="Arial"/>
          <w:sz w:val="24"/>
          <w:szCs w:val="24"/>
        </w:rPr>
        <w:t xml:space="preserve"> diz que,</w:t>
      </w:r>
      <w:r>
        <w:rPr>
          <w:rFonts w:ascii="Arial" w:hAnsi="Arial" w:cs="Arial"/>
          <w:sz w:val="24"/>
          <w:szCs w:val="24"/>
        </w:rPr>
        <w:t xml:space="preserve"> </w:t>
      </w:r>
    </w:p>
    <w:p w:rsidR="00D076E1" w:rsidRPr="00DA3EA8" w:rsidRDefault="00AE29FE" w:rsidP="00CD474B">
      <w:pPr>
        <w:spacing w:after="0" w:line="240" w:lineRule="auto"/>
        <w:ind w:left="2124"/>
        <w:jc w:val="both"/>
        <w:rPr>
          <w:rFonts w:ascii="Arial" w:hAnsi="Arial" w:cs="Arial"/>
          <w:sz w:val="20"/>
          <w:szCs w:val="20"/>
        </w:rPr>
      </w:pPr>
      <w:proofErr w:type="gramStart"/>
      <w:r w:rsidRPr="00DA3EA8">
        <w:rPr>
          <w:rFonts w:ascii="Arial" w:hAnsi="Arial" w:cs="Arial"/>
          <w:sz w:val="20"/>
          <w:szCs w:val="20"/>
        </w:rPr>
        <w:t>quando</w:t>
      </w:r>
      <w:proofErr w:type="gramEnd"/>
      <w:r w:rsidRPr="00DA3EA8">
        <w:rPr>
          <w:rFonts w:ascii="Arial" w:hAnsi="Arial" w:cs="Arial"/>
          <w:sz w:val="20"/>
          <w:szCs w:val="20"/>
        </w:rPr>
        <w:t>, por exemplo, [os banqueiros] sentem que um movimento especulativo ou um boom de comercio pode estar chegando a uma fase perigosa, eles examinam mais criticamente a segurança por trás de seus ativos menos líquidos e tentam se mover, até onde podem, para uma posição mais liquida</w:t>
      </w:r>
    </w:p>
    <w:p w:rsidR="00FD1FBC" w:rsidRDefault="00D145AF" w:rsidP="00885B1A">
      <w:pPr>
        <w:spacing w:after="0" w:line="360" w:lineRule="auto"/>
        <w:ind w:firstLine="708"/>
        <w:jc w:val="both"/>
        <w:rPr>
          <w:rFonts w:ascii="Arial" w:hAnsi="Arial" w:cs="Arial"/>
          <w:sz w:val="24"/>
          <w:szCs w:val="24"/>
        </w:rPr>
      </w:pPr>
      <w:r>
        <w:rPr>
          <w:rFonts w:ascii="Arial" w:hAnsi="Arial" w:cs="Arial"/>
          <w:sz w:val="24"/>
          <w:szCs w:val="24"/>
        </w:rPr>
        <w:tab/>
        <w:t>Quando as expectativas são desaponta</w:t>
      </w:r>
      <w:r w:rsidR="00B32766">
        <w:rPr>
          <w:rFonts w:ascii="Arial" w:hAnsi="Arial" w:cs="Arial"/>
          <w:sz w:val="24"/>
          <w:szCs w:val="24"/>
        </w:rPr>
        <w:t>das, o banco tende a reduzir seu</w:t>
      </w:r>
      <w:r>
        <w:rPr>
          <w:rFonts w:ascii="Arial" w:hAnsi="Arial" w:cs="Arial"/>
          <w:sz w:val="24"/>
          <w:szCs w:val="24"/>
        </w:rPr>
        <w:t xml:space="preserve"> grau de transformação de maturidade</w:t>
      </w:r>
      <w:r w:rsidR="00B32766">
        <w:rPr>
          <w:rFonts w:ascii="Arial" w:hAnsi="Arial" w:cs="Arial"/>
          <w:sz w:val="24"/>
          <w:szCs w:val="24"/>
        </w:rPr>
        <w:t>,</w:t>
      </w:r>
      <w:r>
        <w:rPr>
          <w:rFonts w:ascii="Arial" w:hAnsi="Arial" w:cs="Arial"/>
          <w:sz w:val="24"/>
          <w:szCs w:val="24"/>
        </w:rPr>
        <w:t xml:space="preserve"> </w:t>
      </w:r>
      <w:r w:rsidR="00031B1F">
        <w:rPr>
          <w:rFonts w:ascii="Arial" w:hAnsi="Arial" w:cs="Arial"/>
          <w:sz w:val="24"/>
          <w:szCs w:val="24"/>
        </w:rPr>
        <w:t>passand</w:t>
      </w:r>
      <w:r w:rsidR="00142C68">
        <w:rPr>
          <w:rFonts w:ascii="Arial" w:hAnsi="Arial" w:cs="Arial"/>
          <w:sz w:val="24"/>
          <w:szCs w:val="24"/>
        </w:rPr>
        <w:t>o</w:t>
      </w:r>
      <w:r w:rsidR="00031B1F">
        <w:rPr>
          <w:rFonts w:ascii="Arial" w:hAnsi="Arial" w:cs="Arial"/>
          <w:sz w:val="24"/>
          <w:szCs w:val="24"/>
        </w:rPr>
        <w:t xml:space="preserve"> </w:t>
      </w:r>
      <w:r w:rsidR="00A31F62">
        <w:rPr>
          <w:rFonts w:ascii="Arial" w:hAnsi="Arial" w:cs="Arial"/>
          <w:sz w:val="24"/>
          <w:szCs w:val="24"/>
        </w:rPr>
        <w:t>assim a privilegiar o “amor ao dinheiro” (BELUZZO,</w:t>
      </w:r>
      <w:r w:rsidR="001663AF">
        <w:rPr>
          <w:rFonts w:ascii="Arial" w:hAnsi="Arial" w:cs="Arial"/>
          <w:sz w:val="24"/>
          <w:szCs w:val="24"/>
        </w:rPr>
        <w:t xml:space="preserve"> </w:t>
      </w:r>
      <w:r w:rsidR="00A31F62">
        <w:rPr>
          <w:rFonts w:ascii="Arial" w:hAnsi="Arial" w:cs="Arial"/>
          <w:sz w:val="24"/>
          <w:szCs w:val="24"/>
        </w:rPr>
        <w:t>201</w:t>
      </w:r>
      <w:r w:rsidR="001663AF">
        <w:rPr>
          <w:rFonts w:ascii="Arial" w:hAnsi="Arial" w:cs="Arial"/>
          <w:sz w:val="24"/>
          <w:szCs w:val="24"/>
        </w:rPr>
        <w:t>6</w:t>
      </w:r>
      <w:r w:rsidR="00A31F62">
        <w:rPr>
          <w:rFonts w:ascii="Arial" w:hAnsi="Arial" w:cs="Arial"/>
          <w:sz w:val="24"/>
          <w:szCs w:val="24"/>
        </w:rPr>
        <w:t xml:space="preserve">), ou seja, a liquidez. De modo geral, quando a avaliação futura do banco quanto ao retorno dos empréstimos, </w:t>
      </w:r>
      <w:r w:rsidR="00142C68">
        <w:rPr>
          <w:rFonts w:ascii="Arial" w:hAnsi="Arial" w:cs="Arial"/>
          <w:sz w:val="24"/>
          <w:szCs w:val="24"/>
        </w:rPr>
        <w:t>valor dos colaterais exigidos, e da per</w:t>
      </w:r>
      <w:r w:rsidR="00B32766">
        <w:rPr>
          <w:rFonts w:ascii="Arial" w:hAnsi="Arial" w:cs="Arial"/>
          <w:sz w:val="24"/>
          <w:szCs w:val="24"/>
        </w:rPr>
        <w:t>spectiva da taxa de juros futura</w:t>
      </w:r>
      <w:r w:rsidR="00142C68">
        <w:rPr>
          <w:rFonts w:ascii="Arial" w:hAnsi="Arial" w:cs="Arial"/>
          <w:sz w:val="24"/>
          <w:szCs w:val="24"/>
        </w:rPr>
        <w:t xml:space="preserve"> passa</w:t>
      </w:r>
      <w:r w:rsidR="00A31F62">
        <w:rPr>
          <w:rFonts w:ascii="Arial" w:hAnsi="Arial" w:cs="Arial"/>
          <w:sz w:val="24"/>
          <w:szCs w:val="24"/>
        </w:rPr>
        <w:t xml:space="preserve"> a ser </w:t>
      </w:r>
      <w:r w:rsidR="00142C68">
        <w:rPr>
          <w:rFonts w:ascii="Arial" w:hAnsi="Arial" w:cs="Arial"/>
          <w:sz w:val="24"/>
          <w:szCs w:val="24"/>
        </w:rPr>
        <w:t>desfavorável, a composição dos ativos bancários</w:t>
      </w:r>
      <w:r w:rsidR="00A31F62">
        <w:rPr>
          <w:rFonts w:ascii="Arial" w:hAnsi="Arial" w:cs="Arial"/>
          <w:sz w:val="24"/>
          <w:szCs w:val="24"/>
        </w:rPr>
        <w:t xml:space="preserve"> </w:t>
      </w:r>
      <w:r w:rsidR="0014080D">
        <w:rPr>
          <w:rFonts w:ascii="Arial" w:hAnsi="Arial" w:cs="Arial"/>
          <w:sz w:val="24"/>
          <w:szCs w:val="24"/>
        </w:rPr>
        <w:t>tendem a privilegiar a liquidez</w:t>
      </w:r>
      <w:r w:rsidR="00B32766">
        <w:rPr>
          <w:rFonts w:ascii="Arial" w:hAnsi="Arial" w:cs="Arial"/>
          <w:sz w:val="24"/>
          <w:szCs w:val="24"/>
        </w:rPr>
        <w:t>,</w:t>
      </w:r>
      <w:r w:rsidR="0014080D">
        <w:rPr>
          <w:rFonts w:ascii="Arial" w:hAnsi="Arial" w:cs="Arial"/>
          <w:sz w:val="24"/>
          <w:szCs w:val="24"/>
        </w:rPr>
        <w:t xml:space="preserve"> já que a manutenção de ativos líquidos possibilita aos bancos manter um </w:t>
      </w:r>
      <w:proofErr w:type="gramStart"/>
      <w:r w:rsidR="0014080D">
        <w:rPr>
          <w:rFonts w:ascii="Arial" w:hAnsi="Arial" w:cs="Arial"/>
          <w:sz w:val="24"/>
          <w:szCs w:val="24"/>
        </w:rPr>
        <w:t>leque de opções</w:t>
      </w:r>
      <w:proofErr w:type="gramEnd"/>
      <w:r w:rsidR="0014080D">
        <w:rPr>
          <w:rFonts w:ascii="Arial" w:hAnsi="Arial" w:cs="Arial"/>
          <w:sz w:val="24"/>
          <w:szCs w:val="24"/>
        </w:rPr>
        <w:t>, pois, além de proteção, a liquidez proporciona a possibilidade de se especular no futuro.</w:t>
      </w:r>
      <w:r w:rsidR="00D076E1">
        <w:rPr>
          <w:rFonts w:ascii="Arial" w:hAnsi="Arial" w:cs="Arial"/>
          <w:sz w:val="24"/>
          <w:szCs w:val="24"/>
        </w:rPr>
        <w:t xml:space="preserve"> (</w:t>
      </w:r>
      <w:r w:rsidR="0014080D">
        <w:rPr>
          <w:rFonts w:ascii="Arial" w:hAnsi="Arial" w:cs="Arial"/>
          <w:sz w:val="24"/>
          <w:szCs w:val="24"/>
        </w:rPr>
        <w:t>PAULA 2014)</w:t>
      </w:r>
    </w:p>
    <w:p w:rsidR="00256AFB" w:rsidRDefault="00AE29FE" w:rsidP="00885B1A">
      <w:pPr>
        <w:spacing w:after="0" w:line="360" w:lineRule="auto"/>
        <w:ind w:firstLine="708"/>
        <w:jc w:val="both"/>
        <w:rPr>
          <w:rFonts w:ascii="Arial" w:hAnsi="Arial" w:cs="Arial"/>
          <w:sz w:val="24"/>
          <w:szCs w:val="24"/>
        </w:rPr>
      </w:pPr>
      <w:r>
        <w:rPr>
          <w:rFonts w:ascii="Arial" w:hAnsi="Arial" w:cs="Arial"/>
          <w:sz w:val="24"/>
          <w:szCs w:val="24"/>
        </w:rPr>
        <w:t>Partindo-se da incerteza gerada pelo passivo bancário (depósitos à vista), cabe ao banco escolher a composição de seu ativo para gerar renda o suficiente para suprir os saques de seus depositantes. Depreende-se então que “o poder de disposição de um ativo se torna sua mais importante qualidade” (PAULA</w:t>
      </w:r>
      <w:r w:rsidR="002338E7">
        <w:rPr>
          <w:rFonts w:ascii="Arial" w:hAnsi="Arial" w:cs="Arial"/>
          <w:sz w:val="24"/>
          <w:szCs w:val="24"/>
        </w:rPr>
        <w:t>; OREIRO</w:t>
      </w:r>
      <w:r>
        <w:rPr>
          <w:rFonts w:ascii="Arial" w:hAnsi="Arial" w:cs="Arial"/>
          <w:sz w:val="24"/>
          <w:szCs w:val="24"/>
        </w:rPr>
        <w:t>, 200</w:t>
      </w:r>
      <w:r w:rsidR="0021606E">
        <w:rPr>
          <w:rFonts w:ascii="Arial" w:hAnsi="Arial" w:cs="Arial"/>
          <w:sz w:val="24"/>
          <w:szCs w:val="24"/>
        </w:rPr>
        <w:t>8</w:t>
      </w:r>
      <w:r>
        <w:rPr>
          <w:rFonts w:ascii="Arial" w:hAnsi="Arial" w:cs="Arial"/>
          <w:sz w:val="24"/>
          <w:szCs w:val="24"/>
        </w:rPr>
        <w:t>, p.14) e dessa forma, o valor de um ativo sob o olhar de um banqueiro dependerá da composição de seu passivo. Se seu passivo possuir apenas depósitos à vista, ou seja, um grande grau de incerteza</w:t>
      </w:r>
      <w:r w:rsidR="00B32766">
        <w:rPr>
          <w:rFonts w:ascii="Arial" w:hAnsi="Arial" w:cs="Arial"/>
          <w:sz w:val="24"/>
          <w:szCs w:val="24"/>
        </w:rPr>
        <w:t>,</w:t>
      </w:r>
      <w:r>
        <w:rPr>
          <w:rFonts w:ascii="Arial" w:hAnsi="Arial" w:cs="Arial"/>
          <w:sz w:val="24"/>
          <w:szCs w:val="24"/>
        </w:rPr>
        <w:t xml:space="preserve"> dado que estes possuem grande imprevisibili</w:t>
      </w:r>
      <w:r w:rsidR="00B32766">
        <w:rPr>
          <w:rFonts w:ascii="Arial" w:hAnsi="Arial" w:cs="Arial"/>
          <w:sz w:val="24"/>
          <w:szCs w:val="24"/>
        </w:rPr>
        <w:t>dade sobre suas retiradas, o prê</w:t>
      </w:r>
      <w:r>
        <w:rPr>
          <w:rFonts w:ascii="Arial" w:hAnsi="Arial" w:cs="Arial"/>
          <w:sz w:val="24"/>
          <w:szCs w:val="24"/>
        </w:rPr>
        <w:t>mio pago a</w:t>
      </w:r>
      <w:r w:rsidR="0014080D">
        <w:rPr>
          <w:rFonts w:ascii="Arial" w:hAnsi="Arial" w:cs="Arial"/>
          <w:sz w:val="24"/>
          <w:szCs w:val="24"/>
        </w:rPr>
        <w:t>os</w:t>
      </w:r>
      <w:r>
        <w:rPr>
          <w:rFonts w:ascii="Arial" w:hAnsi="Arial" w:cs="Arial"/>
          <w:sz w:val="24"/>
          <w:szCs w:val="24"/>
        </w:rPr>
        <w:t xml:space="preserve"> ativos de maior liquidez será maior. </w:t>
      </w:r>
    </w:p>
    <w:p w:rsidR="00AE29FE" w:rsidRDefault="004B381E" w:rsidP="00885B1A">
      <w:pPr>
        <w:spacing w:after="0" w:line="360" w:lineRule="auto"/>
        <w:ind w:firstLine="708"/>
        <w:jc w:val="both"/>
        <w:rPr>
          <w:rFonts w:ascii="Arial" w:hAnsi="Arial" w:cs="Arial"/>
          <w:sz w:val="24"/>
          <w:szCs w:val="24"/>
        </w:rPr>
      </w:pPr>
      <w:r>
        <w:rPr>
          <w:rFonts w:ascii="Arial" w:hAnsi="Arial" w:cs="Arial"/>
          <w:sz w:val="24"/>
          <w:szCs w:val="24"/>
        </w:rPr>
        <w:t>Em momentos de euforia na economia, pressupõe-se, de forma geral, o surgimento de projetos de investimentos mais rentáveis, além de uma menor possibilidade de desvalorização dos colaterais, o que leva a uma aceitação maior por parte dos bancos no que se refere à cessão de crédito</w:t>
      </w:r>
      <w:r w:rsidR="00F752CE">
        <w:rPr>
          <w:rFonts w:ascii="Arial" w:hAnsi="Arial" w:cs="Arial"/>
          <w:sz w:val="24"/>
          <w:szCs w:val="24"/>
        </w:rPr>
        <w:t xml:space="preserve"> –</w:t>
      </w:r>
      <w:r w:rsidR="00BE36A6">
        <w:rPr>
          <w:rFonts w:ascii="Arial" w:hAnsi="Arial" w:cs="Arial"/>
          <w:sz w:val="24"/>
          <w:szCs w:val="24"/>
        </w:rPr>
        <w:t xml:space="preserve"> </w:t>
      </w:r>
      <w:r w:rsidR="00695090">
        <w:rPr>
          <w:rFonts w:ascii="Arial" w:hAnsi="Arial" w:cs="Arial"/>
          <w:sz w:val="24"/>
          <w:szCs w:val="24"/>
        </w:rPr>
        <w:t>menor preferência pela liquidez</w:t>
      </w:r>
      <w:r>
        <w:rPr>
          <w:rFonts w:ascii="Arial" w:hAnsi="Arial" w:cs="Arial"/>
          <w:sz w:val="24"/>
          <w:szCs w:val="24"/>
        </w:rPr>
        <w:t xml:space="preserve"> em outras palavras</w:t>
      </w:r>
      <w:r w:rsidR="00695090">
        <w:rPr>
          <w:rFonts w:ascii="Arial" w:hAnsi="Arial" w:cs="Arial"/>
          <w:sz w:val="24"/>
          <w:szCs w:val="24"/>
        </w:rPr>
        <w:t>.</w:t>
      </w:r>
      <w:r>
        <w:rPr>
          <w:rFonts w:ascii="Arial" w:hAnsi="Arial" w:cs="Arial"/>
          <w:sz w:val="24"/>
          <w:szCs w:val="24"/>
        </w:rPr>
        <w:t xml:space="preserve"> </w:t>
      </w:r>
      <w:r w:rsidR="00695090">
        <w:rPr>
          <w:rFonts w:ascii="Arial" w:hAnsi="Arial" w:cs="Arial"/>
          <w:sz w:val="24"/>
          <w:szCs w:val="24"/>
        </w:rPr>
        <w:t>E</w:t>
      </w:r>
      <w:r w:rsidR="003D1456">
        <w:rPr>
          <w:rFonts w:ascii="Arial" w:hAnsi="Arial" w:cs="Arial"/>
          <w:sz w:val="24"/>
          <w:szCs w:val="24"/>
        </w:rPr>
        <w:t>m momentos de euforia “a oferta de crédito por parte do sistema bancário é normalmente elástica o suficiente para satisfazer a demanda por crédito d</w:t>
      </w:r>
      <w:r w:rsidR="00323BAE">
        <w:rPr>
          <w:rFonts w:ascii="Arial" w:hAnsi="Arial" w:cs="Arial"/>
          <w:sz w:val="24"/>
          <w:szCs w:val="24"/>
        </w:rPr>
        <w:t>os agentes não financeiros” (</w:t>
      </w:r>
      <w:r w:rsidR="003D1456">
        <w:rPr>
          <w:rFonts w:ascii="Arial" w:hAnsi="Arial" w:cs="Arial"/>
          <w:sz w:val="24"/>
          <w:szCs w:val="24"/>
        </w:rPr>
        <w:t xml:space="preserve">PAULA, 2014, p.38). Já em momentos de queda na economia, em geral, os retornos dos projetos passam a apresentar perspectivas mais </w:t>
      </w:r>
      <w:r w:rsidR="00D20194">
        <w:rPr>
          <w:rFonts w:ascii="Arial" w:hAnsi="Arial" w:cs="Arial"/>
          <w:sz w:val="24"/>
          <w:szCs w:val="24"/>
        </w:rPr>
        <w:t>nebulosas, juntamente com os valores dos colaterais. Dessa forma,</w:t>
      </w:r>
      <w:r w:rsidR="00F752CE">
        <w:rPr>
          <w:rFonts w:ascii="Arial" w:hAnsi="Arial" w:cs="Arial"/>
          <w:sz w:val="24"/>
          <w:szCs w:val="24"/>
        </w:rPr>
        <w:t xml:space="preserve"> após um espaço de tempo, os bancos começam a modificar a liquidez contida em seu ativo passando a rejeitar projetos e colaterais que anteriormente seriam aceitos. Em resumo, “a </w:t>
      </w:r>
      <w:r w:rsidR="00D20194">
        <w:rPr>
          <w:rFonts w:ascii="Arial" w:hAnsi="Arial" w:cs="Arial"/>
          <w:sz w:val="24"/>
          <w:szCs w:val="24"/>
        </w:rPr>
        <w:t>incerteza acerca da validade dos valores</w:t>
      </w:r>
      <w:r w:rsidR="00DB2AA6">
        <w:rPr>
          <w:rFonts w:ascii="Arial" w:hAnsi="Arial" w:cs="Arial"/>
          <w:sz w:val="24"/>
          <w:szCs w:val="24"/>
        </w:rPr>
        <w:t xml:space="preserve"> da riqueza </w:t>
      </w:r>
      <w:r w:rsidR="00DB2AA6">
        <w:rPr>
          <w:rFonts w:ascii="Arial" w:hAnsi="Arial" w:cs="Arial"/>
          <w:sz w:val="24"/>
          <w:szCs w:val="24"/>
        </w:rPr>
        <w:lastRenderedPageBreak/>
        <w:t>real e financeira lança o conjunto da economia na busca da liquidez, alterando a composição dos portfólios” (BELLUZZO, 201</w:t>
      </w:r>
      <w:r w:rsidR="00C87774">
        <w:rPr>
          <w:rFonts w:ascii="Arial" w:hAnsi="Arial" w:cs="Arial"/>
          <w:sz w:val="24"/>
          <w:szCs w:val="24"/>
        </w:rPr>
        <w:t>6</w:t>
      </w:r>
      <w:r w:rsidR="00DB2AA6">
        <w:rPr>
          <w:rFonts w:ascii="Arial" w:hAnsi="Arial" w:cs="Arial"/>
          <w:sz w:val="24"/>
          <w:szCs w:val="24"/>
        </w:rPr>
        <w:t>, p.68</w:t>
      </w:r>
      <w:proofErr w:type="gramStart"/>
      <w:r w:rsidR="00DB2AA6">
        <w:rPr>
          <w:rFonts w:ascii="Arial" w:hAnsi="Arial" w:cs="Arial"/>
          <w:sz w:val="24"/>
          <w:szCs w:val="24"/>
        </w:rPr>
        <w:t>)</w:t>
      </w:r>
      <w:proofErr w:type="gramEnd"/>
    </w:p>
    <w:p w:rsidR="00AE29FE" w:rsidRDefault="00B36909" w:rsidP="00885B1A">
      <w:pPr>
        <w:spacing w:after="0" w:line="360" w:lineRule="auto"/>
        <w:ind w:firstLine="708"/>
        <w:jc w:val="both"/>
        <w:rPr>
          <w:rFonts w:ascii="Arial" w:hAnsi="Arial" w:cs="Arial"/>
          <w:sz w:val="24"/>
          <w:szCs w:val="24"/>
        </w:rPr>
      </w:pPr>
      <w:r>
        <w:rPr>
          <w:rFonts w:ascii="Arial" w:hAnsi="Arial" w:cs="Arial"/>
          <w:sz w:val="24"/>
          <w:szCs w:val="24"/>
        </w:rPr>
        <w:t>Olhando novamente o lado</w:t>
      </w:r>
      <w:r w:rsidR="00A667B7">
        <w:rPr>
          <w:rFonts w:ascii="Arial" w:hAnsi="Arial" w:cs="Arial"/>
          <w:sz w:val="24"/>
          <w:szCs w:val="24"/>
        </w:rPr>
        <w:t xml:space="preserve"> do passivo, cabe a este as decisões sobre os tipos de obrigações que sustentarão seu ativo, inclusive o grau de </w:t>
      </w:r>
      <w:proofErr w:type="gramStart"/>
      <w:r w:rsidR="00A667B7">
        <w:rPr>
          <w:rFonts w:ascii="Arial" w:hAnsi="Arial" w:cs="Arial"/>
          <w:sz w:val="24"/>
          <w:szCs w:val="24"/>
        </w:rPr>
        <w:t>alavancagem</w:t>
      </w:r>
      <w:proofErr w:type="gramEnd"/>
      <w:r w:rsidR="00A667B7">
        <w:rPr>
          <w:rFonts w:ascii="Arial" w:hAnsi="Arial" w:cs="Arial"/>
          <w:sz w:val="24"/>
          <w:szCs w:val="24"/>
        </w:rPr>
        <w:t xml:space="preserve"> (proporção do patrimônio líquido). E assim, </w:t>
      </w:r>
      <w:r w:rsidR="00AE29FE">
        <w:rPr>
          <w:rFonts w:ascii="Arial" w:hAnsi="Arial" w:cs="Arial"/>
          <w:sz w:val="24"/>
          <w:szCs w:val="24"/>
        </w:rPr>
        <w:t>diferentemente da “visão nova”, a abordagem pós-</w:t>
      </w:r>
      <w:proofErr w:type="spellStart"/>
      <w:r w:rsidR="00AE29FE">
        <w:rPr>
          <w:rFonts w:ascii="Arial" w:hAnsi="Arial" w:cs="Arial"/>
          <w:sz w:val="24"/>
          <w:szCs w:val="24"/>
        </w:rPr>
        <w:t>keynesiana</w:t>
      </w:r>
      <w:proofErr w:type="spellEnd"/>
      <w:r w:rsidR="00AE29FE">
        <w:rPr>
          <w:rFonts w:ascii="Arial" w:hAnsi="Arial" w:cs="Arial"/>
          <w:sz w:val="24"/>
          <w:szCs w:val="24"/>
        </w:rPr>
        <w:t xml:space="preserve"> não aceita a tese de que os bancos recebem passivamente depósitos de acordo com as preferências individuais dos clientes. Na abordagem pós-</w:t>
      </w:r>
      <w:proofErr w:type="spellStart"/>
      <w:r w:rsidR="00AE29FE">
        <w:rPr>
          <w:rFonts w:ascii="Arial" w:hAnsi="Arial" w:cs="Arial"/>
          <w:sz w:val="24"/>
          <w:szCs w:val="24"/>
        </w:rPr>
        <w:t>keynesiana</w:t>
      </w:r>
      <w:proofErr w:type="spellEnd"/>
      <w:r w:rsidR="00AE29FE">
        <w:rPr>
          <w:rFonts w:ascii="Arial" w:hAnsi="Arial" w:cs="Arial"/>
          <w:sz w:val="24"/>
          <w:szCs w:val="24"/>
        </w:rPr>
        <w:t xml:space="preserve"> </w:t>
      </w:r>
    </w:p>
    <w:p w:rsidR="00AE29FE" w:rsidRPr="00383674" w:rsidRDefault="00AE29FE" w:rsidP="00885B1A">
      <w:pPr>
        <w:spacing w:after="0" w:line="240" w:lineRule="auto"/>
        <w:ind w:left="2124"/>
        <w:jc w:val="both"/>
        <w:rPr>
          <w:rFonts w:ascii="Arial" w:hAnsi="Arial" w:cs="Arial"/>
          <w:sz w:val="20"/>
          <w:szCs w:val="20"/>
        </w:rPr>
      </w:pPr>
      <w:proofErr w:type="gramStart"/>
      <w:r w:rsidRPr="00761539">
        <w:rPr>
          <w:rFonts w:ascii="Arial" w:hAnsi="Arial" w:cs="Arial"/>
          <w:sz w:val="20"/>
          <w:szCs w:val="20"/>
        </w:rPr>
        <w:t>os</w:t>
      </w:r>
      <w:proofErr w:type="gramEnd"/>
      <w:r w:rsidRPr="00761539">
        <w:rPr>
          <w:rFonts w:ascii="Arial" w:hAnsi="Arial" w:cs="Arial"/>
          <w:sz w:val="20"/>
          <w:szCs w:val="20"/>
        </w:rPr>
        <w:t xml:space="preserve"> bancos são vistos como agentes ativos que administram dinamicamente os dois lados de seus balanços. Isto significa que eles não tomam o seu passivo como dado, na medida em que procuram influenciar as preferências dos depositantes por meio do gerenciamento das obrigações e da introdução de inovações </w:t>
      </w:r>
      <w:r w:rsidR="002B0138">
        <w:rPr>
          <w:rFonts w:ascii="Arial" w:hAnsi="Arial" w:cs="Arial"/>
          <w:sz w:val="20"/>
          <w:szCs w:val="20"/>
        </w:rPr>
        <w:t>financeiras</w:t>
      </w:r>
      <w:r w:rsidRPr="00761539">
        <w:rPr>
          <w:rFonts w:ascii="Arial" w:hAnsi="Arial" w:cs="Arial"/>
          <w:sz w:val="20"/>
          <w:szCs w:val="20"/>
        </w:rPr>
        <w:t xml:space="preserve"> (</w:t>
      </w:r>
      <w:r w:rsidR="00383674">
        <w:rPr>
          <w:rFonts w:ascii="Arial" w:hAnsi="Arial" w:cs="Arial"/>
          <w:sz w:val="20"/>
          <w:szCs w:val="20"/>
        </w:rPr>
        <w:t>PAULA, 2006, p.87</w:t>
      </w:r>
      <w:proofErr w:type="gramStart"/>
      <w:r w:rsidR="00383674">
        <w:rPr>
          <w:rFonts w:ascii="Arial" w:hAnsi="Arial" w:cs="Arial"/>
          <w:sz w:val="20"/>
          <w:szCs w:val="20"/>
        </w:rPr>
        <w:t>)</w:t>
      </w:r>
      <w:proofErr w:type="gramEnd"/>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Cabe aos bancos, portanto, a iniciativa de modificar a estrutura de seu passivo, que pode ser obtido, </w:t>
      </w:r>
    </w:p>
    <w:p w:rsidR="00AE29FE" w:rsidRDefault="00AE29FE" w:rsidP="00CD474B">
      <w:pPr>
        <w:spacing w:after="0" w:line="240" w:lineRule="auto"/>
        <w:ind w:left="2124"/>
        <w:jc w:val="both"/>
        <w:rPr>
          <w:rFonts w:ascii="Arial" w:hAnsi="Arial" w:cs="Arial"/>
          <w:sz w:val="20"/>
          <w:szCs w:val="20"/>
        </w:rPr>
      </w:pPr>
      <w:proofErr w:type="gramStart"/>
      <w:r w:rsidRPr="00C109A5">
        <w:rPr>
          <w:rFonts w:ascii="Arial" w:hAnsi="Arial" w:cs="Arial"/>
          <w:sz w:val="20"/>
          <w:szCs w:val="20"/>
        </w:rPr>
        <w:t>através</w:t>
      </w:r>
      <w:proofErr w:type="gramEnd"/>
      <w:r w:rsidRPr="00C109A5">
        <w:rPr>
          <w:rFonts w:ascii="Arial" w:hAnsi="Arial" w:cs="Arial"/>
          <w:sz w:val="20"/>
          <w:szCs w:val="20"/>
        </w:rPr>
        <w:t xml:space="preserve"> do manejo das taxas de juros dos depósitos a prazos, ainda, de outras formas indiretas de estimulo a um redirecionamento do comportamento do público, como publicidade, fornecimentos de garantias especiais aos depósitos, oferecimento de presentes e prêmios aos clientes, criação de novos e atr</w:t>
      </w:r>
      <w:r w:rsidR="006A27D7">
        <w:rPr>
          <w:rFonts w:ascii="Arial" w:hAnsi="Arial" w:cs="Arial"/>
          <w:sz w:val="20"/>
          <w:szCs w:val="20"/>
        </w:rPr>
        <w:t>ativos tipos de obrigações etc.</w:t>
      </w:r>
      <w:r w:rsidRPr="00C109A5">
        <w:rPr>
          <w:rFonts w:ascii="Arial" w:hAnsi="Arial" w:cs="Arial"/>
          <w:sz w:val="20"/>
          <w:szCs w:val="20"/>
        </w:rPr>
        <w:t xml:space="preserve"> (</w:t>
      </w:r>
      <w:r w:rsidR="002B0138">
        <w:rPr>
          <w:rFonts w:ascii="Arial" w:hAnsi="Arial" w:cs="Arial"/>
          <w:sz w:val="20"/>
          <w:szCs w:val="20"/>
        </w:rPr>
        <w:t>P</w:t>
      </w:r>
      <w:r w:rsidRPr="00C109A5">
        <w:rPr>
          <w:rFonts w:ascii="Arial" w:hAnsi="Arial" w:cs="Arial"/>
          <w:sz w:val="20"/>
          <w:szCs w:val="20"/>
        </w:rPr>
        <w:t>AULA, 1999, p.25)</w:t>
      </w:r>
    </w:p>
    <w:p w:rsidR="00A667B7" w:rsidRDefault="00A667B7" w:rsidP="00885B1A">
      <w:pPr>
        <w:spacing w:after="0" w:line="360" w:lineRule="auto"/>
        <w:ind w:firstLine="708"/>
        <w:jc w:val="both"/>
        <w:rPr>
          <w:rFonts w:ascii="Arial" w:hAnsi="Arial" w:cs="Arial"/>
          <w:sz w:val="24"/>
          <w:szCs w:val="24"/>
        </w:rPr>
      </w:pPr>
      <w:r>
        <w:rPr>
          <w:rFonts w:ascii="Arial" w:hAnsi="Arial" w:cs="Arial"/>
          <w:sz w:val="24"/>
          <w:szCs w:val="24"/>
        </w:rPr>
        <w:t>A busca por uma estratégia mais agressiva da firma bancária refletida na busca por ativos mais rentáveis, passa pela necessidade de adequar seus passivos de modo a se evitar descasamentos (problemas de liquidez)</w:t>
      </w:r>
      <w:r w:rsidR="007613DF">
        <w:rPr>
          <w:rFonts w:ascii="Arial" w:hAnsi="Arial" w:cs="Arial"/>
          <w:sz w:val="24"/>
          <w:szCs w:val="24"/>
        </w:rPr>
        <w:t>, ou mesmo de que sejam capazes de contornar as exigência</w:t>
      </w:r>
      <w:r w:rsidR="00A13454">
        <w:rPr>
          <w:rFonts w:ascii="Arial" w:hAnsi="Arial" w:cs="Arial"/>
          <w:sz w:val="24"/>
          <w:szCs w:val="24"/>
        </w:rPr>
        <w:t>s</w:t>
      </w:r>
      <w:r w:rsidR="007613DF">
        <w:rPr>
          <w:rFonts w:ascii="Arial" w:hAnsi="Arial" w:cs="Arial"/>
          <w:sz w:val="24"/>
          <w:szCs w:val="24"/>
        </w:rPr>
        <w:t xml:space="preserve"> de reserva estabelecidas pelo banco central</w:t>
      </w:r>
      <w:r>
        <w:rPr>
          <w:rFonts w:ascii="Arial" w:hAnsi="Arial" w:cs="Arial"/>
          <w:sz w:val="24"/>
          <w:szCs w:val="24"/>
        </w:rPr>
        <w:t xml:space="preserve">. Dessa forma, se </w:t>
      </w:r>
      <w:r w:rsidR="007613DF">
        <w:rPr>
          <w:rFonts w:ascii="Arial" w:hAnsi="Arial" w:cs="Arial"/>
          <w:sz w:val="24"/>
          <w:szCs w:val="24"/>
        </w:rPr>
        <w:t xml:space="preserve">mostra necessário busca constante por </w:t>
      </w:r>
      <w:r w:rsidR="007613DF">
        <w:rPr>
          <w:rFonts w:ascii="Arial" w:hAnsi="Arial" w:cs="Arial"/>
          <w:i/>
          <w:sz w:val="24"/>
          <w:szCs w:val="24"/>
        </w:rPr>
        <w:t>inovações financeiras</w:t>
      </w:r>
      <w:r w:rsidR="007613DF">
        <w:rPr>
          <w:rFonts w:ascii="Arial" w:hAnsi="Arial" w:cs="Arial"/>
          <w:sz w:val="24"/>
          <w:szCs w:val="24"/>
        </w:rPr>
        <w:t xml:space="preserve">, isto é “novos produtos e serviços </w:t>
      </w:r>
      <w:r w:rsidR="00A13454">
        <w:rPr>
          <w:rFonts w:ascii="Arial" w:hAnsi="Arial" w:cs="Arial"/>
          <w:sz w:val="24"/>
          <w:szCs w:val="24"/>
        </w:rPr>
        <w:t>ou uma nova forma de ofert</w:t>
      </w:r>
      <w:r w:rsidR="00540C6D">
        <w:rPr>
          <w:rFonts w:ascii="Arial" w:hAnsi="Arial" w:cs="Arial"/>
          <w:sz w:val="24"/>
          <w:szCs w:val="24"/>
        </w:rPr>
        <w:t>ar um produto já existente” (</w:t>
      </w:r>
      <w:r w:rsidR="00A13454">
        <w:rPr>
          <w:rFonts w:ascii="Arial" w:hAnsi="Arial" w:cs="Arial"/>
          <w:sz w:val="24"/>
          <w:szCs w:val="24"/>
        </w:rPr>
        <w:t>PAULA, 2014, p.42).</w:t>
      </w:r>
    </w:p>
    <w:p w:rsidR="00A13454" w:rsidRDefault="001A00BE" w:rsidP="00885B1A">
      <w:pPr>
        <w:spacing w:after="0" w:line="360" w:lineRule="auto"/>
        <w:ind w:firstLine="708"/>
        <w:jc w:val="both"/>
        <w:rPr>
          <w:rFonts w:ascii="Arial" w:hAnsi="Arial" w:cs="Arial"/>
          <w:sz w:val="24"/>
          <w:szCs w:val="24"/>
        </w:rPr>
      </w:pPr>
      <w:r>
        <w:rPr>
          <w:rFonts w:ascii="Arial" w:hAnsi="Arial" w:cs="Arial"/>
          <w:sz w:val="24"/>
          <w:szCs w:val="24"/>
        </w:rPr>
        <w:t xml:space="preserve">Quanto </w:t>
      </w:r>
      <w:r w:rsidR="00996367">
        <w:rPr>
          <w:rFonts w:ascii="Arial" w:hAnsi="Arial" w:cs="Arial"/>
          <w:sz w:val="24"/>
          <w:szCs w:val="24"/>
        </w:rPr>
        <w:t>à</w:t>
      </w:r>
      <w:r>
        <w:rPr>
          <w:rFonts w:ascii="Arial" w:hAnsi="Arial" w:cs="Arial"/>
          <w:sz w:val="24"/>
          <w:szCs w:val="24"/>
        </w:rPr>
        <w:t xml:space="preserve"> capacidade</w:t>
      </w:r>
      <w:r w:rsidR="00B32766">
        <w:rPr>
          <w:rFonts w:ascii="Arial" w:hAnsi="Arial" w:cs="Arial"/>
          <w:sz w:val="24"/>
          <w:szCs w:val="24"/>
        </w:rPr>
        <w:t xml:space="preserve"> de contornar as exigências do Banco C</w:t>
      </w:r>
      <w:r>
        <w:rPr>
          <w:rFonts w:ascii="Arial" w:hAnsi="Arial" w:cs="Arial"/>
          <w:sz w:val="24"/>
          <w:szCs w:val="24"/>
        </w:rPr>
        <w:t xml:space="preserve">entral, as inovações financeiras podem criar obrigações financeiras sob a forma de quase moeda, isto é, obrigações que consomem reservas em </w:t>
      </w:r>
      <w:r w:rsidR="00B32766">
        <w:rPr>
          <w:rFonts w:ascii="Arial" w:hAnsi="Arial" w:cs="Arial"/>
          <w:sz w:val="24"/>
          <w:szCs w:val="24"/>
        </w:rPr>
        <w:t>diferentes proporções junto ao Banco C</w:t>
      </w:r>
      <w:r>
        <w:rPr>
          <w:rFonts w:ascii="Arial" w:hAnsi="Arial" w:cs="Arial"/>
          <w:sz w:val="24"/>
          <w:szCs w:val="24"/>
        </w:rPr>
        <w:t>entral. Assim, em momentos de política monetária restritiva os bancos através de ino</w:t>
      </w:r>
      <w:r w:rsidR="009F7FC8">
        <w:rPr>
          <w:rFonts w:ascii="Arial" w:hAnsi="Arial" w:cs="Arial"/>
          <w:sz w:val="24"/>
          <w:szCs w:val="24"/>
        </w:rPr>
        <w:t>v</w:t>
      </w:r>
      <w:r>
        <w:rPr>
          <w:rFonts w:ascii="Arial" w:hAnsi="Arial" w:cs="Arial"/>
          <w:sz w:val="24"/>
          <w:szCs w:val="24"/>
        </w:rPr>
        <w:t xml:space="preserve">ações podem contornar as exigências de reserva </w:t>
      </w:r>
      <w:r w:rsidR="009F7FC8">
        <w:rPr>
          <w:rFonts w:ascii="Arial" w:hAnsi="Arial" w:cs="Arial"/>
          <w:sz w:val="24"/>
          <w:szCs w:val="24"/>
        </w:rPr>
        <w:t>junto ao Banco Central podendo d</w:t>
      </w:r>
      <w:r w:rsidR="00B32766">
        <w:rPr>
          <w:rFonts w:ascii="Arial" w:hAnsi="Arial" w:cs="Arial"/>
          <w:sz w:val="24"/>
          <w:szCs w:val="24"/>
        </w:rPr>
        <w:t>essa forma ser mais responsivo à</w:t>
      </w:r>
      <w:r w:rsidR="009F7FC8">
        <w:rPr>
          <w:rFonts w:ascii="Arial" w:hAnsi="Arial" w:cs="Arial"/>
          <w:sz w:val="24"/>
          <w:szCs w:val="24"/>
        </w:rPr>
        <w:t xml:space="preserve"> demanda de crédito</w:t>
      </w:r>
      <w:r w:rsidR="00996367">
        <w:rPr>
          <w:rFonts w:ascii="Arial" w:hAnsi="Arial" w:cs="Arial"/>
          <w:sz w:val="24"/>
          <w:szCs w:val="24"/>
        </w:rPr>
        <w:t xml:space="preserve"> por parte dos agentes em geral, isto é</w:t>
      </w:r>
      <w:r w:rsidR="009C0A49">
        <w:rPr>
          <w:rFonts w:ascii="Arial" w:hAnsi="Arial" w:cs="Arial"/>
          <w:sz w:val="24"/>
          <w:szCs w:val="24"/>
        </w:rPr>
        <w:t>,</w:t>
      </w:r>
      <w:r w:rsidR="00996367">
        <w:rPr>
          <w:rFonts w:ascii="Arial" w:hAnsi="Arial" w:cs="Arial"/>
          <w:sz w:val="24"/>
          <w:szCs w:val="24"/>
        </w:rPr>
        <w:t xml:space="preserve"> o crédito pode se “expandir endogenamente de modo a atender às demandas por empréstimos do público, desde que seja rentável para as instituições financeiras”</w:t>
      </w:r>
      <w:r w:rsidR="00B43CF6">
        <w:rPr>
          <w:rFonts w:ascii="Arial" w:hAnsi="Arial" w:cs="Arial"/>
          <w:sz w:val="24"/>
          <w:szCs w:val="24"/>
        </w:rPr>
        <w:t xml:space="preserve"> (</w:t>
      </w:r>
      <w:r w:rsidR="009F7FC8">
        <w:rPr>
          <w:rFonts w:ascii="Arial" w:hAnsi="Arial" w:cs="Arial"/>
          <w:sz w:val="24"/>
          <w:szCs w:val="24"/>
        </w:rPr>
        <w:t>PAULA, 2014</w:t>
      </w:r>
      <w:r w:rsidR="00996367">
        <w:rPr>
          <w:rFonts w:ascii="Arial" w:hAnsi="Arial" w:cs="Arial"/>
          <w:sz w:val="24"/>
          <w:szCs w:val="24"/>
        </w:rPr>
        <w:t>, p.43</w:t>
      </w:r>
      <w:proofErr w:type="gramStart"/>
      <w:r w:rsidR="009F7FC8">
        <w:rPr>
          <w:rFonts w:ascii="Arial" w:hAnsi="Arial" w:cs="Arial"/>
          <w:sz w:val="24"/>
          <w:szCs w:val="24"/>
        </w:rPr>
        <w:t>)</w:t>
      </w:r>
      <w:proofErr w:type="gramEnd"/>
    </w:p>
    <w:p w:rsidR="00CF6914" w:rsidRDefault="009F7FC8" w:rsidP="00885B1A">
      <w:pPr>
        <w:spacing w:after="0" w:line="360" w:lineRule="auto"/>
        <w:ind w:firstLine="708"/>
        <w:jc w:val="both"/>
        <w:rPr>
          <w:rFonts w:ascii="Arial" w:hAnsi="Arial" w:cs="Arial"/>
          <w:sz w:val="24"/>
          <w:szCs w:val="24"/>
        </w:rPr>
      </w:pPr>
      <w:r>
        <w:rPr>
          <w:rFonts w:ascii="Arial" w:hAnsi="Arial" w:cs="Arial"/>
          <w:sz w:val="24"/>
          <w:szCs w:val="24"/>
        </w:rPr>
        <w:t>Infere-se, conforme discutido no parágrafo anterior, que existe uma limitação quanto à capacidade do Banco Central de controlar a quantidade absoluta de moe</w:t>
      </w:r>
      <w:r w:rsidR="00CF6914">
        <w:rPr>
          <w:rFonts w:ascii="Arial" w:hAnsi="Arial" w:cs="Arial"/>
          <w:sz w:val="24"/>
          <w:szCs w:val="24"/>
        </w:rPr>
        <w:t xml:space="preserve">da </w:t>
      </w:r>
      <w:r w:rsidR="00CF6914">
        <w:rPr>
          <w:rFonts w:ascii="Arial" w:hAnsi="Arial" w:cs="Arial"/>
          <w:sz w:val="24"/>
          <w:szCs w:val="24"/>
        </w:rPr>
        <w:lastRenderedPageBreak/>
        <w:t>na economia, pois influencia</w:t>
      </w:r>
      <w:r>
        <w:rPr>
          <w:rFonts w:ascii="Arial" w:hAnsi="Arial" w:cs="Arial"/>
          <w:sz w:val="24"/>
          <w:szCs w:val="24"/>
        </w:rPr>
        <w:t xml:space="preserve"> apenas de forma indireta o volume de intermediação financeira</w:t>
      </w:r>
      <w:r w:rsidR="00CF6914">
        <w:rPr>
          <w:rFonts w:ascii="Arial" w:hAnsi="Arial" w:cs="Arial"/>
          <w:sz w:val="24"/>
          <w:szCs w:val="24"/>
        </w:rPr>
        <w:t>,</w:t>
      </w:r>
      <w:r>
        <w:rPr>
          <w:rFonts w:ascii="Arial" w:hAnsi="Arial" w:cs="Arial"/>
          <w:sz w:val="24"/>
          <w:szCs w:val="24"/>
        </w:rPr>
        <w:t xml:space="preserve"> que se dá através</w:t>
      </w:r>
      <w:r w:rsidR="00CF6914">
        <w:rPr>
          <w:rFonts w:ascii="Arial" w:hAnsi="Arial" w:cs="Arial"/>
          <w:sz w:val="24"/>
          <w:szCs w:val="24"/>
        </w:rPr>
        <w:t xml:space="preserve"> da manipulação da taxa de juros –</w:t>
      </w:r>
      <w:r w:rsidR="00B43CF6">
        <w:rPr>
          <w:rFonts w:ascii="Arial" w:hAnsi="Arial" w:cs="Arial"/>
          <w:sz w:val="24"/>
          <w:szCs w:val="24"/>
        </w:rPr>
        <w:t xml:space="preserve"> </w:t>
      </w:r>
      <w:r w:rsidR="00CF6914">
        <w:rPr>
          <w:rFonts w:ascii="Arial" w:hAnsi="Arial" w:cs="Arial"/>
          <w:sz w:val="24"/>
          <w:szCs w:val="24"/>
        </w:rPr>
        <w:t>que se r</w:t>
      </w:r>
      <w:r w:rsidR="00B43CF6">
        <w:rPr>
          <w:rFonts w:ascii="Arial" w:hAnsi="Arial" w:cs="Arial"/>
          <w:sz w:val="24"/>
          <w:szCs w:val="24"/>
        </w:rPr>
        <w:t>eflete no preço dos empréstimos</w:t>
      </w:r>
      <w:r w:rsidR="009C0A49">
        <w:rPr>
          <w:rFonts w:ascii="Arial" w:hAnsi="Arial" w:cs="Arial"/>
          <w:sz w:val="24"/>
          <w:szCs w:val="24"/>
        </w:rPr>
        <w:t>,</w:t>
      </w:r>
      <w:r w:rsidR="00CF6914">
        <w:rPr>
          <w:rFonts w:ascii="Arial" w:hAnsi="Arial" w:cs="Arial"/>
          <w:sz w:val="24"/>
          <w:szCs w:val="24"/>
        </w:rPr>
        <w:t xml:space="preserve"> e do nível de reservas bancária – através do multiplicador bancário. </w:t>
      </w:r>
      <w:r w:rsidR="007360B1">
        <w:rPr>
          <w:rFonts w:ascii="Arial" w:hAnsi="Arial" w:cs="Arial"/>
          <w:sz w:val="24"/>
          <w:szCs w:val="24"/>
        </w:rPr>
        <w:t xml:space="preserve">Cabe aos bancos, portanto, a quantidade total de moeda ofertada na economia, </w:t>
      </w:r>
      <w:r w:rsidR="00996367">
        <w:rPr>
          <w:rFonts w:ascii="Arial" w:hAnsi="Arial" w:cs="Arial"/>
          <w:sz w:val="24"/>
          <w:szCs w:val="24"/>
        </w:rPr>
        <w:t>que é</w:t>
      </w:r>
      <w:r w:rsidR="007360B1">
        <w:rPr>
          <w:rFonts w:ascii="Arial" w:hAnsi="Arial" w:cs="Arial"/>
          <w:sz w:val="24"/>
          <w:szCs w:val="24"/>
        </w:rPr>
        <w:t xml:space="preserve"> </w:t>
      </w:r>
      <w:r w:rsidR="00996367">
        <w:rPr>
          <w:rFonts w:ascii="Arial" w:hAnsi="Arial" w:cs="Arial"/>
          <w:sz w:val="24"/>
          <w:szCs w:val="24"/>
        </w:rPr>
        <w:t xml:space="preserve">resultado da </w:t>
      </w:r>
      <w:r w:rsidR="007360B1">
        <w:rPr>
          <w:rFonts w:ascii="Arial" w:hAnsi="Arial" w:cs="Arial"/>
          <w:sz w:val="24"/>
          <w:szCs w:val="24"/>
        </w:rPr>
        <w:t xml:space="preserve">ponderação quanto </w:t>
      </w:r>
      <w:r w:rsidR="00F32169">
        <w:rPr>
          <w:rFonts w:ascii="Arial" w:hAnsi="Arial" w:cs="Arial"/>
          <w:sz w:val="24"/>
          <w:szCs w:val="24"/>
        </w:rPr>
        <w:t>à</w:t>
      </w:r>
      <w:r w:rsidR="007360B1">
        <w:rPr>
          <w:rFonts w:ascii="Arial" w:hAnsi="Arial" w:cs="Arial"/>
          <w:sz w:val="24"/>
          <w:szCs w:val="24"/>
        </w:rPr>
        <w:t xml:space="preserve"> rentabilidade de seus ativos</w:t>
      </w:r>
      <w:r w:rsidR="00996367">
        <w:rPr>
          <w:rFonts w:ascii="Arial" w:hAnsi="Arial" w:cs="Arial"/>
          <w:sz w:val="24"/>
          <w:szCs w:val="24"/>
        </w:rPr>
        <w:t xml:space="preserve"> </w:t>
      </w:r>
      <w:r w:rsidR="00F32169">
        <w:rPr>
          <w:rFonts w:ascii="Arial" w:hAnsi="Arial" w:cs="Arial"/>
          <w:sz w:val="24"/>
          <w:szCs w:val="24"/>
        </w:rPr>
        <w:t>e a</w:t>
      </w:r>
      <w:r w:rsidR="00996367">
        <w:rPr>
          <w:rFonts w:ascii="Arial" w:hAnsi="Arial" w:cs="Arial"/>
          <w:sz w:val="24"/>
          <w:szCs w:val="24"/>
        </w:rPr>
        <w:t xml:space="preserve"> disponibilidade de reservas ou apetite de se expandir moeda endogenamente</w:t>
      </w:r>
      <w:r w:rsidR="00F32169">
        <w:rPr>
          <w:rFonts w:ascii="Arial" w:hAnsi="Arial" w:cs="Arial"/>
          <w:sz w:val="24"/>
          <w:szCs w:val="24"/>
        </w:rPr>
        <w:t xml:space="preserve">, além, é claro, da </w:t>
      </w:r>
      <w:r w:rsidR="009E70B0">
        <w:rPr>
          <w:rFonts w:ascii="Arial" w:hAnsi="Arial" w:cs="Arial"/>
          <w:sz w:val="24"/>
          <w:szCs w:val="24"/>
        </w:rPr>
        <w:t>demanda por financiamentos. (</w:t>
      </w:r>
      <w:r w:rsidR="00F32169">
        <w:rPr>
          <w:rFonts w:ascii="Arial" w:hAnsi="Arial" w:cs="Arial"/>
          <w:sz w:val="24"/>
          <w:szCs w:val="24"/>
        </w:rPr>
        <w:t>PAULA, 2014)</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Verifica-se o papel da administração de balanços analisando alguns momentos do ciclo econômico cujos bancos podem ampliar o crescimento econômico nas fases expansivas, como pode acentuar a desaceleração nas fases de crise (PAULA </w:t>
      </w:r>
      <w:proofErr w:type="gramStart"/>
      <w:r>
        <w:rPr>
          <w:rFonts w:ascii="Arial" w:hAnsi="Arial" w:cs="Arial"/>
          <w:sz w:val="24"/>
          <w:szCs w:val="24"/>
        </w:rPr>
        <w:t>et</w:t>
      </w:r>
      <w:proofErr w:type="gramEnd"/>
      <w:r>
        <w:rPr>
          <w:rFonts w:ascii="Arial" w:hAnsi="Arial" w:cs="Arial"/>
          <w:sz w:val="24"/>
          <w:szCs w:val="24"/>
        </w:rPr>
        <w:t xml:space="preserve"> al, 2007). Nas fases expansionistas, os bancos, na busca de maior lucro, aceitam um maior risco, investindo assim em ativos de maior duração (que proporcionam maior retorno financeiro) conjuntamente com uma modificação no passivo, buscando aumentar não apenas os recursos captados com o público, mas também os tipos de obrigações, através de inovações financeiras. (FRAGA, 2009) </w:t>
      </w:r>
    </w:p>
    <w:p w:rsidR="00AE29FE"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O objetivo dessa alteração no passivo é a de sustentar a </w:t>
      </w:r>
      <w:proofErr w:type="gramStart"/>
      <w:r>
        <w:rPr>
          <w:rFonts w:ascii="Arial" w:hAnsi="Arial" w:cs="Arial"/>
          <w:sz w:val="24"/>
          <w:szCs w:val="24"/>
        </w:rPr>
        <w:t>alavancagem</w:t>
      </w:r>
      <w:proofErr w:type="gramEnd"/>
      <w:r>
        <w:rPr>
          <w:rFonts w:ascii="Arial" w:hAnsi="Arial" w:cs="Arial"/>
          <w:sz w:val="24"/>
          <w:szCs w:val="24"/>
        </w:rPr>
        <w:t xml:space="preserve"> das operações ativas, já que com maior volume de depósitos e um maior alongamento destes e possível economizar recursos próprios aumentando assim a capacidade de atender a expansão de crédito. </w:t>
      </w:r>
    </w:p>
    <w:p w:rsidR="00546AE6" w:rsidRDefault="00AE29FE" w:rsidP="00885B1A">
      <w:pPr>
        <w:spacing w:after="0" w:line="360" w:lineRule="auto"/>
        <w:ind w:firstLine="708"/>
        <w:jc w:val="both"/>
        <w:rPr>
          <w:rFonts w:ascii="Arial" w:hAnsi="Arial" w:cs="Arial"/>
          <w:sz w:val="24"/>
          <w:szCs w:val="24"/>
        </w:rPr>
      </w:pPr>
      <w:r>
        <w:rPr>
          <w:rFonts w:ascii="Arial" w:hAnsi="Arial" w:cs="Arial"/>
          <w:sz w:val="24"/>
          <w:szCs w:val="24"/>
        </w:rPr>
        <w:t>Já nas fases de retração econômica os bancos cumprem o papel de amplificar o quadro de crise, pois passam a mudar sua postura através da preferência pela liquidez modificando sua estrutura de balanço passando a direcionar seus recursos a ativos mais líquidos e menos rentáveis. Ao adotar tal postura os bancos passam a não acomodar a demanda por crédito, agravando ainda mais o cenário de crise (FRAGA, 2009).</w:t>
      </w:r>
    </w:p>
    <w:p w:rsidR="00885B1A" w:rsidRDefault="00885B1A" w:rsidP="00885B1A">
      <w:pPr>
        <w:spacing w:after="0" w:line="360" w:lineRule="auto"/>
        <w:ind w:firstLine="708"/>
        <w:jc w:val="both"/>
        <w:rPr>
          <w:rFonts w:ascii="Arial" w:hAnsi="Arial" w:cs="Arial"/>
          <w:sz w:val="24"/>
          <w:szCs w:val="24"/>
        </w:rPr>
      </w:pPr>
    </w:p>
    <w:p w:rsidR="005312BD" w:rsidRDefault="005312BD" w:rsidP="00885B1A">
      <w:pPr>
        <w:spacing w:after="0" w:line="360" w:lineRule="auto"/>
        <w:ind w:firstLine="708"/>
        <w:jc w:val="both"/>
        <w:rPr>
          <w:rFonts w:ascii="Arial" w:hAnsi="Arial" w:cs="Arial"/>
          <w:sz w:val="24"/>
          <w:szCs w:val="24"/>
        </w:rPr>
      </w:pPr>
    </w:p>
    <w:p w:rsidR="005312BD" w:rsidRDefault="005312BD" w:rsidP="00885B1A">
      <w:pPr>
        <w:spacing w:after="0" w:line="360" w:lineRule="auto"/>
        <w:ind w:firstLine="708"/>
        <w:jc w:val="both"/>
        <w:rPr>
          <w:rFonts w:ascii="Arial" w:hAnsi="Arial" w:cs="Arial"/>
          <w:sz w:val="24"/>
          <w:szCs w:val="24"/>
        </w:rPr>
      </w:pPr>
    </w:p>
    <w:p w:rsidR="005312BD" w:rsidRDefault="005312BD" w:rsidP="00885B1A">
      <w:pPr>
        <w:spacing w:after="0" w:line="360" w:lineRule="auto"/>
        <w:ind w:firstLine="708"/>
        <w:jc w:val="both"/>
        <w:rPr>
          <w:rFonts w:ascii="Arial" w:hAnsi="Arial" w:cs="Arial"/>
          <w:sz w:val="24"/>
          <w:szCs w:val="24"/>
        </w:rPr>
      </w:pPr>
    </w:p>
    <w:p w:rsidR="005312BD" w:rsidRDefault="005312BD" w:rsidP="00885B1A">
      <w:pPr>
        <w:spacing w:after="0" w:line="360" w:lineRule="auto"/>
        <w:ind w:firstLine="708"/>
        <w:jc w:val="both"/>
        <w:rPr>
          <w:rFonts w:ascii="Arial" w:hAnsi="Arial" w:cs="Arial"/>
          <w:sz w:val="24"/>
          <w:szCs w:val="24"/>
        </w:rPr>
      </w:pPr>
    </w:p>
    <w:p w:rsidR="00B32766" w:rsidRDefault="00B32766" w:rsidP="00B43CF6">
      <w:pPr>
        <w:spacing w:line="360" w:lineRule="auto"/>
        <w:jc w:val="both"/>
        <w:rPr>
          <w:rFonts w:ascii="Arial" w:hAnsi="Arial" w:cs="Arial"/>
          <w:sz w:val="24"/>
          <w:szCs w:val="24"/>
        </w:rPr>
      </w:pPr>
    </w:p>
    <w:p w:rsidR="00AE29FE" w:rsidRPr="007806BF" w:rsidRDefault="00B32766" w:rsidP="00383674">
      <w:pPr>
        <w:pStyle w:val="Ttulo1"/>
        <w:rPr>
          <w:rFonts w:cs="Arial"/>
          <w:szCs w:val="24"/>
        </w:rPr>
      </w:pPr>
      <w:bookmarkStart w:id="7" w:name="_Toc484350737"/>
      <w:r w:rsidRPr="007806BF">
        <w:rPr>
          <w:rStyle w:val="SubttuloChar"/>
          <w:b/>
        </w:rPr>
        <w:lastRenderedPageBreak/>
        <w:t>REGIME DE METAS DE INFLAÇÃO (RMI)</w:t>
      </w:r>
      <w:bookmarkEnd w:id="7"/>
    </w:p>
    <w:p w:rsidR="00AE29FE" w:rsidRDefault="00AE29FE" w:rsidP="00AE29FE">
      <w:pPr>
        <w:spacing w:line="360" w:lineRule="auto"/>
        <w:jc w:val="both"/>
        <w:rPr>
          <w:rFonts w:ascii="Arial" w:hAnsi="Arial" w:cs="Arial"/>
          <w:b/>
          <w:sz w:val="24"/>
          <w:szCs w:val="24"/>
        </w:rPr>
      </w:pPr>
    </w:p>
    <w:p w:rsidR="0029080C" w:rsidRDefault="00AE29FE" w:rsidP="00885B1A">
      <w:pPr>
        <w:spacing w:after="0" w:line="360" w:lineRule="auto"/>
        <w:ind w:firstLine="708"/>
        <w:jc w:val="both"/>
        <w:rPr>
          <w:rFonts w:ascii="Arial" w:hAnsi="Arial" w:cs="Arial"/>
          <w:sz w:val="24"/>
          <w:szCs w:val="24"/>
        </w:rPr>
      </w:pPr>
      <w:r>
        <w:rPr>
          <w:rFonts w:ascii="Arial" w:hAnsi="Arial" w:cs="Arial"/>
          <w:sz w:val="24"/>
          <w:szCs w:val="24"/>
        </w:rPr>
        <w:t xml:space="preserve">Para compreender o comportamento bancário no Brasil, tendo em vista a </w:t>
      </w:r>
      <w:r w:rsidR="00886C21">
        <w:rPr>
          <w:rFonts w:ascii="Arial" w:hAnsi="Arial" w:cs="Arial"/>
          <w:sz w:val="24"/>
          <w:szCs w:val="24"/>
        </w:rPr>
        <w:t>ótica</w:t>
      </w:r>
      <w:r>
        <w:rPr>
          <w:rFonts w:ascii="Arial" w:hAnsi="Arial" w:cs="Arial"/>
          <w:sz w:val="24"/>
          <w:szCs w:val="24"/>
        </w:rPr>
        <w:t xml:space="preserve"> da preferência pela liquidez é de suma importância apresentar o regime</w:t>
      </w:r>
      <w:r w:rsidR="0029080C">
        <w:rPr>
          <w:rFonts w:ascii="Arial" w:hAnsi="Arial" w:cs="Arial"/>
          <w:sz w:val="24"/>
          <w:szCs w:val="24"/>
        </w:rPr>
        <w:t xml:space="preserve"> monetário vigente, que no caso do Brasil é o regime</w:t>
      </w:r>
      <w:r>
        <w:rPr>
          <w:rFonts w:ascii="Arial" w:hAnsi="Arial" w:cs="Arial"/>
          <w:sz w:val="24"/>
          <w:szCs w:val="24"/>
        </w:rPr>
        <w:t xml:space="preserve"> de metas de inflação (RMI).</w:t>
      </w:r>
      <w:r w:rsidR="0029080C">
        <w:rPr>
          <w:rFonts w:ascii="Arial" w:hAnsi="Arial" w:cs="Arial"/>
          <w:sz w:val="24"/>
          <w:szCs w:val="24"/>
        </w:rPr>
        <w:t xml:space="preserve"> Partindo-se de uma perspectiva </w:t>
      </w:r>
      <w:proofErr w:type="spellStart"/>
      <w:r w:rsidR="0029080C">
        <w:rPr>
          <w:rFonts w:ascii="Arial" w:hAnsi="Arial" w:cs="Arial"/>
          <w:sz w:val="24"/>
          <w:szCs w:val="24"/>
        </w:rPr>
        <w:t>keynesiana</w:t>
      </w:r>
      <w:proofErr w:type="spellEnd"/>
      <w:r w:rsidR="0029080C">
        <w:rPr>
          <w:rFonts w:ascii="Arial" w:hAnsi="Arial" w:cs="Arial"/>
          <w:sz w:val="24"/>
          <w:szCs w:val="24"/>
        </w:rPr>
        <w:t xml:space="preserve"> de economia monetária de produção, na qual o fator incerteza permeia a tomada de decisões dos agentes</w:t>
      </w:r>
      <w:r w:rsidR="00383674">
        <w:rPr>
          <w:rFonts w:ascii="Arial" w:hAnsi="Arial" w:cs="Arial"/>
          <w:sz w:val="24"/>
          <w:szCs w:val="24"/>
        </w:rPr>
        <w:t>,</w:t>
      </w:r>
      <w:r w:rsidR="0029080C">
        <w:rPr>
          <w:rFonts w:ascii="Arial" w:hAnsi="Arial" w:cs="Arial"/>
          <w:sz w:val="24"/>
          <w:szCs w:val="24"/>
        </w:rPr>
        <w:t xml:space="preserve"> o RMI, no Brasil</w:t>
      </w:r>
      <w:r w:rsidR="002009B5">
        <w:rPr>
          <w:rFonts w:ascii="Arial" w:hAnsi="Arial" w:cs="Arial"/>
          <w:sz w:val="24"/>
          <w:szCs w:val="24"/>
        </w:rPr>
        <w:t xml:space="preserve"> e em vários países</w:t>
      </w:r>
      <w:r w:rsidR="0029080C">
        <w:rPr>
          <w:rFonts w:ascii="Arial" w:hAnsi="Arial" w:cs="Arial"/>
          <w:sz w:val="24"/>
          <w:szCs w:val="24"/>
        </w:rPr>
        <w:t>, tem papel fundamental</w:t>
      </w:r>
      <w:r w:rsidR="002009B5">
        <w:rPr>
          <w:rFonts w:ascii="Arial" w:hAnsi="Arial" w:cs="Arial"/>
          <w:sz w:val="24"/>
          <w:szCs w:val="24"/>
        </w:rPr>
        <w:t xml:space="preserve">, pois é o regime que afeta diretamente algumas </w:t>
      </w:r>
      <w:r w:rsidR="00383674">
        <w:rPr>
          <w:rFonts w:ascii="Arial" w:hAnsi="Arial" w:cs="Arial"/>
          <w:sz w:val="24"/>
          <w:szCs w:val="24"/>
        </w:rPr>
        <w:t>das variáveis chave da economia</w:t>
      </w:r>
      <w:r w:rsidR="00B32766">
        <w:rPr>
          <w:rFonts w:ascii="Arial" w:hAnsi="Arial" w:cs="Arial"/>
          <w:sz w:val="24"/>
          <w:szCs w:val="24"/>
        </w:rPr>
        <w:t>,</w:t>
      </w:r>
      <w:r w:rsidR="00383674">
        <w:rPr>
          <w:rFonts w:ascii="Arial" w:hAnsi="Arial" w:cs="Arial"/>
          <w:sz w:val="24"/>
          <w:szCs w:val="24"/>
        </w:rPr>
        <w:t xml:space="preserve"> como </w:t>
      </w:r>
      <w:proofErr w:type="gramStart"/>
      <w:r w:rsidR="00383674">
        <w:rPr>
          <w:rFonts w:ascii="Arial" w:hAnsi="Arial" w:cs="Arial"/>
          <w:sz w:val="24"/>
          <w:szCs w:val="24"/>
        </w:rPr>
        <w:t>por exemplo</w:t>
      </w:r>
      <w:proofErr w:type="gramEnd"/>
      <w:r w:rsidR="002009B5">
        <w:rPr>
          <w:rFonts w:ascii="Arial" w:hAnsi="Arial" w:cs="Arial"/>
          <w:sz w:val="24"/>
          <w:szCs w:val="24"/>
        </w:rPr>
        <w:t xml:space="preserve"> a taxa de juros, e a inflação.</w:t>
      </w:r>
    </w:p>
    <w:p w:rsidR="00D51D23" w:rsidRDefault="002009B5" w:rsidP="00885B1A">
      <w:pPr>
        <w:spacing w:after="0" w:line="360" w:lineRule="auto"/>
        <w:ind w:firstLine="708"/>
        <w:jc w:val="both"/>
        <w:rPr>
          <w:rFonts w:ascii="Arial" w:hAnsi="Arial" w:cs="Arial"/>
          <w:sz w:val="24"/>
          <w:szCs w:val="24"/>
        </w:rPr>
      </w:pPr>
      <w:r>
        <w:rPr>
          <w:rFonts w:ascii="Arial" w:hAnsi="Arial" w:cs="Arial"/>
          <w:sz w:val="24"/>
          <w:szCs w:val="24"/>
        </w:rPr>
        <w:t>No Brasil, d</w:t>
      </w:r>
      <w:r w:rsidR="00AE29FE">
        <w:rPr>
          <w:rFonts w:ascii="Arial" w:hAnsi="Arial" w:cs="Arial"/>
          <w:sz w:val="24"/>
          <w:szCs w:val="24"/>
        </w:rPr>
        <w:t xml:space="preserve">urante a vigência do RMI percebe-se uma crônica dificuldade de se alcançar o principal objetivo, a meta de inflação, mesmo utilizando-se de elevadas taxas de juros. A grande oscilação na taxa de juros é um dos pontos fundamentais para a compreensão deste trabalho, pois se verificará o impacto desta sobre a preferência pela liquidez dos </w:t>
      </w:r>
      <w:r w:rsidR="00D51D23">
        <w:rPr>
          <w:rFonts w:ascii="Arial" w:hAnsi="Arial" w:cs="Arial"/>
          <w:sz w:val="24"/>
          <w:szCs w:val="24"/>
        </w:rPr>
        <w:t>cinco</w:t>
      </w:r>
      <w:r w:rsidR="00AE29FE">
        <w:rPr>
          <w:rFonts w:ascii="Arial" w:hAnsi="Arial" w:cs="Arial"/>
          <w:sz w:val="24"/>
          <w:szCs w:val="24"/>
        </w:rPr>
        <w:t xml:space="preserve"> maiores bancos do país</w:t>
      </w:r>
      <w:r w:rsidR="00D51D23">
        <w:rPr>
          <w:rFonts w:ascii="Arial" w:hAnsi="Arial" w:cs="Arial"/>
          <w:sz w:val="24"/>
          <w:szCs w:val="24"/>
        </w:rPr>
        <w:t>.</w:t>
      </w:r>
    </w:p>
    <w:p w:rsidR="00383674" w:rsidRDefault="00383674" w:rsidP="00885B1A">
      <w:pPr>
        <w:spacing w:after="0" w:line="360" w:lineRule="auto"/>
        <w:ind w:firstLine="708"/>
        <w:jc w:val="both"/>
        <w:rPr>
          <w:rFonts w:ascii="Arial" w:hAnsi="Arial" w:cs="Arial"/>
          <w:sz w:val="24"/>
          <w:szCs w:val="24"/>
        </w:rPr>
      </w:pPr>
      <w:r>
        <w:rPr>
          <w:rFonts w:ascii="Arial" w:hAnsi="Arial" w:cs="Arial"/>
          <w:sz w:val="24"/>
          <w:szCs w:val="24"/>
        </w:rPr>
        <w:t xml:space="preserve"> </w:t>
      </w:r>
    </w:p>
    <w:p w:rsidR="004E442A" w:rsidRDefault="00B32766" w:rsidP="00885B1A">
      <w:pPr>
        <w:pStyle w:val="Ttulo2"/>
      </w:pPr>
      <w:bookmarkStart w:id="8" w:name="_Toc484350738"/>
      <w:r>
        <w:t>A</w:t>
      </w:r>
      <w:r w:rsidRPr="004E442A">
        <w:t>rcabouço teórico</w:t>
      </w:r>
      <w:r>
        <w:t xml:space="preserve"> do</w:t>
      </w:r>
      <w:r w:rsidRPr="004E442A">
        <w:t xml:space="preserve"> </w:t>
      </w:r>
      <w:r>
        <w:t>Regime de Metas de Inflação</w:t>
      </w:r>
      <w:bookmarkEnd w:id="8"/>
    </w:p>
    <w:p w:rsidR="00383674" w:rsidRPr="00383674" w:rsidRDefault="00383674" w:rsidP="00885B1A">
      <w:pPr>
        <w:spacing w:after="0"/>
      </w:pPr>
    </w:p>
    <w:p w:rsidR="00383674" w:rsidRPr="00383674" w:rsidRDefault="00383674" w:rsidP="00885B1A">
      <w:pPr>
        <w:spacing w:after="0"/>
      </w:pPr>
    </w:p>
    <w:p w:rsidR="002E6104" w:rsidRDefault="006C7BAD"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Após algumas décadas de domínio do pensamento </w:t>
      </w:r>
      <w:proofErr w:type="spellStart"/>
      <w:r>
        <w:rPr>
          <w:rFonts w:ascii="Arial" w:hAnsi="Arial" w:cs="Arial"/>
          <w:color w:val="000000" w:themeColor="text1"/>
          <w:sz w:val="24"/>
          <w:szCs w:val="24"/>
        </w:rPr>
        <w:t>keynesiano</w:t>
      </w:r>
      <w:proofErr w:type="spellEnd"/>
      <w:r>
        <w:rPr>
          <w:rFonts w:ascii="Arial" w:hAnsi="Arial" w:cs="Arial"/>
          <w:color w:val="000000" w:themeColor="text1"/>
          <w:sz w:val="24"/>
          <w:szCs w:val="24"/>
        </w:rPr>
        <w:t xml:space="preserve"> e após a </w:t>
      </w:r>
      <w:proofErr w:type="spellStart"/>
      <w:proofErr w:type="gramStart"/>
      <w:r>
        <w:rPr>
          <w:rFonts w:ascii="Arial" w:hAnsi="Arial" w:cs="Arial"/>
          <w:color w:val="000000" w:themeColor="text1"/>
          <w:sz w:val="24"/>
          <w:szCs w:val="24"/>
        </w:rPr>
        <w:t>contra-revolução</w:t>
      </w:r>
      <w:proofErr w:type="spellEnd"/>
      <w:proofErr w:type="gramEnd"/>
      <w:r>
        <w:rPr>
          <w:rFonts w:ascii="Arial" w:hAnsi="Arial" w:cs="Arial"/>
          <w:color w:val="000000" w:themeColor="text1"/>
          <w:sz w:val="24"/>
          <w:szCs w:val="24"/>
        </w:rPr>
        <w:t xml:space="preserve"> monetarista, encabeçada por Milton F</w:t>
      </w:r>
      <w:r w:rsidR="002E6104">
        <w:rPr>
          <w:rFonts w:ascii="Arial" w:hAnsi="Arial" w:cs="Arial"/>
          <w:color w:val="000000" w:themeColor="text1"/>
          <w:sz w:val="24"/>
          <w:szCs w:val="24"/>
        </w:rPr>
        <w:t>riedman, surge uma nova ruptura no pensamento macroeconômico chamada de “revolução das expectativas racio</w:t>
      </w:r>
      <w:r w:rsidR="00383674">
        <w:rPr>
          <w:rFonts w:ascii="Arial" w:hAnsi="Arial" w:cs="Arial"/>
          <w:color w:val="000000" w:themeColor="text1"/>
          <w:sz w:val="24"/>
          <w:szCs w:val="24"/>
        </w:rPr>
        <w:t xml:space="preserve">nais” </w:t>
      </w:r>
      <w:r w:rsidR="002E6104">
        <w:rPr>
          <w:rFonts w:ascii="Arial" w:hAnsi="Arial" w:cs="Arial"/>
          <w:color w:val="000000" w:themeColor="text1"/>
          <w:sz w:val="24"/>
          <w:szCs w:val="24"/>
        </w:rPr>
        <w:t>(MODENESI, 2005, p.137)</w:t>
      </w:r>
      <w:r w:rsidR="00383674">
        <w:rPr>
          <w:rFonts w:ascii="Arial" w:hAnsi="Arial" w:cs="Arial"/>
          <w:color w:val="000000" w:themeColor="text1"/>
          <w:sz w:val="24"/>
          <w:szCs w:val="24"/>
        </w:rPr>
        <w:t>.</w:t>
      </w:r>
      <w:r w:rsidR="004E442A">
        <w:rPr>
          <w:rFonts w:ascii="Arial" w:hAnsi="Arial" w:cs="Arial"/>
          <w:color w:val="000000" w:themeColor="text1"/>
          <w:sz w:val="24"/>
          <w:szCs w:val="24"/>
        </w:rPr>
        <w:t xml:space="preserve"> </w:t>
      </w:r>
      <w:r w:rsidR="002E6104">
        <w:rPr>
          <w:rFonts w:ascii="Arial" w:hAnsi="Arial" w:cs="Arial"/>
          <w:color w:val="000000" w:themeColor="text1"/>
          <w:sz w:val="24"/>
          <w:szCs w:val="24"/>
        </w:rPr>
        <w:t xml:space="preserve">Tal ruptura se notabiliza por questionar elementos teóricos de </w:t>
      </w:r>
      <w:r w:rsidR="00D86A96">
        <w:rPr>
          <w:rFonts w:ascii="Arial" w:hAnsi="Arial" w:cs="Arial"/>
          <w:color w:val="000000" w:themeColor="text1"/>
          <w:sz w:val="24"/>
          <w:szCs w:val="24"/>
        </w:rPr>
        <w:t>ambas as</w:t>
      </w:r>
      <w:r w:rsidR="002E6104">
        <w:rPr>
          <w:rFonts w:ascii="Arial" w:hAnsi="Arial" w:cs="Arial"/>
          <w:color w:val="000000" w:themeColor="text1"/>
          <w:sz w:val="24"/>
          <w:szCs w:val="24"/>
        </w:rPr>
        <w:t xml:space="preserve"> escolas citadas anteriormente, com destaque para a crítica quanto às expectativas adaptativas e a aversão quanto ao imperativo intervencionista </w:t>
      </w:r>
      <w:proofErr w:type="spellStart"/>
      <w:r w:rsidR="002E6104">
        <w:rPr>
          <w:rFonts w:ascii="Arial" w:hAnsi="Arial" w:cs="Arial"/>
          <w:color w:val="000000" w:themeColor="text1"/>
          <w:sz w:val="24"/>
          <w:szCs w:val="24"/>
        </w:rPr>
        <w:t>keynesiano</w:t>
      </w:r>
      <w:proofErr w:type="spellEnd"/>
      <w:r w:rsidR="004E442A">
        <w:rPr>
          <w:rFonts w:ascii="Arial" w:hAnsi="Arial" w:cs="Arial"/>
          <w:color w:val="000000" w:themeColor="text1"/>
          <w:sz w:val="24"/>
          <w:szCs w:val="24"/>
        </w:rPr>
        <w:t xml:space="preserve">, e tem como expoentes Robert Lucas, Thomas </w:t>
      </w:r>
      <w:proofErr w:type="spellStart"/>
      <w:r w:rsidR="004E442A">
        <w:rPr>
          <w:rFonts w:ascii="Arial" w:hAnsi="Arial" w:cs="Arial"/>
          <w:color w:val="000000" w:themeColor="text1"/>
          <w:sz w:val="24"/>
          <w:szCs w:val="24"/>
        </w:rPr>
        <w:t>Sargent</w:t>
      </w:r>
      <w:proofErr w:type="spellEnd"/>
      <w:r w:rsidR="004E442A">
        <w:rPr>
          <w:rFonts w:ascii="Arial" w:hAnsi="Arial" w:cs="Arial"/>
          <w:color w:val="000000" w:themeColor="text1"/>
          <w:sz w:val="24"/>
          <w:szCs w:val="24"/>
        </w:rPr>
        <w:t xml:space="preserve"> e Neil Wallace.</w:t>
      </w:r>
      <w:r w:rsidR="002E6104">
        <w:rPr>
          <w:rFonts w:ascii="Arial" w:hAnsi="Arial" w:cs="Arial"/>
          <w:color w:val="000000" w:themeColor="text1"/>
          <w:sz w:val="24"/>
          <w:szCs w:val="24"/>
        </w:rPr>
        <w:t xml:space="preserve"> (CARRARA; CORREIA, 2012)</w:t>
      </w:r>
    </w:p>
    <w:p w:rsidR="004E442A" w:rsidRDefault="00C51D98"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Antes de se aprofundar no conceito de expectativas racionais, </w:t>
      </w:r>
      <w:r w:rsidR="00D6578E">
        <w:rPr>
          <w:rFonts w:ascii="Arial" w:hAnsi="Arial" w:cs="Arial"/>
          <w:color w:val="000000" w:themeColor="text1"/>
          <w:sz w:val="24"/>
          <w:szCs w:val="24"/>
        </w:rPr>
        <w:t xml:space="preserve">importante </w:t>
      </w:r>
      <w:proofErr w:type="gramStart"/>
      <w:r w:rsidR="00D6578E">
        <w:rPr>
          <w:rFonts w:ascii="Arial" w:hAnsi="Arial" w:cs="Arial"/>
          <w:color w:val="000000" w:themeColor="text1"/>
          <w:sz w:val="24"/>
          <w:szCs w:val="24"/>
        </w:rPr>
        <w:t>discorrer</w:t>
      </w:r>
      <w:proofErr w:type="gramEnd"/>
      <w:r w:rsidR="00D6578E">
        <w:rPr>
          <w:rFonts w:ascii="Arial" w:hAnsi="Arial" w:cs="Arial"/>
          <w:color w:val="000000" w:themeColor="text1"/>
          <w:sz w:val="24"/>
          <w:szCs w:val="24"/>
        </w:rPr>
        <w:t xml:space="preserve"> sobre o conceito que o antecede</w:t>
      </w:r>
      <w:r w:rsidR="00424A62">
        <w:rPr>
          <w:rFonts w:ascii="Arial" w:hAnsi="Arial" w:cs="Arial"/>
          <w:color w:val="000000" w:themeColor="text1"/>
          <w:sz w:val="24"/>
          <w:szCs w:val="24"/>
        </w:rPr>
        <w:t>, as</w:t>
      </w:r>
      <w:r>
        <w:rPr>
          <w:rFonts w:ascii="Arial" w:hAnsi="Arial" w:cs="Arial"/>
          <w:color w:val="000000" w:themeColor="text1"/>
          <w:sz w:val="24"/>
          <w:szCs w:val="24"/>
        </w:rPr>
        <w:t xml:space="preserve"> expectativas adaptativas</w:t>
      </w:r>
      <w:r w:rsidR="00424A62">
        <w:rPr>
          <w:rFonts w:ascii="Arial" w:hAnsi="Arial" w:cs="Arial"/>
          <w:color w:val="000000" w:themeColor="text1"/>
          <w:sz w:val="24"/>
          <w:szCs w:val="24"/>
        </w:rPr>
        <w:t>.</w:t>
      </w:r>
      <w:r>
        <w:rPr>
          <w:rFonts w:ascii="Arial" w:hAnsi="Arial" w:cs="Arial"/>
          <w:color w:val="000000" w:themeColor="text1"/>
          <w:sz w:val="24"/>
          <w:szCs w:val="24"/>
        </w:rPr>
        <w:t xml:space="preserve"> </w:t>
      </w:r>
      <w:r w:rsidR="00424A62">
        <w:rPr>
          <w:rFonts w:ascii="Arial" w:hAnsi="Arial" w:cs="Arial"/>
          <w:color w:val="000000" w:themeColor="text1"/>
          <w:sz w:val="24"/>
          <w:szCs w:val="24"/>
        </w:rPr>
        <w:t xml:space="preserve">Tanto </w:t>
      </w:r>
      <w:r w:rsidR="005923DD">
        <w:rPr>
          <w:rFonts w:ascii="Arial" w:hAnsi="Arial" w:cs="Arial"/>
          <w:color w:val="000000" w:themeColor="text1"/>
          <w:sz w:val="24"/>
          <w:szCs w:val="24"/>
        </w:rPr>
        <w:t>os conceitos de expectativas racionais quanto adaptativas compartilham</w:t>
      </w:r>
      <w:r w:rsidR="00424A62">
        <w:rPr>
          <w:rFonts w:ascii="Arial" w:hAnsi="Arial" w:cs="Arial"/>
          <w:color w:val="000000" w:themeColor="text1"/>
          <w:sz w:val="24"/>
          <w:szCs w:val="24"/>
        </w:rPr>
        <w:t xml:space="preserve"> de uma perspectiva de taxa natural de desemprego, ou se</w:t>
      </w:r>
      <w:r w:rsidR="005923DD">
        <w:rPr>
          <w:rFonts w:ascii="Arial" w:hAnsi="Arial" w:cs="Arial"/>
          <w:color w:val="000000" w:themeColor="text1"/>
          <w:sz w:val="24"/>
          <w:szCs w:val="24"/>
        </w:rPr>
        <w:t>ja, “</w:t>
      </w:r>
      <w:r w:rsidR="00424A62">
        <w:rPr>
          <w:rFonts w:ascii="Arial" w:hAnsi="Arial" w:cs="Arial"/>
          <w:color w:val="000000" w:themeColor="text1"/>
          <w:sz w:val="24"/>
          <w:szCs w:val="24"/>
        </w:rPr>
        <w:t xml:space="preserve">uma taxa de desemprego que incorpora as características estruturais e institucionais do mercado de trabalho e do mercado de bens” (CARVALHO </w:t>
      </w:r>
      <w:proofErr w:type="gramStart"/>
      <w:r w:rsidR="00424A62">
        <w:rPr>
          <w:rFonts w:ascii="Arial" w:hAnsi="Arial" w:cs="Arial"/>
          <w:color w:val="000000" w:themeColor="text1"/>
          <w:sz w:val="24"/>
          <w:szCs w:val="24"/>
        </w:rPr>
        <w:t>et</w:t>
      </w:r>
      <w:proofErr w:type="gramEnd"/>
      <w:r w:rsidR="00424A62">
        <w:rPr>
          <w:rFonts w:ascii="Arial" w:hAnsi="Arial" w:cs="Arial"/>
          <w:color w:val="000000" w:themeColor="text1"/>
          <w:sz w:val="24"/>
          <w:szCs w:val="24"/>
        </w:rPr>
        <w:t xml:space="preserve"> al, 2007, p.114). A taxa corrente </w:t>
      </w:r>
      <w:r w:rsidR="00D51D23">
        <w:rPr>
          <w:rFonts w:ascii="Arial" w:hAnsi="Arial" w:cs="Arial"/>
          <w:color w:val="000000" w:themeColor="text1"/>
          <w:sz w:val="24"/>
          <w:szCs w:val="24"/>
        </w:rPr>
        <w:t xml:space="preserve">de </w:t>
      </w:r>
      <w:r w:rsidR="00424A62">
        <w:rPr>
          <w:rFonts w:ascii="Arial" w:hAnsi="Arial" w:cs="Arial"/>
          <w:color w:val="000000" w:themeColor="text1"/>
          <w:sz w:val="24"/>
          <w:szCs w:val="24"/>
        </w:rPr>
        <w:t xml:space="preserve">desemprego, </w:t>
      </w:r>
      <w:r w:rsidR="00424A62">
        <w:rPr>
          <w:rFonts w:ascii="Arial" w:hAnsi="Arial" w:cs="Arial"/>
          <w:color w:val="000000" w:themeColor="text1"/>
          <w:sz w:val="24"/>
          <w:szCs w:val="24"/>
        </w:rPr>
        <w:lastRenderedPageBreak/>
        <w:t xml:space="preserve">portanto, corresponde a taxa natural de desemprego quando o conjunto de trabalhadores (empregados ou não) </w:t>
      </w:r>
      <w:r w:rsidR="005923DD">
        <w:rPr>
          <w:rFonts w:ascii="Arial" w:hAnsi="Arial" w:cs="Arial"/>
          <w:color w:val="000000" w:themeColor="text1"/>
          <w:sz w:val="24"/>
          <w:szCs w:val="24"/>
        </w:rPr>
        <w:t>está</w:t>
      </w:r>
      <w:r w:rsidR="00424A62">
        <w:rPr>
          <w:rFonts w:ascii="Arial" w:hAnsi="Arial" w:cs="Arial"/>
          <w:color w:val="000000" w:themeColor="text1"/>
          <w:sz w:val="24"/>
          <w:szCs w:val="24"/>
        </w:rPr>
        <w:t xml:space="preserve"> desfrutando de satisfação plena. </w:t>
      </w:r>
    </w:p>
    <w:p w:rsidR="00125ED1" w:rsidRDefault="005923DD"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No que se </w:t>
      </w:r>
      <w:proofErr w:type="gramStart"/>
      <w:r>
        <w:rPr>
          <w:rFonts w:ascii="Arial" w:hAnsi="Arial" w:cs="Arial"/>
          <w:color w:val="000000" w:themeColor="text1"/>
          <w:sz w:val="24"/>
          <w:szCs w:val="24"/>
        </w:rPr>
        <w:t>refere</w:t>
      </w:r>
      <w:proofErr w:type="gramEnd"/>
      <w:r>
        <w:rPr>
          <w:rFonts w:ascii="Arial" w:hAnsi="Arial" w:cs="Arial"/>
          <w:color w:val="000000" w:themeColor="text1"/>
          <w:sz w:val="24"/>
          <w:szCs w:val="24"/>
        </w:rPr>
        <w:t xml:space="preserve"> às expectativas adaptativas, os trabalhadores formam expectativas quanto aos preços baseados em informações sobre o passado, ou seja, o preço no período T, é igual ao preço no período T</w:t>
      </w:r>
      <w:r w:rsidRPr="005923DD">
        <w:rPr>
          <w:rFonts w:ascii="Arial" w:hAnsi="Arial" w:cs="Arial"/>
          <w:color w:val="000000" w:themeColor="text1"/>
          <w:sz w:val="24"/>
          <w:szCs w:val="24"/>
          <w:vertAlign w:val="subscript"/>
        </w:rPr>
        <w:t>-1</w:t>
      </w:r>
      <w:r>
        <w:rPr>
          <w:rFonts w:ascii="Arial" w:hAnsi="Arial" w:cs="Arial"/>
          <w:color w:val="000000" w:themeColor="text1"/>
          <w:sz w:val="24"/>
          <w:szCs w:val="24"/>
        </w:rPr>
        <w:t xml:space="preserve">. Partindo-se então de uma situação de </w:t>
      </w:r>
      <w:r w:rsidR="00B14296">
        <w:rPr>
          <w:rFonts w:ascii="Arial" w:hAnsi="Arial" w:cs="Arial"/>
          <w:color w:val="000000" w:themeColor="text1"/>
          <w:sz w:val="24"/>
          <w:szCs w:val="24"/>
        </w:rPr>
        <w:t>equilíbrio, em um movimento de expansão monetária os empresários poderiam oferecer uma maior remuneração o que resultaria em uma diminuição do desemprego, pois aumenta o custo de oportunidade dos trabalhadores em relação ao lazer. Pelo lado dos trabalhadores, esse aumento de salário nominal será entendido como um aumento real, pois em suas expectativas o preço em T é igual a T</w:t>
      </w:r>
      <w:r w:rsidR="00B14296" w:rsidRPr="00B14296">
        <w:rPr>
          <w:rFonts w:ascii="Arial" w:hAnsi="Arial" w:cs="Arial"/>
          <w:color w:val="000000" w:themeColor="text1"/>
          <w:sz w:val="24"/>
          <w:szCs w:val="24"/>
          <w:vertAlign w:val="subscript"/>
        </w:rPr>
        <w:t>-1</w:t>
      </w:r>
      <w:r w:rsidR="00B14296">
        <w:rPr>
          <w:rFonts w:ascii="Arial" w:hAnsi="Arial" w:cs="Arial"/>
          <w:color w:val="000000" w:themeColor="text1"/>
          <w:sz w:val="24"/>
          <w:szCs w:val="24"/>
          <w:vertAlign w:val="subscript"/>
        </w:rPr>
        <w:t xml:space="preserve">. </w:t>
      </w:r>
      <w:r w:rsidR="00B14296">
        <w:rPr>
          <w:rFonts w:ascii="Arial" w:hAnsi="Arial" w:cs="Arial"/>
          <w:color w:val="000000" w:themeColor="text1"/>
          <w:sz w:val="24"/>
          <w:szCs w:val="24"/>
        </w:rPr>
        <w:t xml:space="preserve">Contudo, quando o trabalhador vai ao mercado gastar seu salário percebe que houve um aumento generalizado de preços devido à expansão monetária, </w:t>
      </w:r>
      <w:r w:rsidR="00AA0F16">
        <w:rPr>
          <w:rFonts w:ascii="Arial" w:hAnsi="Arial" w:cs="Arial"/>
          <w:color w:val="000000" w:themeColor="text1"/>
          <w:sz w:val="24"/>
          <w:szCs w:val="24"/>
        </w:rPr>
        <w:t>e</w:t>
      </w:r>
      <w:r w:rsidR="00B14296">
        <w:rPr>
          <w:rFonts w:ascii="Arial" w:hAnsi="Arial" w:cs="Arial"/>
          <w:color w:val="000000" w:themeColor="text1"/>
          <w:sz w:val="24"/>
          <w:szCs w:val="24"/>
        </w:rPr>
        <w:t xml:space="preserve"> que no final das contas</w:t>
      </w:r>
      <w:r w:rsidR="00AA0F16">
        <w:rPr>
          <w:rFonts w:ascii="Arial" w:hAnsi="Arial" w:cs="Arial"/>
          <w:color w:val="000000" w:themeColor="text1"/>
          <w:sz w:val="24"/>
          <w:szCs w:val="24"/>
        </w:rPr>
        <w:t>, seu aumento de salário não proporciona a possibilidade de se adquirir mais bens, isto é, sua satisfação não evoluiu com o aumento de salário</w:t>
      </w:r>
      <w:r w:rsidR="00DC537A">
        <w:rPr>
          <w:rFonts w:ascii="Arial" w:hAnsi="Arial" w:cs="Arial"/>
          <w:color w:val="000000" w:themeColor="text1"/>
          <w:sz w:val="24"/>
          <w:szCs w:val="24"/>
        </w:rPr>
        <w:t>. O</w:t>
      </w:r>
      <w:r w:rsidR="00B14296">
        <w:rPr>
          <w:rFonts w:ascii="Arial" w:hAnsi="Arial" w:cs="Arial"/>
          <w:color w:val="000000" w:themeColor="text1"/>
          <w:sz w:val="24"/>
          <w:szCs w:val="24"/>
        </w:rPr>
        <w:t xml:space="preserve">u seja, o trabalhador sofre de uma </w:t>
      </w:r>
      <w:r w:rsidR="00B14296" w:rsidRPr="00B14296">
        <w:rPr>
          <w:rFonts w:ascii="Arial" w:hAnsi="Arial" w:cs="Arial"/>
          <w:i/>
          <w:color w:val="000000" w:themeColor="text1"/>
          <w:sz w:val="24"/>
          <w:szCs w:val="24"/>
        </w:rPr>
        <w:t>ilusão monetária</w:t>
      </w:r>
      <w:r w:rsidR="00B14296">
        <w:rPr>
          <w:rFonts w:ascii="Arial" w:hAnsi="Arial" w:cs="Arial"/>
          <w:i/>
          <w:color w:val="000000" w:themeColor="text1"/>
          <w:sz w:val="24"/>
          <w:szCs w:val="24"/>
        </w:rPr>
        <w:t>.</w:t>
      </w:r>
      <w:r w:rsidR="00125ED1">
        <w:rPr>
          <w:rFonts w:ascii="Arial" w:hAnsi="Arial" w:cs="Arial"/>
          <w:color w:val="000000" w:themeColor="text1"/>
          <w:sz w:val="24"/>
          <w:szCs w:val="24"/>
        </w:rPr>
        <w:t xml:space="preserve"> </w:t>
      </w:r>
    </w:p>
    <w:p w:rsidR="00632CB1" w:rsidRDefault="00125ED1"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Quando o trabalhador percebe que sua satisfação não foi aumentada, aquela parte que ingressou no mercado de trabalho devido ao aumento nominal do salário volta a preferir o lazer, retirando-se do mercado de trabalho. Portanto, em suma, um aumento da expansão monetária</w:t>
      </w:r>
      <w:r w:rsidR="00B14296">
        <w:rPr>
          <w:rFonts w:ascii="Arial" w:hAnsi="Arial" w:cs="Arial"/>
          <w:color w:val="000000" w:themeColor="text1"/>
          <w:sz w:val="24"/>
          <w:szCs w:val="24"/>
        </w:rPr>
        <w:t xml:space="preserve"> </w:t>
      </w:r>
      <w:r>
        <w:rPr>
          <w:rFonts w:ascii="Arial" w:hAnsi="Arial" w:cs="Arial"/>
          <w:color w:val="000000" w:themeColor="text1"/>
          <w:sz w:val="24"/>
          <w:szCs w:val="24"/>
        </w:rPr>
        <w:t>tende a modificar o nível de desemprego apenas no curto prazo e por um breve período de tempo, tendo como resultado apenas o aumento do índice de preços.</w:t>
      </w:r>
    </w:p>
    <w:p w:rsidR="00275CD5" w:rsidRPr="00275CD5" w:rsidRDefault="00383674"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Já no campo das</w:t>
      </w:r>
      <w:r w:rsidR="00275CD5" w:rsidRPr="00275CD5">
        <w:rPr>
          <w:rFonts w:ascii="Arial" w:hAnsi="Arial" w:cs="Arial"/>
          <w:color w:val="000000" w:themeColor="text1"/>
          <w:sz w:val="24"/>
          <w:szCs w:val="24"/>
        </w:rPr>
        <w:t xml:space="preserve"> expectativas racionais</w:t>
      </w:r>
      <w:r w:rsidR="002B2776">
        <w:rPr>
          <w:rFonts w:ascii="Arial" w:hAnsi="Arial" w:cs="Arial"/>
          <w:color w:val="000000" w:themeColor="text1"/>
          <w:sz w:val="24"/>
          <w:szCs w:val="24"/>
        </w:rPr>
        <w:t xml:space="preserve">, destaca-se </w:t>
      </w:r>
      <w:r w:rsidR="00275CD5" w:rsidRPr="00275CD5">
        <w:rPr>
          <w:rFonts w:ascii="Arial" w:hAnsi="Arial" w:cs="Arial"/>
          <w:color w:val="000000" w:themeColor="text1"/>
          <w:sz w:val="24"/>
          <w:szCs w:val="24"/>
        </w:rPr>
        <w:t>a ideia de que “os agentes econômicos maximizam a utilização de toda informação disponível ao formarem suas expectativas” (M</w:t>
      </w:r>
      <w:r w:rsidR="009E70B0">
        <w:rPr>
          <w:rFonts w:ascii="Arial" w:hAnsi="Arial" w:cs="Arial"/>
          <w:color w:val="000000" w:themeColor="text1"/>
          <w:sz w:val="24"/>
          <w:szCs w:val="24"/>
        </w:rPr>
        <w:t>ODENESI</w:t>
      </w:r>
      <w:r w:rsidR="00275CD5" w:rsidRPr="00275CD5">
        <w:rPr>
          <w:rFonts w:ascii="Arial" w:hAnsi="Arial" w:cs="Arial"/>
          <w:color w:val="000000" w:themeColor="text1"/>
          <w:sz w:val="24"/>
          <w:szCs w:val="24"/>
        </w:rPr>
        <w:t>,</w:t>
      </w:r>
      <w:r w:rsidR="002B2776">
        <w:rPr>
          <w:rFonts w:ascii="Arial" w:hAnsi="Arial" w:cs="Arial"/>
          <w:color w:val="000000" w:themeColor="text1"/>
          <w:sz w:val="24"/>
          <w:szCs w:val="24"/>
        </w:rPr>
        <w:t xml:space="preserve"> 2005,</w:t>
      </w:r>
      <w:r w:rsidR="00275CD5" w:rsidRPr="00275CD5">
        <w:rPr>
          <w:rFonts w:ascii="Arial" w:hAnsi="Arial" w:cs="Arial"/>
          <w:color w:val="000000" w:themeColor="text1"/>
          <w:sz w:val="24"/>
          <w:szCs w:val="24"/>
        </w:rPr>
        <w:t xml:space="preserve"> p.141). Dessa forma, como os agentes possuem a capacidade de maximizar as informações, a expectativa subjetiva com relação à inflação coincide com a esperança matemática objetiva dessa mesma variável. Isso não quer dizer que os agentes </w:t>
      </w:r>
      <w:r w:rsidR="002B2776" w:rsidRPr="00275CD5">
        <w:rPr>
          <w:rFonts w:ascii="Arial" w:hAnsi="Arial" w:cs="Arial"/>
          <w:color w:val="000000" w:themeColor="text1"/>
          <w:sz w:val="24"/>
          <w:szCs w:val="24"/>
        </w:rPr>
        <w:t>têm</w:t>
      </w:r>
      <w:r w:rsidR="00275CD5" w:rsidRPr="00275CD5">
        <w:rPr>
          <w:rFonts w:ascii="Arial" w:hAnsi="Arial" w:cs="Arial"/>
          <w:color w:val="000000" w:themeColor="text1"/>
          <w:sz w:val="24"/>
          <w:szCs w:val="24"/>
        </w:rPr>
        <w:t xml:space="preserve"> a capacidade de prever o futuro perfeitamente, mas sim que os agentes não cometem erros sistemáti</w:t>
      </w:r>
      <w:r w:rsidR="00F57C6C">
        <w:rPr>
          <w:rFonts w:ascii="Arial" w:hAnsi="Arial" w:cs="Arial"/>
          <w:color w:val="000000" w:themeColor="text1"/>
          <w:sz w:val="24"/>
          <w:szCs w:val="24"/>
        </w:rPr>
        <w:t>cos ao formarem sua expectativa;</w:t>
      </w:r>
      <w:r w:rsidR="00275CD5" w:rsidRPr="00275CD5">
        <w:rPr>
          <w:rFonts w:ascii="Arial" w:hAnsi="Arial" w:cs="Arial"/>
          <w:color w:val="000000" w:themeColor="text1"/>
          <w:sz w:val="24"/>
          <w:szCs w:val="24"/>
        </w:rPr>
        <w:t xml:space="preserve"> diferentemente da teoria das expectativas adaptativas. </w:t>
      </w:r>
    </w:p>
    <w:p w:rsidR="00275CD5" w:rsidRPr="00275CD5" w:rsidRDefault="00275CD5" w:rsidP="00885B1A">
      <w:pPr>
        <w:spacing w:after="0" w:line="360" w:lineRule="auto"/>
        <w:ind w:firstLine="708"/>
        <w:jc w:val="both"/>
        <w:rPr>
          <w:rFonts w:ascii="Arial" w:hAnsi="Arial" w:cs="Arial"/>
          <w:color w:val="000000" w:themeColor="text1"/>
          <w:sz w:val="24"/>
          <w:szCs w:val="24"/>
        </w:rPr>
      </w:pPr>
      <w:r w:rsidRPr="00275CD5">
        <w:rPr>
          <w:rFonts w:ascii="Arial" w:hAnsi="Arial" w:cs="Arial"/>
          <w:color w:val="000000" w:themeColor="text1"/>
          <w:sz w:val="24"/>
          <w:szCs w:val="24"/>
        </w:rPr>
        <w:t>Se por ventura, houver erro sistemático, os agentes aprenderiam com o erro e reparariam sua expectativa, mas na média a expectativa de inflação converge para a inflação realizada. A hipótese pode ser formulada da seguinte maneira.</w:t>
      </w:r>
    </w:p>
    <w:p w:rsidR="00275CD5" w:rsidRPr="002B2776" w:rsidRDefault="009E34DA" w:rsidP="00885B1A">
      <w:pPr>
        <w:spacing w:after="0" w:line="360" w:lineRule="auto"/>
        <w:ind w:firstLine="708"/>
        <w:jc w:val="both"/>
        <w:rPr>
          <w:rFonts w:ascii="Arial" w:hAnsi="Arial" w:cs="Arial"/>
          <w:color w:val="000000" w:themeColor="text1"/>
          <w:sz w:val="28"/>
          <w:szCs w:val="28"/>
        </w:rPr>
      </w:pPr>
      <m:oMath>
        <m:sSubSup>
          <m:sSubSupPr>
            <m:ctrlPr>
              <w:rPr>
                <w:rFonts w:ascii="Cambria Math" w:hAnsi="Cambria Math" w:cs="Arial"/>
                <w:color w:val="000000" w:themeColor="text1"/>
                <w:sz w:val="28"/>
                <w:szCs w:val="28"/>
              </w:rPr>
            </m:ctrlPr>
          </m:sSubSupPr>
          <m:e>
            <m:r>
              <w:rPr>
                <w:rFonts w:ascii="Cambria Math" w:hAnsi="Cambria Math" w:cs="Arial"/>
                <w:color w:val="000000" w:themeColor="text1"/>
                <w:sz w:val="28"/>
                <w:szCs w:val="28"/>
              </w:rPr>
              <m:t>P</m:t>
            </m:r>
          </m:e>
          <m:sub>
            <m:r>
              <w:rPr>
                <w:rFonts w:ascii="Cambria Math" w:hAnsi="Cambria Math" w:cs="Arial"/>
                <w:color w:val="000000" w:themeColor="text1"/>
                <w:sz w:val="28"/>
                <w:szCs w:val="28"/>
              </w:rPr>
              <m:t>T</m:t>
            </m:r>
          </m:sub>
          <m:sup>
            <m:r>
              <w:rPr>
                <w:rFonts w:ascii="Cambria Math" w:hAnsi="Cambria Math" w:cs="Arial"/>
                <w:color w:val="000000" w:themeColor="text1"/>
                <w:sz w:val="28"/>
                <w:szCs w:val="28"/>
              </w:rPr>
              <m:t>e</m:t>
            </m:r>
          </m:sup>
        </m:sSubSup>
      </m:oMath>
      <w:r w:rsidR="00275CD5" w:rsidRPr="002B2776">
        <w:rPr>
          <w:rFonts w:ascii="Arial" w:hAnsi="Arial" w:cs="Arial"/>
          <w:color w:val="000000" w:themeColor="text1"/>
          <w:sz w:val="28"/>
          <w:szCs w:val="28"/>
        </w:rPr>
        <w:t xml:space="preserve"> = </w:t>
      </w:r>
      <w:proofErr w:type="spellStart"/>
      <w:proofErr w:type="gramStart"/>
      <w:r w:rsidR="00275CD5" w:rsidRPr="002B2776">
        <w:rPr>
          <w:rFonts w:ascii="Cambria Math" w:hAnsi="Cambria Math" w:cs="Arial"/>
          <w:i/>
          <w:iCs/>
          <w:color w:val="000000" w:themeColor="text1"/>
          <w:sz w:val="28"/>
          <w:szCs w:val="28"/>
        </w:rPr>
        <w:t>P</w:t>
      </w:r>
      <w:r w:rsidR="002B2776" w:rsidRPr="002B2776">
        <w:rPr>
          <w:rFonts w:ascii="Cambria Math" w:hAnsi="Cambria Math" w:cs="Arial"/>
          <w:i/>
          <w:iCs/>
          <w:color w:val="000000" w:themeColor="text1"/>
          <w:sz w:val="28"/>
          <w:szCs w:val="28"/>
          <w:vertAlign w:val="subscript"/>
        </w:rPr>
        <w:t>t</w:t>
      </w:r>
      <w:proofErr w:type="spellEnd"/>
      <w:proofErr w:type="gramEnd"/>
      <w:r w:rsidR="00275CD5" w:rsidRPr="002B2776">
        <w:rPr>
          <w:rFonts w:ascii="Cambria Math" w:hAnsi="Cambria Math" w:cs="Arial"/>
          <w:i/>
          <w:iCs/>
          <w:color w:val="000000" w:themeColor="text1"/>
          <w:sz w:val="28"/>
          <w:szCs w:val="28"/>
          <w:vertAlign w:val="subscript"/>
        </w:rPr>
        <w:t xml:space="preserve"> </w:t>
      </w:r>
      <w:r w:rsidR="00275CD5" w:rsidRPr="002B2776">
        <w:rPr>
          <w:rFonts w:ascii="Cambria Math" w:hAnsi="Cambria Math" w:cs="Arial"/>
          <w:i/>
          <w:iCs/>
          <w:color w:val="000000" w:themeColor="text1"/>
          <w:sz w:val="28"/>
          <w:szCs w:val="28"/>
        </w:rPr>
        <w:t>+ E</w:t>
      </w:r>
      <w:r w:rsidR="002B2776">
        <w:rPr>
          <w:rFonts w:ascii="Cambria Math" w:hAnsi="Cambria Math" w:cs="Arial"/>
          <w:i/>
          <w:iCs/>
          <w:color w:val="000000" w:themeColor="text1"/>
          <w:sz w:val="28"/>
          <w:szCs w:val="28"/>
        </w:rPr>
        <w:tab/>
      </w:r>
      <w:r w:rsidR="002B2776">
        <w:rPr>
          <w:rFonts w:ascii="Cambria Math" w:hAnsi="Cambria Math" w:cs="Arial"/>
          <w:i/>
          <w:iCs/>
          <w:color w:val="000000" w:themeColor="text1"/>
          <w:sz w:val="28"/>
          <w:szCs w:val="28"/>
        </w:rPr>
        <w:tab/>
      </w:r>
      <w:r w:rsidR="002B2776">
        <w:rPr>
          <w:rFonts w:ascii="Cambria Math" w:hAnsi="Cambria Math" w:cs="Arial"/>
          <w:i/>
          <w:iCs/>
          <w:color w:val="000000" w:themeColor="text1"/>
          <w:sz w:val="28"/>
          <w:szCs w:val="28"/>
        </w:rPr>
        <w:tab/>
      </w:r>
      <w:r w:rsidR="002B2776">
        <w:rPr>
          <w:rFonts w:ascii="Cambria Math" w:hAnsi="Cambria Math" w:cs="Arial"/>
          <w:i/>
          <w:iCs/>
          <w:color w:val="000000" w:themeColor="text1"/>
          <w:sz w:val="28"/>
          <w:szCs w:val="28"/>
        </w:rPr>
        <w:tab/>
      </w:r>
      <w:r w:rsidR="002B2776" w:rsidRPr="002B2776">
        <w:rPr>
          <w:rFonts w:ascii="Arial" w:hAnsi="Arial" w:cs="Arial"/>
          <w:i/>
          <w:iCs/>
          <w:color w:val="000000" w:themeColor="text1"/>
          <w:sz w:val="24"/>
          <w:szCs w:val="24"/>
        </w:rPr>
        <w:t>(</w:t>
      </w:r>
      <w:r w:rsidR="00141D2E">
        <w:rPr>
          <w:rFonts w:ascii="Arial" w:hAnsi="Arial" w:cs="Arial"/>
          <w:i/>
          <w:iCs/>
          <w:color w:val="000000" w:themeColor="text1"/>
          <w:sz w:val="24"/>
          <w:szCs w:val="24"/>
        </w:rPr>
        <w:t>2</w:t>
      </w:r>
      <w:r w:rsidR="002B2776" w:rsidRPr="002B2776">
        <w:rPr>
          <w:rFonts w:ascii="Arial" w:hAnsi="Arial" w:cs="Arial"/>
          <w:i/>
          <w:iCs/>
          <w:color w:val="000000" w:themeColor="text1"/>
          <w:sz w:val="24"/>
          <w:szCs w:val="24"/>
        </w:rPr>
        <w:t>)</w:t>
      </w:r>
    </w:p>
    <w:p w:rsidR="00275CD5" w:rsidRPr="00275CD5" w:rsidRDefault="00275CD5" w:rsidP="00885B1A">
      <w:pPr>
        <w:spacing w:after="0" w:line="360" w:lineRule="auto"/>
        <w:ind w:firstLine="708"/>
        <w:jc w:val="both"/>
        <w:rPr>
          <w:rFonts w:ascii="Arial" w:hAnsi="Arial" w:cs="Arial"/>
          <w:color w:val="000000" w:themeColor="text1"/>
          <w:sz w:val="24"/>
          <w:szCs w:val="24"/>
        </w:rPr>
      </w:pPr>
      <w:r w:rsidRPr="00275CD5">
        <w:rPr>
          <w:rFonts w:ascii="Arial" w:hAnsi="Arial" w:cs="Arial"/>
          <w:color w:val="000000" w:themeColor="text1"/>
          <w:sz w:val="24"/>
          <w:szCs w:val="24"/>
        </w:rPr>
        <w:t xml:space="preserve">A expectativa de inflação é igual </w:t>
      </w:r>
      <w:r w:rsidR="002B2776" w:rsidRPr="00275CD5">
        <w:rPr>
          <w:rFonts w:ascii="Arial" w:hAnsi="Arial" w:cs="Arial"/>
          <w:color w:val="000000" w:themeColor="text1"/>
          <w:sz w:val="24"/>
          <w:szCs w:val="24"/>
        </w:rPr>
        <w:t>à</w:t>
      </w:r>
      <w:r w:rsidRPr="00275CD5">
        <w:rPr>
          <w:rFonts w:ascii="Arial" w:hAnsi="Arial" w:cs="Arial"/>
          <w:color w:val="000000" w:themeColor="text1"/>
          <w:sz w:val="24"/>
          <w:szCs w:val="24"/>
        </w:rPr>
        <w:t xml:space="preserve"> própria taxa de inflação mais seu erro aleatório, que possui média zero e variância mínima, além de ausência </w:t>
      </w:r>
      <w:r w:rsidR="002B2776">
        <w:rPr>
          <w:rFonts w:ascii="Arial" w:hAnsi="Arial" w:cs="Arial"/>
          <w:color w:val="000000" w:themeColor="text1"/>
          <w:sz w:val="24"/>
          <w:szCs w:val="24"/>
        </w:rPr>
        <w:t xml:space="preserve">de </w:t>
      </w:r>
      <w:r w:rsidR="00383674">
        <w:rPr>
          <w:rFonts w:ascii="Arial" w:hAnsi="Arial" w:cs="Arial"/>
          <w:color w:val="000000" w:themeColor="text1"/>
          <w:sz w:val="24"/>
          <w:szCs w:val="24"/>
        </w:rPr>
        <w:t>auto correlação</w:t>
      </w:r>
      <w:r w:rsidR="002B2776">
        <w:rPr>
          <w:rFonts w:ascii="Arial" w:hAnsi="Arial" w:cs="Arial"/>
          <w:color w:val="000000" w:themeColor="text1"/>
          <w:sz w:val="24"/>
          <w:szCs w:val="24"/>
        </w:rPr>
        <w:t>.</w:t>
      </w:r>
      <w:r w:rsidRPr="00275CD5">
        <w:rPr>
          <w:rFonts w:ascii="Arial" w:hAnsi="Arial" w:cs="Arial"/>
          <w:color w:val="000000" w:themeColor="text1"/>
          <w:sz w:val="24"/>
          <w:szCs w:val="24"/>
        </w:rPr>
        <w:t xml:space="preserve"> Depreende-se, portanto, que se as variáveis aleatórias são independentes a realização de uma delas não gera informação precisa sobre a outra, ou seja, um erro positivo em um momento não traz informação sobre o erro no próximo período, se negativo ou positivo. </w:t>
      </w:r>
    </w:p>
    <w:p w:rsidR="00F57C6C" w:rsidRDefault="00275CD5" w:rsidP="00885B1A">
      <w:pPr>
        <w:spacing w:after="0" w:line="360" w:lineRule="auto"/>
        <w:ind w:firstLine="708"/>
        <w:jc w:val="both"/>
        <w:rPr>
          <w:rFonts w:ascii="Arial" w:hAnsi="Arial" w:cs="Arial"/>
          <w:color w:val="000000" w:themeColor="text1"/>
          <w:sz w:val="24"/>
          <w:szCs w:val="24"/>
        </w:rPr>
      </w:pPr>
      <w:r w:rsidRPr="00275CD5">
        <w:rPr>
          <w:rFonts w:ascii="Arial" w:hAnsi="Arial" w:cs="Arial"/>
          <w:color w:val="000000" w:themeColor="text1"/>
          <w:sz w:val="24"/>
          <w:szCs w:val="24"/>
        </w:rPr>
        <w:t>Diferentemente da teoria das expectativas adaptativas, que formava sua expectativa baseada em informações do passado</w:t>
      </w:r>
      <w:r w:rsidR="002B2776">
        <w:rPr>
          <w:rFonts w:ascii="Arial" w:hAnsi="Arial" w:cs="Arial"/>
          <w:color w:val="000000" w:themeColor="text1"/>
          <w:sz w:val="24"/>
          <w:szCs w:val="24"/>
        </w:rPr>
        <w:t xml:space="preserve"> e que</w:t>
      </w:r>
      <w:r w:rsidRPr="00275CD5">
        <w:rPr>
          <w:rFonts w:ascii="Arial" w:hAnsi="Arial" w:cs="Arial"/>
          <w:color w:val="000000" w:themeColor="text1"/>
          <w:sz w:val="24"/>
          <w:szCs w:val="24"/>
        </w:rPr>
        <w:t xml:space="preserve"> </w:t>
      </w:r>
      <w:r w:rsidR="002B2776">
        <w:rPr>
          <w:rFonts w:ascii="Arial" w:hAnsi="Arial" w:cs="Arial"/>
          <w:color w:val="000000" w:themeColor="text1"/>
          <w:sz w:val="24"/>
          <w:szCs w:val="24"/>
        </w:rPr>
        <w:t>possibilitava o surgimento de erros sistemáticos;</w:t>
      </w:r>
      <w:r w:rsidRPr="00275CD5">
        <w:rPr>
          <w:rFonts w:ascii="Arial" w:hAnsi="Arial" w:cs="Arial"/>
          <w:color w:val="000000" w:themeColor="text1"/>
          <w:sz w:val="24"/>
          <w:szCs w:val="24"/>
        </w:rPr>
        <w:t xml:space="preserve"> a teoria das expectativas racionais considera </w:t>
      </w:r>
      <w:r w:rsidR="002B2776">
        <w:rPr>
          <w:rFonts w:ascii="Arial" w:hAnsi="Arial" w:cs="Arial"/>
          <w:color w:val="000000" w:themeColor="text1"/>
          <w:sz w:val="24"/>
          <w:szCs w:val="24"/>
        </w:rPr>
        <w:t xml:space="preserve">que </w:t>
      </w:r>
      <w:r w:rsidRPr="00275CD5">
        <w:rPr>
          <w:rFonts w:ascii="Arial" w:hAnsi="Arial" w:cs="Arial"/>
          <w:color w:val="000000" w:themeColor="text1"/>
          <w:sz w:val="24"/>
          <w:szCs w:val="24"/>
        </w:rPr>
        <w:t xml:space="preserve">a formação de erros não são </w:t>
      </w:r>
      <w:proofErr w:type="gramStart"/>
      <w:r w:rsidR="002B2776" w:rsidRPr="00275CD5">
        <w:rPr>
          <w:rFonts w:ascii="Arial" w:hAnsi="Arial" w:cs="Arial"/>
          <w:color w:val="000000" w:themeColor="text1"/>
          <w:sz w:val="24"/>
          <w:szCs w:val="24"/>
        </w:rPr>
        <w:t>sistemática</w:t>
      </w:r>
      <w:r w:rsidR="002B2776">
        <w:rPr>
          <w:rFonts w:ascii="Arial" w:hAnsi="Arial" w:cs="Arial"/>
          <w:color w:val="000000" w:themeColor="text1"/>
          <w:sz w:val="24"/>
          <w:szCs w:val="24"/>
        </w:rPr>
        <w:t>s</w:t>
      </w:r>
      <w:proofErr w:type="gramEnd"/>
      <w:r w:rsidR="002B2776">
        <w:rPr>
          <w:rFonts w:ascii="Arial" w:hAnsi="Arial" w:cs="Arial"/>
          <w:color w:val="000000" w:themeColor="text1"/>
          <w:sz w:val="24"/>
          <w:szCs w:val="24"/>
        </w:rPr>
        <w:t>, e dessa forma</w:t>
      </w:r>
      <w:r w:rsidRPr="00275CD5">
        <w:rPr>
          <w:rFonts w:ascii="Arial" w:hAnsi="Arial" w:cs="Arial"/>
          <w:color w:val="000000" w:themeColor="text1"/>
          <w:sz w:val="24"/>
          <w:szCs w:val="24"/>
        </w:rPr>
        <w:t>, “a regra de formação das expectativas racionais constitui a maneira mais precisa e eficiente de eles [agentes] elaborarem suas previsões” (MODENESI,</w:t>
      </w:r>
      <w:r w:rsidR="002B2776">
        <w:rPr>
          <w:rFonts w:ascii="Arial" w:hAnsi="Arial" w:cs="Arial"/>
          <w:color w:val="000000" w:themeColor="text1"/>
          <w:sz w:val="24"/>
          <w:szCs w:val="24"/>
        </w:rPr>
        <w:t xml:space="preserve"> 2005,</w:t>
      </w:r>
      <w:r w:rsidRPr="00275CD5">
        <w:rPr>
          <w:rFonts w:ascii="Arial" w:hAnsi="Arial" w:cs="Arial"/>
          <w:color w:val="000000" w:themeColor="text1"/>
          <w:sz w:val="24"/>
          <w:szCs w:val="24"/>
        </w:rPr>
        <w:t xml:space="preserve"> p.145).</w:t>
      </w:r>
      <w:r w:rsidR="00CF750F">
        <w:rPr>
          <w:rFonts w:ascii="Arial" w:hAnsi="Arial" w:cs="Arial"/>
          <w:color w:val="000000" w:themeColor="text1"/>
          <w:sz w:val="24"/>
          <w:szCs w:val="24"/>
        </w:rPr>
        <w:t xml:space="preserve"> De forma prática, ao se considerar agentes que maximizam a info</w:t>
      </w:r>
      <w:r w:rsidR="00033A10">
        <w:rPr>
          <w:rFonts w:ascii="Arial" w:hAnsi="Arial" w:cs="Arial"/>
          <w:color w:val="000000" w:themeColor="text1"/>
          <w:sz w:val="24"/>
          <w:szCs w:val="24"/>
        </w:rPr>
        <w:t>rmação e que ela é</w:t>
      </w:r>
      <w:r w:rsidR="00CF750F">
        <w:rPr>
          <w:rFonts w:ascii="Arial" w:hAnsi="Arial" w:cs="Arial"/>
          <w:color w:val="000000" w:themeColor="text1"/>
          <w:sz w:val="24"/>
          <w:szCs w:val="24"/>
        </w:rPr>
        <w:t xml:space="preserve"> passível de interpretação a todos, um aumento da oferta de moeda anunciada pelo governo representa apenas </w:t>
      </w:r>
      <w:r w:rsidR="00F57C6C">
        <w:rPr>
          <w:rFonts w:ascii="Arial" w:hAnsi="Arial" w:cs="Arial"/>
          <w:color w:val="000000" w:themeColor="text1"/>
          <w:sz w:val="24"/>
          <w:szCs w:val="24"/>
        </w:rPr>
        <w:t xml:space="preserve">um sinal de que salários e preços irão aumentar. Sendo assim, os agentes </w:t>
      </w:r>
      <w:proofErr w:type="spellStart"/>
      <w:r w:rsidR="00F57C6C">
        <w:rPr>
          <w:rFonts w:ascii="Arial" w:hAnsi="Arial" w:cs="Arial"/>
          <w:color w:val="000000" w:themeColor="text1"/>
          <w:sz w:val="24"/>
          <w:szCs w:val="24"/>
        </w:rPr>
        <w:t>maximizadores</w:t>
      </w:r>
      <w:proofErr w:type="spellEnd"/>
      <w:r w:rsidR="00F57C6C">
        <w:rPr>
          <w:rFonts w:ascii="Arial" w:hAnsi="Arial" w:cs="Arial"/>
          <w:color w:val="000000" w:themeColor="text1"/>
          <w:sz w:val="24"/>
          <w:szCs w:val="24"/>
        </w:rPr>
        <w:t xml:space="preserve"> de informação antecipariam os aumentos</w:t>
      </w:r>
      <w:r w:rsidR="00033A10">
        <w:rPr>
          <w:rFonts w:ascii="Arial" w:hAnsi="Arial" w:cs="Arial"/>
          <w:color w:val="000000" w:themeColor="text1"/>
          <w:sz w:val="24"/>
          <w:szCs w:val="24"/>
        </w:rPr>
        <w:t>,</w:t>
      </w:r>
      <w:r w:rsidR="00F57C6C">
        <w:rPr>
          <w:rFonts w:ascii="Arial" w:hAnsi="Arial" w:cs="Arial"/>
          <w:color w:val="000000" w:themeColor="text1"/>
          <w:sz w:val="24"/>
          <w:szCs w:val="24"/>
        </w:rPr>
        <w:t xml:space="preserve"> elevando os preços e salários da economia</w:t>
      </w:r>
      <w:r w:rsidR="00500B69">
        <w:rPr>
          <w:rFonts w:ascii="Arial" w:hAnsi="Arial" w:cs="Arial"/>
          <w:color w:val="000000" w:themeColor="text1"/>
          <w:sz w:val="24"/>
          <w:szCs w:val="24"/>
        </w:rPr>
        <w:t xml:space="preserve">, sem aumentar nenhuma vaga de emprego, </w:t>
      </w:r>
      <w:r w:rsidR="00C32D83">
        <w:rPr>
          <w:rFonts w:ascii="Arial" w:hAnsi="Arial" w:cs="Arial"/>
          <w:color w:val="000000" w:themeColor="text1"/>
          <w:sz w:val="24"/>
          <w:szCs w:val="24"/>
        </w:rPr>
        <w:t>mantendo a taxa de emprego</w:t>
      </w:r>
      <w:r w:rsidR="00500B69">
        <w:rPr>
          <w:rFonts w:ascii="Arial" w:hAnsi="Arial" w:cs="Arial"/>
          <w:color w:val="000000" w:themeColor="text1"/>
          <w:sz w:val="24"/>
          <w:szCs w:val="24"/>
        </w:rPr>
        <w:t xml:space="preserve"> em sua taxa natural</w:t>
      </w:r>
      <w:r w:rsidR="00F57C6C">
        <w:rPr>
          <w:rFonts w:ascii="Arial" w:hAnsi="Arial" w:cs="Arial"/>
          <w:color w:val="000000" w:themeColor="text1"/>
          <w:sz w:val="24"/>
          <w:szCs w:val="24"/>
        </w:rPr>
        <w:t>. Isto é, a política monetária expansionista será nula para alterar as variáveis reais da economia.</w:t>
      </w:r>
      <w:r w:rsidR="00F57C6C" w:rsidRPr="00F57C6C">
        <w:rPr>
          <w:rFonts w:ascii="Arial" w:hAnsi="Arial" w:cs="Arial"/>
          <w:color w:val="000000" w:themeColor="text1"/>
          <w:sz w:val="24"/>
          <w:szCs w:val="24"/>
        </w:rPr>
        <w:t xml:space="preserve"> </w:t>
      </w:r>
    </w:p>
    <w:p w:rsidR="00F57C6C" w:rsidRDefault="00F57C6C" w:rsidP="00885B1A">
      <w:pPr>
        <w:spacing w:after="0" w:line="360" w:lineRule="auto"/>
        <w:ind w:firstLine="708"/>
        <w:jc w:val="both"/>
        <w:rPr>
          <w:rFonts w:ascii="Arial" w:hAnsi="Arial" w:cs="Arial"/>
          <w:color w:val="000000" w:themeColor="text1"/>
          <w:sz w:val="24"/>
          <w:szCs w:val="24"/>
        </w:rPr>
      </w:pPr>
      <w:r w:rsidRPr="00CA1349">
        <w:rPr>
          <w:rFonts w:ascii="Arial" w:hAnsi="Arial" w:cs="Arial"/>
          <w:color w:val="000000" w:themeColor="text1"/>
          <w:sz w:val="24"/>
          <w:szCs w:val="24"/>
        </w:rPr>
        <w:t>O único modo de causar efeito nas variáveis reais da economia seria a partir das consecutivas frustrações dos agentes quanto às suas expectativas, ou seja, os agentes esperam uma possível expansão monetária e o governo não segue tal expectativa. Qualquer decisão que afaste a economia do nível natural é em decorrência de divergências nas expectativas.</w:t>
      </w:r>
      <w:r>
        <w:rPr>
          <w:rFonts w:ascii="Arial" w:hAnsi="Arial" w:cs="Arial"/>
          <w:color w:val="000000" w:themeColor="text1"/>
          <w:sz w:val="24"/>
          <w:szCs w:val="24"/>
        </w:rPr>
        <w:t xml:space="preserve"> (FROYEN, 2002)</w:t>
      </w:r>
      <w:r w:rsidRPr="00CA1349">
        <w:rPr>
          <w:rFonts w:ascii="Arial" w:hAnsi="Arial" w:cs="Arial"/>
          <w:color w:val="000000" w:themeColor="text1"/>
          <w:sz w:val="24"/>
          <w:szCs w:val="24"/>
        </w:rPr>
        <w:t xml:space="preserve"> </w:t>
      </w:r>
    </w:p>
    <w:p w:rsidR="00AE29FE" w:rsidRPr="00CA1349" w:rsidRDefault="00033A10"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Não cabe à</w:t>
      </w:r>
      <w:r w:rsidR="00AE29FE" w:rsidRPr="00CA1349">
        <w:rPr>
          <w:rFonts w:ascii="Arial" w:hAnsi="Arial" w:cs="Arial"/>
          <w:color w:val="000000" w:themeColor="text1"/>
          <w:sz w:val="24"/>
          <w:szCs w:val="24"/>
        </w:rPr>
        <w:t xml:space="preserve"> autoridade monetária influenciar o nível de emprego e produto, visto que os agentes se antecipariam e a medida seria inócua. O resultado desta intervenção seria apenas um ambiente de incertezas e inflação.</w:t>
      </w:r>
    </w:p>
    <w:p w:rsidR="00AE29FE" w:rsidRPr="005312BD" w:rsidRDefault="00AE29FE" w:rsidP="005312BD">
      <w:pPr>
        <w:spacing w:after="0" w:line="240" w:lineRule="auto"/>
        <w:ind w:left="2124"/>
        <w:jc w:val="both"/>
        <w:rPr>
          <w:rFonts w:ascii="Arial" w:hAnsi="Arial" w:cs="Arial"/>
          <w:color w:val="000000" w:themeColor="text1"/>
          <w:sz w:val="20"/>
          <w:szCs w:val="20"/>
        </w:rPr>
      </w:pPr>
      <w:r w:rsidRPr="00CA1349">
        <w:rPr>
          <w:rFonts w:ascii="Arial" w:hAnsi="Arial" w:cs="Arial"/>
          <w:color w:val="000000" w:themeColor="text1"/>
          <w:sz w:val="20"/>
          <w:szCs w:val="20"/>
        </w:rPr>
        <w:t>O regime de metas representa o compromisso da autoridade monetária de perseguir uma meta de inflação baixa e estável por meio de uma estratégia de condução da política monetária pautada em regras previamente estabelecida aos agentes do mercado, com o objetivo de não surpreendê-los na condução de sua política. (CAR</w:t>
      </w:r>
      <w:r w:rsidR="004002C2">
        <w:rPr>
          <w:rFonts w:ascii="Arial" w:hAnsi="Arial" w:cs="Arial"/>
          <w:color w:val="000000" w:themeColor="text1"/>
          <w:sz w:val="20"/>
          <w:szCs w:val="20"/>
        </w:rPr>
        <w:t>VALHO apud</w:t>
      </w:r>
      <w:bookmarkStart w:id="9" w:name="_GoBack"/>
      <w:bookmarkEnd w:id="9"/>
      <w:r w:rsidR="005312BD">
        <w:rPr>
          <w:rFonts w:ascii="Arial" w:hAnsi="Arial" w:cs="Arial"/>
          <w:color w:val="000000" w:themeColor="text1"/>
          <w:sz w:val="20"/>
          <w:szCs w:val="20"/>
        </w:rPr>
        <w:t xml:space="preserve">, 2009, p. 16). </w:t>
      </w:r>
    </w:p>
    <w:p w:rsidR="00F64443" w:rsidRDefault="00031773"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Outro ponto importante quanto às implicações da teoria das expectativas racionais diz respeito ao viés inflacionário, e a inconsistência temporal da política </w:t>
      </w:r>
      <w:r>
        <w:rPr>
          <w:rFonts w:ascii="Arial" w:hAnsi="Arial" w:cs="Arial"/>
          <w:color w:val="000000" w:themeColor="text1"/>
          <w:sz w:val="24"/>
          <w:szCs w:val="24"/>
        </w:rPr>
        <w:lastRenderedPageBreak/>
        <w:t xml:space="preserve">econômica. Entende-se por estes termos uma espécie de jogo em que a autoridade monetária deve anunciar uma determinada taxa de crescimento do estoque monetário. Dessa forma, cabe aos agentes racionais formularem sua expectativa de acordo com o anunciado pela autoridade monetária. Após a formulação das expectativas por parte dos agentes, cabe à autoridade monetária cumprir ou não cumprir (trair) o que </w:t>
      </w:r>
      <w:r w:rsidR="00F64443">
        <w:rPr>
          <w:rFonts w:ascii="Arial" w:hAnsi="Arial" w:cs="Arial"/>
          <w:color w:val="000000" w:themeColor="text1"/>
          <w:sz w:val="24"/>
          <w:szCs w:val="24"/>
        </w:rPr>
        <w:t xml:space="preserve">foi divulgado. Assim, </w:t>
      </w:r>
    </w:p>
    <w:p w:rsidR="00F32E27" w:rsidRPr="00F64443" w:rsidRDefault="00F64443" w:rsidP="005312BD">
      <w:pPr>
        <w:spacing w:after="0" w:line="240" w:lineRule="auto"/>
        <w:ind w:left="2124"/>
        <w:jc w:val="both"/>
        <w:rPr>
          <w:rFonts w:ascii="Arial" w:hAnsi="Arial" w:cs="Arial"/>
          <w:color w:val="000000" w:themeColor="text1"/>
          <w:sz w:val="20"/>
          <w:szCs w:val="20"/>
        </w:rPr>
      </w:pPr>
      <w:proofErr w:type="gramStart"/>
      <w:r w:rsidRPr="00F64443">
        <w:rPr>
          <w:rFonts w:ascii="Arial" w:hAnsi="Arial" w:cs="Arial"/>
          <w:color w:val="000000" w:themeColor="text1"/>
          <w:sz w:val="20"/>
          <w:szCs w:val="20"/>
        </w:rPr>
        <w:t>quando</w:t>
      </w:r>
      <w:proofErr w:type="gramEnd"/>
      <w:r w:rsidRPr="00F64443">
        <w:rPr>
          <w:rFonts w:ascii="Arial" w:hAnsi="Arial" w:cs="Arial"/>
          <w:color w:val="000000" w:themeColor="text1"/>
          <w:sz w:val="20"/>
          <w:szCs w:val="20"/>
        </w:rPr>
        <w:t xml:space="preserve"> a política monetária é conduzida de forma discricionariamente, ou seja, a autoridade monetária é incentivada a trair e não adotar os parâmetros de política monetária previamente anunciados, há um viés inflacionário. (CARRARA; CORREIA, 2012, p. 444)</w:t>
      </w:r>
    </w:p>
    <w:p w:rsidR="00F64443" w:rsidRDefault="00F64443"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Devido ao fato dos agentes racionais deduzirem a possibilidade de condução discricionária por parte da autoridade monetária a credibilidade da referida política fica em xeque. </w:t>
      </w:r>
      <w:r w:rsidRPr="00CA1349">
        <w:rPr>
          <w:rFonts w:ascii="Arial" w:hAnsi="Arial" w:cs="Arial"/>
          <w:color w:val="000000" w:themeColor="text1"/>
          <w:sz w:val="24"/>
          <w:szCs w:val="24"/>
        </w:rPr>
        <w:t xml:space="preserve">É nesse contexto que nasce </w:t>
      </w:r>
      <w:r>
        <w:rPr>
          <w:rFonts w:ascii="Arial" w:hAnsi="Arial" w:cs="Arial"/>
          <w:color w:val="000000" w:themeColor="text1"/>
          <w:sz w:val="24"/>
          <w:szCs w:val="24"/>
        </w:rPr>
        <w:t xml:space="preserve">o argumento a favor da adoção de regras de política monetária, que </w:t>
      </w:r>
      <w:r w:rsidR="00F32E27">
        <w:rPr>
          <w:rFonts w:ascii="Arial" w:hAnsi="Arial" w:cs="Arial"/>
          <w:color w:val="000000" w:themeColor="text1"/>
          <w:sz w:val="24"/>
          <w:szCs w:val="24"/>
        </w:rPr>
        <w:t xml:space="preserve">por sua vez é o embrião do regime de metas de inflação. </w:t>
      </w:r>
    </w:p>
    <w:p w:rsidR="00F32E27" w:rsidRDefault="00F32E27"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Assim</w:t>
      </w:r>
      <w:r w:rsidR="00033A10">
        <w:rPr>
          <w:rFonts w:ascii="Arial" w:hAnsi="Arial" w:cs="Arial"/>
          <w:color w:val="000000" w:themeColor="text1"/>
          <w:sz w:val="24"/>
          <w:szCs w:val="24"/>
        </w:rPr>
        <w:t>,</w:t>
      </w:r>
      <w:r>
        <w:rPr>
          <w:rFonts w:ascii="Arial" w:hAnsi="Arial" w:cs="Arial"/>
          <w:color w:val="000000" w:themeColor="text1"/>
          <w:sz w:val="24"/>
          <w:szCs w:val="24"/>
        </w:rPr>
        <w:t xml:space="preserve"> o regime de metas inflacionárias se torna uma forma de condução da política monetária em que um determinado governo ou parlamento anuncia uma meta para inflaçã</w:t>
      </w:r>
      <w:r w:rsidR="00033A10">
        <w:rPr>
          <w:rFonts w:ascii="Arial" w:hAnsi="Arial" w:cs="Arial"/>
          <w:color w:val="000000" w:themeColor="text1"/>
          <w:sz w:val="24"/>
          <w:szCs w:val="24"/>
        </w:rPr>
        <w:t>o durante um período e cabe ao Banco C</w:t>
      </w:r>
      <w:r>
        <w:rPr>
          <w:rFonts w:ascii="Arial" w:hAnsi="Arial" w:cs="Arial"/>
          <w:color w:val="000000" w:themeColor="text1"/>
          <w:sz w:val="24"/>
          <w:szCs w:val="24"/>
        </w:rPr>
        <w:t xml:space="preserve">entral perseguir essa meta. </w:t>
      </w:r>
      <w:r w:rsidR="00251785">
        <w:rPr>
          <w:rFonts w:ascii="Arial" w:hAnsi="Arial" w:cs="Arial"/>
          <w:color w:val="000000" w:themeColor="text1"/>
          <w:sz w:val="24"/>
          <w:szCs w:val="24"/>
        </w:rPr>
        <w:t>Essa estratégia visa levar maior transparência para a condução da política monetária juntamente com a busca por uma maior eficiência dos canais de comunicação entre o Banco Central e os agentes formadores de expectativas. Como resultado, essas metas podem coordenar a formação de expectativas inflacionárias, servindo assim como uma âncora nominal para a inflação atual e expectativas futuras. (CARRARA; CORREIA, 2012)</w:t>
      </w:r>
    </w:p>
    <w:p w:rsidR="00380F5D" w:rsidRDefault="00380F5D" w:rsidP="00885B1A">
      <w:pPr>
        <w:spacing w:after="0" w:line="360" w:lineRule="auto"/>
        <w:ind w:firstLine="708"/>
        <w:jc w:val="both"/>
        <w:rPr>
          <w:rFonts w:ascii="Arial" w:hAnsi="Arial" w:cs="Arial"/>
          <w:color w:val="000000" w:themeColor="text1"/>
          <w:sz w:val="24"/>
          <w:szCs w:val="24"/>
        </w:rPr>
      </w:pPr>
    </w:p>
    <w:p w:rsidR="00F64443" w:rsidRDefault="00F32E27" w:rsidP="00885B1A">
      <w:pPr>
        <w:pStyle w:val="Ttulo2"/>
      </w:pPr>
      <w:bookmarkStart w:id="10" w:name="_Toc484350739"/>
      <w:r w:rsidRPr="00F32E27">
        <w:t>R</w:t>
      </w:r>
      <w:r w:rsidR="00033A10">
        <w:t>egime de Metas de Inflação no Brasil</w:t>
      </w:r>
      <w:bookmarkEnd w:id="10"/>
    </w:p>
    <w:p w:rsidR="00F32E27" w:rsidRDefault="00F32E27" w:rsidP="00885B1A">
      <w:pPr>
        <w:spacing w:after="0" w:line="360" w:lineRule="auto"/>
        <w:ind w:firstLine="708"/>
        <w:jc w:val="both"/>
        <w:rPr>
          <w:rFonts w:ascii="Arial" w:hAnsi="Arial" w:cs="Arial"/>
          <w:b/>
          <w:color w:val="000000" w:themeColor="text1"/>
          <w:sz w:val="24"/>
          <w:szCs w:val="24"/>
        </w:rPr>
      </w:pPr>
    </w:p>
    <w:p w:rsidR="00E22AB7" w:rsidRDefault="00E22AB7"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Em </w:t>
      </w:r>
      <w:proofErr w:type="gramStart"/>
      <w:r w:rsidR="00EE36D2">
        <w:rPr>
          <w:rFonts w:ascii="Arial" w:hAnsi="Arial" w:cs="Arial"/>
          <w:color w:val="000000" w:themeColor="text1"/>
          <w:sz w:val="24"/>
          <w:szCs w:val="24"/>
        </w:rPr>
        <w:t>4</w:t>
      </w:r>
      <w:proofErr w:type="gramEnd"/>
      <w:r w:rsidR="00EE36D2">
        <w:rPr>
          <w:rFonts w:ascii="Arial" w:hAnsi="Arial" w:cs="Arial"/>
          <w:color w:val="000000" w:themeColor="text1"/>
          <w:sz w:val="24"/>
          <w:szCs w:val="24"/>
        </w:rPr>
        <w:t xml:space="preserve"> de março</w:t>
      </w:r>
      <w:r>
        <w:rPr>
          <w:rFonts w:ascii="Arial" w:hAnsi="Arial" w:cs="Arial"/>
          <w:color w:val="000000" w:themeColor="text1"/>
          <w:sz w:val="24"/>
          <w:szCs w:val="24"/>
        </w:rPr>
        <w:t xml:space="preserve"> de 1999, após a derrocada do regime monetário de metas cambiais, </w:t>
      </w:r>
      <w:r w:rsidR="00EE36D2">
        <w:rPr>
          <w:rFonts w:ascii="Arial" w:hAnsi="Arial" w:cs="Arial"/>
          <w:color w:val="000000" w:themeColor="text1"/>
          <w:sz w:val="24"/>
          <w:szCs w:val="24"/>
        </w:rPr>
        <w:t>assume a presidência do BCB Armínio Fraga Neto, e já em sua primeira reunião à frente do Comitê de Política Monetária (COPOM), inicia</w:t>
      </w:r>
      <w:r w:rsidR="00033A10">
        <w:rPr>
          <w:rFonts w:ascii="Arial" w:hAnsi="Arial" w:cs="Arial"/>
          <w:color w:val="000000" w:themeColor="text1"/>
          <w:sz w:val="24"/>
          <w:szCs w:val="24"/>
        </w:rPr>
        <w:t>ram</w:t>
      </w:r>
      <w:r w:rsidR="00EE36D2">
        <w:rPr>
          <w:rFonts w:ascii="Arial" w:hAnsi="Arial" w:cs="Arial"/>
          <w:color w:val="000000" w:themeColor="text1"/>
          <w:sz w:val="24"/>
          <w:szCs w:val="24"/>
        </w:rPr>
        <w:t>-se mudanças instrumentais tendo em vista a introdução do Regime de Metas de Inflação (R</w:t>
      </w:r>
      <w:r w:rsidR="004A1F4A">
        <w:rPr>
          <w:rFonts w:ascii="Arial" w:hAnsi="Arial" w:cs="Arial"/>
          <w:color w:val="000000" w:themeColor="text1"/>
          <w:sz w:val="24"/>
          <w:szCs w:val="24"/>
        </w:rPr>
        <w:t xml:space="preserve">MI). Entre as mudanças iniciais, a adoção de uma meta para a Taxa Selic - em substituição ao modelo anterior de bandas de flutuação -, além da sinalização do viés da taxa de juros – modelo utilizado pelo Federal Reserve Bank, cujo intuito é </w:t>
      </w:r>
      <w:r w:rsidR="004A1F4A">
        <w:rPr>
          <w:rFonts w:ascii="Arial" w:hAnsi="Arial" w:cs="Arial"/>
          <w:color w:val="000000" w:themeColor="text1"/>
          <w:sz w:val="24"/>
          <w:szCs w:val="24"/>
        </w:rPr>
        <w:lastRenderedPageBreak/>
        <w:t xml:space="preserve">demonstrar o direcionamento da taxa de juros -, </w:t>
      </w:r>
      <w:r w:rsidR="00BF436E">
        <w:rPr>
          <w:rFonts w:ascii="Arial" w:hAnsi="Arial" w:cs="Arial"/>
          <w:color w:val="000000" w:themeColor="text1"/>
          <w:sz w:val="24"/>
          <w:szCs w:val="24"/>
        </w:rPr>
        <w:t>subsidiou</w:t>
      </w:r>
      <w:r w:rsidR="004A1F4A">
        <w:rPr>
          <w:rFonts w:ascii="Arial" w:hAnsi="Arial" w:cs="Arial"/>
          <w:color w:val="000000" w:themeColor="text1"/>
          <w:sz w:val="24"/>
          <w:szCs w:val="24"/>
        </w:rPr>
        <w:t xml:space="preserve"> a caminhada para a adoção do RMI.  (MODENESI, 2005)</w:t>
      </w:r>
    </w:p>
    <w:p w:rsidR="004A1F4A" w:rsidRDefault="004A1F4A"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Diante </w:t>
      </w:r>
      <w:r w:rsidR="00172DCF">
        <w:rPr>
          <w:rFonts w:ascii="Arial" w:hAnsi="Arial" w:cs="Arial"/>
          <w:color w:val="000000" w:themeColor="text1"/>
          <w:sz w:val="24"/>
          <w:szCs w:val="24"/>
        </w:rPr>
        <w:t>da</w:t>
      </w:r>
      <w:r>
        <w:rPr>
          <w:rFonts w:ascii="Arial" w:hAnsi="Arial" w:cs="Arial"/>
          <w:color w:val="000000" w:themeColor="text1"/>
          <w:sz w:val="24"/>
          <w:szCs w:val="24"/>
        </w:rPr>
        <w:t xml:space="preserve"> </w:t>
      </w:r>
      <w:r w:rsidR="00172DCF">
        <w:rPr>
          <w:rFonts w:ascii="Arial" w:hAnsi="Arial" w:cs="Arial"/>
          <w:color w:val="000000" w:themeColor="text1"/>
          <w:sz w:val="24"/>
          <w:szCs w:val="24"/>
        </w:rPr>
        <w:t xml:space="preserve">turbulência causada pelo abandono do regime de metas cambiais, tendo em vista expectativa de elevação da inflação ocasionada pela desvalorização cambial, o COPOM decidiu fixar a meta da taxa Selic em 45% </w:t>
      </w:r>
      <w:proofErr w:type="spellStart"/>
      <w:r w:rsidR="00172DCF">
        <w:rPr>
          <w:rFonts w:ascii="Arial" w:hAnsi="Arial" w:cs="Arial"/>
          <w:color w:val="000000" w:themeColor="text1"/>
          <w:sz w:val="24"/>
          <w:szCs w:val="24"/>
        </w:rPr>
        <w:t>a.a</w:t>
      </w:r>
      <w:proofErr w:type="spellEnd"/>
      <w:r w:rsidR="00172DCF">
        <w:rPr>
          <w:rFonts w:ascii="Arial" w:hAnsi="Arial" w:cs="Arial"/>
          <w:color w:val="000000" w:themeColor="text1"/>
          <w:sz w:val="24"/>
          <w:szCs w:val="24"/>
        </w:rPr>
        <w:t xml:space="preserve">, demonstrando que a meta de inflação passaria a ser a nova âncora nominal da economia brasileira. A 33° reunião </w:t>
      </w:r>
      <w:r w:rsidR="00033A10">
        <w:rPr>
          <w:rFonts w:ascii="Arial" w:hAnsi="Arial" w:cs="Arial"/>
          <w:color w:val="000000" w:themeColor="text1"/>
          <w:sz w:val="24"/>
          <w:szCs w:val="24"/>
        </w:rPr>
        <w:t>do Copom, em março de 1999 deixou</w:t>
      </w:r>
      <w:r w:rsidR="00172DCF">
        <w:rPr>
          <w:rFonts w:ascii="Arial" w:hAnsi="Arial" w:cs="Arial"/>
          <w:color w:val="000000" w:themeColor="text1"/>
          <w:sz w:val="24"/>
          <w:szCs w:val="24"/>
        </w:rPr>
        <w:t xml:space="preserve"> evidente o compromisso público com a estabilidade de preços, </w:t>
      </w:r>
    </w:p>
    <w:p w:rsidR="00395308" w:rsidRPr="00395308" w:rsidRDefault="00172DCF" w:rsidP="005312BD">
      <w:pPr>
        <w:spacing w:after="0" w:line="240" w:lineRule="auto"/>
        <w:ind w:left="2124"/>
        <w:jc w:val="both"/>
        <w:rPr>
          <w:rFonts w:ascii="Arial" w:hAnsi="Arial" w:cs="Arial"/>
          <w:color w:val="000000" w:themeColor="text1"/>
          <w:sz w:val="20"/>
          <w:szCs w:val="20"/>
        </w:rPr>
      </w:pPr>
      <w:r w:rsidRPr="00395308">
        <w:rPr>
          <w:rFonts w:ascii="Arial" w:hAnsi="Arial" w:cs="Arial"/>
          <w:color w:val="000000" w:themeColor="text1"/>
          <w:sz w:val="20"/>
          <w:szCs w:val="20"/>
        </w:rPr>
        <w:t xml:space="preserve">Dadas </w:t>
      </w:r>
      <w:r w:rsidR="005F109E" w:rsidRPr="00395308">
        <w:rPr>
          <w:rFonts w:ascii="Arial" w:hAnsi="Arial" w:cs="Arial"/>
          <w:color w:val="000000" w:themeColor="text1"/>
          <w:sz w:val="20"/>
          <w:szCs w:val="20"/>
        </w:rPr>
        <w:t>às</w:t>
      </w:r>
      <w:r w:rsidRPr="00395308">
        <w:rPr>
          <w:rFonts w:ascii="Arial" w:hAnsi="Arial" w:cs="Arial"/>
          <w:color w:val="000000" w:themeColor="text1"/>
          <w:sz w:val="20"/>
          <w:szCs w:val="20"/>
        </w:rPr>
        <w:t xml:space="preserve"> expectativas de trajetória ascendente da inflação, o nível atual da taxa de juros </w:t>
      </w:r>
      <w:r w:rsidR="00395308" w:rsidRPr="00395308">
        <w:rPr>
          <w:rFonts w:ascii="Arial" w:hAnsi="Arial" w:cs="Arial"/>
          <w:color w:val="000000" w:themeColor="text1"/>
          <w:sz w:val="20"/>
          <w:szCs w:val="20"/>
        </w:rPr>
        <w:t xml:space="preserve">foi considerado abaixo do desejado. Ponderou-se, também, que a volatilidade da taxa de câmbio exigia a atuação da autoridade </w:t>
      </w:r>
      <w:proofErr w:type="gramStart"/>
      <w:r w:rsidR="00395308" w:rsidRPr="00395308">
        <w:rPr>
          <w:rFonts w:ascii="Arial" w:hAnsi="Arial" w:cs="Arial"/>
          <w:color w:val="000000" w:themeColor="text1"/>
          <w:sz w:val="20"/>
          <w:szCs w:val="20"/>
        </w:rPr>
        <w:t>monetária[</w:t>
      </w:r>
      <w:proofErr w:type="gramEnd"/>
      <w:r w:rsidR="00395308" w:rsidRPr="00395308">
        <w:rPr>
          <w:rFonts w:ascii="Arial" w:hAnsi="Arial" w:cs="Arial"/>
          <w:color w:val="000000" w:themeColor="text1"/>
          <w:sz w:val="20"/>
          <w:szCs w:val="20"/>
        </w:rPr>
        <w:t>...] Considerando-se o novo regime cambial, é essencial transmitir a sociedade que a economia não opera sem uma âncora nominal e que o Banco Central possui capacidade atuação. Nesse sentido, o desempenho da autoridade monetária passará a pautar-se pelo comprometimento com o controle da taxa de inflação.</w:t>
      </w:r>
      <w:r w:rsidR="00395308">
        <w:rPr>
          <w:rFonts w:ascii="Arial" w:hAnsi="Arial" w:cs="Arial"/>
          <w:color w:val="000000" w:themeColor="text1"/>
          <w:sz w:val="20"/>
          <w:szCs w:val="20"/>
        </w:rPr>
        <w:t xml:space="preserve"> (BCB, apud </w:t>
      </w:r>
      <w:proofErr w:type="spellStart"/>
      <w:r w:rsidR="00395308">
        <w:rPr>
          <w:rFonts w:ascii="Arial" w:hAnsi="Arial" w:cs="Arial"/>
          <w:color w:val="000000" w:themeColor="text1"/>
          <w:sz w:val="20"/>
          <w:szCs w:val="20"/>
        </w:rPr>
        <w:t>Modenesi</w:t>
      </w:r>
      <w:proofErr w:type="spellEnd"/>
      <w:r w:rsidR="00395308">
        <w:rPr>
          <w:rFonts w:ascii="Arial" w:hAnsi="Arial" w:cs="Arial"/>
          <w:color w:val="000000" w:themeColor="text1"/>
          <w:sz w:val="20"/>
          <w:szCs w:val="20"/>
        </w:rPr>
        <w:t>, 2005, p.360</w:t>
      </w:r>
      <w:proofErr w:type="gramStart"/>
      <w:r w:rsidR="00395308">
        <w:rPr>
          <w:rFonts w:ascii="Arial" w:hAnsi="Arial" w:cs="Arial"/>
          <w:color w:val="000000" w:themeColor="text1"/>
          <w:sz w:val="20"/>
          <w:szCs w:val="20"/>
        </w:rPr>
        <w:t>)</w:t>
      </w:r>
      <w:proofErr w:type="gramEnd"/>
    </w:p>
    <w:p w:rsidR="00F32E27" w:rsidRDefault="00395308" w:rsidP="00885B1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Em 1° de julho de 1999 o RMI foi formalmente adotado sob o Decreto Presidencial n° 3.088</w:t>
      </w:r>
      <w:r w:rsidR="00366E61">
        <w:rPr>
          <w:rFonts w:ascii="Arial" w:hAnsi="Arial" w:cs="Arial"/>
          <w:color w:val="000000" w:themeColor="text1"/>
          <w:sz w:val="24"/>
          <w:szCs w:val="24"/>
        </w:rPr>
        <w:t>. Dentre os principais pontos estão: (i) determinar metas para inflação baseada em variações anuais de algum índice de preço conhecido; (</w:t>
      </w:r>
      <w:proofErr w:type="spellStart"/>
      <w:proofErr w:type="gramStart"/>
      <w:r w:rsidR="00366E61">
        <w:rPr>
          <w:rFonts w:ascii="Arial" w:hAnsi="Arial" w:cs="Arial"/>
          <w:color w:val="000000" w:themeColor="text1"/>
          <w:sz w:val="24"/>
          <w:szCs w:val="24"/>
        </w:rPr>
        <w:t>ii</w:t>
      </w:r>
      <w:proofErr w:type="spellEnd"/>
      <w:proofErr w:type="gramEnd"/>
      <w:r w:rsidR="00366E61">
        <w:rPr>
          <w:rFonts w:ascii="Arial" w:hAnsi="Arial" w:cs="Arial"/>
          <w:color w:val="000000" w:themeColor="text1"/>
          <w:sz w:val="24"/>
          <w:szCs w:val="24"/>
        </w:rPr>
        <w:t>) deixar a cargo do Conselho Monetário Nacional (CMN) a determinação das metas de inflação assim como seus respectivos intervalos de variação; (</w:t>
      </w:r>
      <w:proofErr w:type="spellStart"/>
      <w:r w:rsidR="00366E61">
        <w:rPr>
          <w:rFonts w:ascii="Arial" w:hAnsi="Arial" w:cs="Arial"/>
          <w:color w:val="000000" w:themeColor="text1"/>
          <w:sz w:val="24"/>
          <w:szCs w:val="24"/>
        </w:rPr>
        <w:t>iii</w:t>
      </w:r>
      <w:proofErr w:type="spellEnd"/>
      <w:r w:rsidR="00366E61">
        <w:rPr>
          <w:rFonts w:ascii="Arial" w:hAnsi="Arial" w:cs="Arial"/>
          <w:color w:val="000000" w:themeColor="text1"/>
          <w:sz w:val="24"/>
          <w:szCs w:val="24"/>
        </w:rPr>
        <w:t>) independência de instrumentos para o BCB cumprir as metas de inflação estabelecidas pelo Conselho Monetário Nacional (CMN).</w:t>
      </w:r>
      <w:r w:rsidR="004A4EE0">
        <w:rPr>
          <w:rFonts w:ascii="Arial" w:hAnsi="Arial" w:cs="Arial"/>
          <w:color w:val="000000" w:themeColor="text1"/>
          <w:sz w:val="24"/>
          <w:szCs w:val="24"/>
        </w:rPr>
        <w:t xml:space="preserve"> (CARRARA; CORREIA, 2012)</w:t>
      </w:r>
    </w:p>
    <w:p w:rsidR="004A4EE0" w:rsidRDefault="004A4EE0" w:rsidP="00885B1A">
      <w:pPr>
        <w:spacing w:after="0" w:line="360" w:lineRule="auto"/>
        <w:ind w:firstLine="708"/>
        <w:jc w:val="both"/>
        <w:rPr>
          <w:rFonts w:ascii="Arial" w:hAnsi="Arial" w:cs="Arial"/>
          <w:color w:val="000000" w:themeColor="text1"/>
          <w:sz w:val="24"/>
          <w:szCs w:val="24"/>
        </w:rPr>
      </w:pPr>
      <w:r w:rsidRPr="00CA1349">
        <w:rPr>
          <w:rFonts w:ascii="Arial" w:hAnsi="Arial" w:cs="Arial"/>
          <w:color w:val="000000" w:themeColor="text1"/>
          <w:sz w:val="24"/>
          <w:szCs w:val="24"/>
        </w:rPr>
        <w:t xml:space="preserve">No Brasil, as metas de inflação são propostas pelo ministro da fazenda, mas decididas e anunciadas pelo </w:t>
      </w:r>
      <w:r>
        <w:rPr>
          <w:rFonts w:ascii="Arial" w:hAnsi="Arial" w:cs="Arial"/>
          <w:color w:val="000000" w:themeColor="text1"/>
          <w:sz w:val="24"/>
          <w:szCs w:val="24"/>
        </w:rPr>
        <w:t>CMN</w:t>
      </w:r>
      <w:r w:rsidRPr="00CA1349">
        <w:rPr>
          <w:rFonts w:ascii="Arial" w:hAnsi="Arial" w:cs="Arial"/>
          <w:color w:val="000000" w:themeColor="text1"/>
          <w:sz w:val="24"/>
          <w:szCs w:val="24"/>
        </w:rPr>
        <w:t xml:space="preserve">, que é constituído pelos Ministros da Fazenda, Planejamento e Presidente do Banco Central, com um intervalo de um ano e meio de antecedência. Além do centro da meta de inflação, medido pelo índice de preços ao consumidor amplo (IPCA), o CMN é responsável por determinar o intervalo de tolerância da inflação com o intuito de dar alguma flexibilidade à politica monetária. Entretanto, a responsabilidade operacional pelo cumprimento das metas fica </w:t>
      </w:r>
      <w:proofErr w:type="gramStart"/>
      <w:r w:rsidRPr="00CA1349">
        <w:rPr>
          <w:rFonts w:ascii="Arial" w:hAnsi="Arial" w:cs="Arial"/>
          <w:color w:val="000000" w:themeColor="text1"/>
          <w:sz w:val="24"/>
          <w:szCs w:val="24"/>
        </w:rPr>
        <w:t>sob responsabilidade</w:t>
      </w:r>
      <w:proofErr w:type="gramEnd"/>
      <w:r w:rsidRPr="00CA1349">
        <w:rPr>
          <w:rFonts w:ascii="Arial" w:hAnsi="Arial" w:cs="Arial"/>
          <w:color w:val="000000" w:themeColor="text1"/>
          <w:sz w:val="24"/>
          <w:szCs w:val="24"/>
        </w:rPr>
        <w:t xml:space="preserve"> do Banco Central, cujas decisões de políticas monetária são tomadas pelo comitê de politica monetária (COPOM), que é composto pela diretoria do Banco Central que se reúne periodicamente a cada 45 dias para determinar o direcionamento que considera</w:t>
      </w:r>
      <w:r w:rsidR="005F109E">
        <w:rPr>
          <w:rFonts w:ascii="Arial" w:hAnsi="Arial" w:cs="Arial"/>
          <w:color w:val="000000" w:themeColor="text1"/>
          <w:sz w:val="24"/>
          <w:szCs w:val="24"/>
        </w:rPr>
        <w:t xml:space="preserve"> adequado para a taxa de juros </w:t>
      </w:r>
      <w:r w:rsidRPr="00CA1349">
        <w:rPr>
          <w:rFonts w:ascii="Arial" w:hAnsi="Arial" w:cs="Arial"/>
          <w:color w:val="000000" w:themeColor="text1"/>
          <w:sz w:val="24"/>
          <w:szCs w:val="24"/>
        </w:rPr>
        <w:t>S</w:t>
      </w:r>
      <w:r>
        <w:rPr>
          <w:rFonts w:ascii="Arial" w:hAnsi="Arial" w:cs="Arial"/>
          <w:color w:val="000000" w:themeColor="text1"/>
          <w:sz w:val="24"/>
          <w:szCs w:val="24"/>
        </w:rPr>
        <w:t>ELIC</w:t>
      </w:r>
      <w:r w:rsidRPr="00CA1349">
        <w:rPr>
          <w:rFonts w:ascii="Arial" w:hAnsi="Arial" w:cs="Arial"/>
          <w:color w:val="000000" w:themeColor="text1"/>
          <w:sz w:val="24"/>
          <w:szCs w:val="24"/>
        </w:rPr>
        <w:t>.</w:t>
      </w:r>
      <w:r>
        <w:rPr>
          <w:rFonts w:ascii="Arial" w:hAnsi="Arial" w:cs="Arial"/>
          <w:color w:val="000000" w:themeColor="text1"/>
          <w:sz w:val="24"/>
          <w:szCs w:val="24"/>
        </w:rPr>
        <w:t xml:space="preserve"> (CARVALHO </w:t>
      </w:r>
      <w:proofErr w:type="gramStart"/>
      <w:r>
        <w:rPr>
          <w:rFonts w:ascii="Arial" w:hAnsi="Arial" w:cs="Arial"/>
          <w:color w:val="000000" w:themeColor="text1"/>
          <w:sz w:val="24"/>
          <w:szCs w:val="24"/>
        </w:rPr>
        <w:t>et</w:t>
      </w:r>
      <w:proofErr w:type="gramEnd"/>
      <w:r>
        <w:rPr>
          <w:rFonts w:ascii="Arial" w:hAnsi="Arial" w:cs="Arial"/>
          <w:color w:val="000000" w:themeColor="text1"/>
          <w:sz w:val="24"/>
          <w:szCs w:val="24"/>
        </w:rPr>
        <w:t xml:space="preserve"> al, 2007)</w:t>
      </w:r>
    </w:p>
    <w:p w:rsidR="008B04BB" w:rsidRDefault="00546AE6"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 meta de inflação pode ser considerada cumprida quando o índice</w:t>
      </w:r>
      <w:r w:rsidR="00981E92">
        <w:rPr>
          <w:rFonts w:ascii="Arial" w:hAnsi="Arial" w:cs="Arial"/>
          <w:color w:val="000000" w:themeColor="text1"/>
          <w:sz w:val="24"/>
          <w:szCs w:val="24"/>
        </w:rPr>
        <w:t xml:space="preserve"> acumulado</w:t>
      </w:r>
      <w:r>
        <w:rPr>
          <w:rFonts w:ascii="Arial" w:hAnsi="Arial" w:cs="Arial"/>
          <w:color w:val="000000" w:themeColor="text1"/>
          <w:sz w:val="24"/>
          <w:szCs w:val="24"/>
        </w:rPr>
        <w:t xml:space="preserve"> </w:t>
      </w:r>
      <w:r w:rsidR="00981E92">
        <w:rPr>
          <w:rFonts w:ascii="Arial" w:hAnsi="Arial" w:cs="Arial"/>
          <w:color w:val="000000" w:themeColor="text1"/>
          <w:sz w:val="24"/>
          <w:szCs w:val="24"/>
        </w:rPr>
        <w:t xml:space="preserve">de preços </w:t>
      </w:r>
      <w:r>
        <w:rPr>
          <w:rFonts w:ascii="Arial" w:hAnsi="Arial" w:cs="Arial"/>
          <w:color w:val="000000" w:themeColor="text1"/>
          <w:sz w:val="24"/>
          <w:szCs w:val="24"/>
        </w:rPr>
        <w:t xml:space="preserve">escolhido pelo CMN fica dentro da faixa de tolerância </w:t>
      </w:r>
      <w:r>
        <w:rPr>
          <w:rFonts w:ascii="Arial" w:hAnsi="Arial" w:cs="Arial"/>
          <w:color w:val="000000" w:themeColor="text1"/>
          <w:sz w:val="24"/>
          <w:szCs w:val="24"/>
        </w:rPr>
        <w:lastRenderedPageBreak/>
        <w:t>estabelecida anteriormente</w:t>
      </w:r>
      <w:r w:rsidR="00981E92">
        <w:rPr>
          <w:rFonts w:ascii="Arial" w:hAnsi="Arial" w:cs="Arial"/>
          <w:color w:val="000000" w:themeColor="text1"/>
          <w:sz w:val="24"/>
          <w:szCs w:val="24"/>
        </w:rPr>
        <w:t>. Quando a meta não é alcançada, cabe ao presidente do Banco Central escrever uma carta aberta direcionada ao ministro da Fazenda explicando o porquê do não cumprimento, bem como as medidas necessárias para trazer a inflação de volta a seu intervalo, além do prazo necessário para que isto ocorra.</w:t>
      </w:r>
      <w:r w:rsidR="008B04BB">
        <w:rPr>
          <w:rFonts w:ascii="Arial" w:hAnsi="Arial" w:cs="Arial"/>
          <w:color w:val="000000" w:themeColor="text1"/>
          <w:sz w:val="24"/>
          <w:szCs w:val="24"/>
        </w:rPr>
        <w:t xml:space="preserve"> (CARRARA; CORREIA, 2012)</w:t>
      </w:r>
    </w:p>
    <w:p w:rsidR="002373F4" w:rsidRDefault="002373F4"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Com o intuito de melhorar a comunicação entre o BCB e o público</w:t>
      </w:r>
      <w:r w:rsidR="00EE20BC">
        <w:rPr>
          <w:rFonts w:ascii="Arial" w:hAnsi="Arial" w:cs="Arial"/>
          <w:color w:val="000000" w:themeColor="text1"/>
          <w:sz w:val="24"/>
          <w:szCs w:val="24"/>
        </w:rPr>
        <w:t>, e assim tornar mais transparente a condução da política monetária de forma a aumentar a possibilidade de monitoramento</w:t>
      </w:r>
      <w:r w:rsidR="00C41845">
        <w:rPr>
          <w:rFonts w:ascii="Arial" w:hAnsi="Arial" w:cs="Arial"/>
          <w:color w:val="000000" w:themeColor="text1"/>
          <w:sz w:val="24"/>
          <w:szCs w:val="24"/>
        </w:rPr>
        <w:t xml:space="preserve"> e avaliação por parte dos agentes econômicos foi criado o </w:t>
      </w:r>
      <w:r w:rsidR="00C41845" w:rsidRPr="00C41845">
        <w:rPr>
          <w:rFonts w:ascii="Arial" w:hAnsi="Arial" w:cs="Arial"/>
          <w:i/>
          <w:color w:val="000000" w:themeColor="text1"/>
          <w:sz w:val="24"/>
          <w:szCs w:val="24"/>
        </w:rPr>
        <w:t>Relatório de Inflação</w:t>
      </w:r>
      <w:r w:rsidR="00C41845">
        <w:rPr>
          <w:rFonts w:ascii="Arial" w:hAnsi="Arial" w:cs="Arial"/>
          <w:color w:val="000000" w:themeColor="text1"/>
          <w:sz w:val="24"/>
          <w:szCs w:val="24"/>
        </w:rPr>
        <w:t xml:space="preserve">. Com publicação trimestral, o Relatório apresenta “(i) os objetivos, as limitações e as medidas de política </w:t>
      </w:r>
      <w:proofErr w:type="gramStart"/>
      <w:r w:rsidR="00C41845">
        <w:rPr>
          <w:rFonts w:ascii="Arial" w:hAnsi="Arial" w:cs="Arial"/>
          <w:color w:val="000000" w:themeColor="text1"/>
          <w:sz w:val="24"/>
          <w:szCs w:val="24"/>
        </w:rPr>
        <w:t>monetária tomadas pelo BCB</w:t>
      </w:r>
      <w:proofErr w:type="gramEnd"/>
      <w:r w:rsidR="00C41845">
        <w:rPr>
          <w:rFonts w:ascii="Arial" w:hAnsi="Arial" w:cs="Arial"/>
          <w:color w:val="000000" w:themeColor="text1"/>
          <w:sz w:val="24"/>
          <w:szCs w:val="24"/>
        </w:rPr>
        <w:t>; (</w:t>
      </w:r>
      <w:proofErr w:type="spellStart"/>
      <w:r w:rsidR="00C41845">
        <w:rPr>
          <w:rFonts w:ascii="Arial" w:hAnsi="Arial" w:cs="Arial"/>
          <w:color w:val="000000" w:themeColor="text1"/>
          <w:sz w:val="24"/>
          <w:szCs w:val="24"/>
        </w:rPr>
        <w:t>ii</w:t>
      </w:r>
      <w:proofErr w:type="spellEnd"/>
      <w:r w:rsidR="00C41845">
        <w:rPr>
          <w:rFonts w:ascii="Arial" w:hAnsi="Arial" w:cs="Arial"/>
          <w:color w:val="000000" w:themeColor="text1"/>
          <w:sz w:val="24"/>
          <w:szCs w:val="24"/>
        </w:rPr>
        <w:t>) os resultados de medidas pretéritas; e (</w:t>
      </w:r>
      <w:proofErr w:type="spellStart"/>
      <w:r w:rsidR="00C41845">
        <w:rPr>
          <w:rFonts w:ascii="Arial" w:hAnsi="Arial" w:cs="Arial"/>
          <w:color w:val="000000" w:themeColor="text1"/>
          <w:sz w:val="24"/>
          <w:szCs w:val="24"/>
        </w:rPr>
        <w:t>iii</w:t>
      </w:r>
      <w:proofErr w:type="spellEnd"/>
      <w:r w:rsidR="00C41845">
        <w:rPr>
          <w:rFonts w:ascii="Arial" w:hAnsi="Arial" w:cs="Arial"/>
          <w:color w:val="000000" w:themeColor="text1"/>
          <w:sz w:val="24"/>
          <w:szCs w:val="24"/>
        </w:rPr>
        <w:t>) a avaliação prospectiva do comportamento da inflação”. (MODENESI, 2005, p.362)</w:t>
      </w:r>
    </w:p>
    <w:p w:rsidR="005B033C" w:rsidRPr="00CA1349" w:rsidRDefault="005B033C" w:rsidP="00885B1A">
      <w:pPr>
        <w:spacing w:after="0" w:line="360" w:lineRule="auto"/>
        <w:ind w:firstLine="708"/>
        <w:jc w:val="both"/>
        <w:rPr>
          <w:rFonts w:ascii="Arial" w:hAnsi="Arial" w:cs="Arial"/>
          <w:color w:val="000000" w:themeColor="text1"/>
          <w:sz w:val="24"/>
          <w:szCs w:val="24"/>
        </w:rPr>
      </w:pPr>
      <w:r w:rsidRPr="00CA1349">
        <w:rPr>
          <w:rFonts w:ascii="Arial" w:hAnsi="Arial" w:cs="Arial"/>
          <w:color w:val="000000" w:themeColor="text1"/>
          <w:sz w:val="24"/>
          <w:szCs w:val="24"/>
        </w:rPr>
        <w:t xml:space="preserve">Quanto à funcionalidade do regime de metas, os </w:t>
      </w:r>
      <w:proofErr w:type="spellStart"/>
      <w:r w:rsidRPr="00CA1349">
        <w:rPr>
          <w:rFonts w:ascii="Arial" w:hAnsi="Arial" w:cs="Arial"/>
          <w:i/>
          <w:color w:val="000000" w:themeColor="text1"/>
          <w:sz w:val="24"/>
          <w:szCs w:val="24"/>
        </w:rPr>
        <w:t>policy-makers</w:t>
      </w:r>
      <w:proofErr w:type="spellEnd"/>
      <w:r w:rsidRPr="00CA1349">
        <w:rPr>
          <w:rFonts w:ascii="Arial" w:hAnsi="Arial" w:cs="Arial"/>
          <w:color w:val="000000" w:themeColor="text1"/>
          <w:sz w:val="24"/>
          <w:szCs w:val="24"/>
        </w:rPr>
        <w:t xml:space="preserve"> possuem um grande leque de aspectos operacionais para determinar: utilização do índice cheio ou núcleo de inflação para definição das metas; a determinação de uma meta pontual ou de intervalo de tolerância; o estabelecimento do período de convergência da inflação à meta dentre outros. Entende-se que,</w:t>
      </w:r>
    </w:p>
    <w:p w:rsidR="0015506C" w:rsidRPr="005312BD" w:rsidRDefault="005B033C" w:rsidP="005312BD">
      <w:pPr>
        <w:spacing w:after="0" w:line="240" w:lineRule="auto"/>
        <w:ind w:left="2124"/>
        <w:jc w:val="both"/>
        <w:rPr>
          <w:rFonts w:ascii="Arial" w:hAnsi="Arial" w:cs="Arial"/>
          <w:color w:val="000000" w:themeColor="text1"/>
          <w:sz w:val="20"/>
          <w:szCs w:val="20"/>
        </w:rPr>
      </w:pPr>
      <w:proofErr w:type="gramStart"/>
      <w:r w:rsidRPr="00CA1349">
        <w:rPr>
          <w:rFonts w:ascii="Arial" w:hAnsi="Arial" w:cs="Arial"/>
          <w:color w:val="000000" w:themeColor="text1"/>
          <w:sz w:val="20"/>
          <w:szCs w:val="20"/>
        </w:rPr>
        <w:t>a</w:t>
      </w:r>
      <w:proofErr w:type="gramEnd"/>
      <w:r w:rsidRPr="00CA1349">
        <w:rPr>
          <w:rFonts w:ascii="Arial" w:hAnsi="Arial" w:cs="Arial"/>
          <w:color w:val="000000" w:themeColor="text1"/>
          <w:sz w:val="20"/>
          <w:szCs w:val="20"/>
        </w:rPr>
        <w:t xml:space="preserve"> escolha de cada uma dessas opções pode dar aos bancos centrais uma roupagem específica. Por exemplo, elas podem ser restritivas, na medida em que o [regime de metas] é estabelecido com forte ênfase no cumprimento da meta, a despeito dos custos de convergência. (SQUE</w:t>
      </w:r>
      <w:r w:rsidR="005312BD">
        <w:rPr>
          <w:rFonts w:ascii="Arial" w:hAnsi="Arial" w:cs="Arial"/>
          <w:color w:val="000000" w:themeColor="text1"/>
          <w:sz w:val="20"/>
          <w:szCs w:val="20"/>
        </w:rPr>
        <w:t xml:space="preserve">FF; OREIRO; PAULA; </w:t>
      </w:r>
      <w:proofErr w:type="gramStart"/>
      <w:r w:rsidR="005312BD">
        <w:rPr>
          <w:rFonts w:ascii="Arial" w:hAnsi="Arial" w:cs="Arial"/>
          <w:color w:val="000000" w:themeColor="text1"/>
          <w:sz w:val="20"/>
          <w:szCs w:val="20"/>
        </w:rPr>
        <w:t>2009, p.</w:t>
      </w:r>
      <w:proofErr w:type="gramEnd"/>
      <w:r w:rsidR="005312BD">
        <w:rPr>
          <w:rFonts w:ascii="Arial" w:hAnsi="Arial" w:cs="Arial"/>
          <w:color w:val="000000" w:themeColor="text1"/>
          <w:sz w:val="20"/>
          <w:szCs w:val="20"/>
        </w:rPr>
        <w:t xml:space="preserve"> 9).</w:t>
      </w:r>
    </w:p>
    <w:p w:rsidR="0015506C" w:rsidRDefault="005B033C"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No Brasil, diferentemente de outros países que também utilizam o RMI, não se utiliza de algum parâmetro do núcleo de inflação.</w:t>
      </w:r>
      <w:r w:rsidR="0015506C">
        <w:rPr>
          <w:rFonts w:ascii="Arial" w:hAnsi="Arial" w:cs="Arial"/>
          <w:color w:val="000000" w:themeColor="text1"/>
          <w:sz w:val="24"/>
          <w:szCs w:val="24"/>
        </w:rPr>
        <w:t xml:space="preserve"> Tal medida ajuda a isolar o efeito de choques temporários. Esse modo de cálculo exclui ou confere menor importância às variações causadas por fatores temporários ou casuais na composição do índice, de forma a se obter o real comportamento da inflação, isto é, variações que sejam consistentes com o comportamento de toda a economia, e não apenas fatores localizados.</w:t>
      </w:r>
      <w:r w:rsidR="00190FF2">
        <w:rPr>
          <w:rFonts w:ascii="Arial" w:hAnsi="Arial" w:cs="Arial"/>
          <w:color w:val="000000" w:themeColor="text1"/>
          <w:sz w:val="24"/>
          <w:szCs w:val="24"/>
        </w:rPr>
        <w:t xml:space="preserve"> Com o intuito de passar maior credibilidade, tendo em vista uma possível desconfiança quanto </w:t>
      </w:r>
      <w:r w:rsidR="006F28D8">
        <w:rPr>
          <w:rFonts w:ascii="Arial" w:hAnsi="Arial" w:cs="Arial"/>
          <w:color w:val="000000" w:themeColor="text1"/>
          <w:sz w:val="24"/>
          <w:szCs w:val="24"/>
        </w:rPr>
        <w:t>à</w:t>
      </w:r>
      <w:r w:rsidR="00190FF2">
        <w:rPr>
          <w:rFonts w:ascii="Arial" w:hAnsi="Arial" w:cs="Arial"/>
          <w:color w:val="000000" w:themeColor="text1"/>
          <w:sz w:val="24"/>
          <w:szCs w:val="24"/>
        </w:rPr>
        <w:t xml:space="preserve"> dimensão dos expurgos, os </w:t>
      </w:r>
      <w:proofErr w:type="spellStart"/>
      <w:r w:rsidR="00190FF2" w:rsidRPr="00CA1349">
        <w:rPr>
          <w:rFonts w:ascii="Arial" w:hAnsi="Arial" w:cs="Arial"/>
          <w:i/>
          <w:color w:val="000000" w:themeColor="text1"/>
          <w:sz w:val="24"/>
          <w:szCs w:val="24"/>
        </w:rPr>
        <w:t>policy-makers</w:t>
      </w:r>
      <w:proofErr w:type="spellEnd"/>
      <w:r w:rsidR="00190FF2">
        <w:rPr>
          <w:rFonts w:ascii="Arial" w:hAnsi="Arial" w:cs="Arial"/>
          <w:i/>
          <w:color w:val="000000" w:themeColor="text1"/>
          <w:sz w:val="24"/>
          <w:szCs w:val="24"/>
        </w:rPr>
        <w:t xml:space="preserve"> </w:t>
      </w:r>
      <w:r w:rsidR="00190FF2">
        <w:rPr>
          <w:rFonts w:ascii="Arial" w:hAnsi="Arial" w:cs="Arial"/>
          <w:color w:val="000000" w:themeColor="text1"/>
          <w:sz w:val="24"/>
          <w:szCs w:val="24"/>
        </w:rPr>
        <w:t xml:space="preserve">brasileiros preferiram </w:t>
      </w:r>
      <w:r w:rsidR="006F28D8">
        <w:rPr>
          <w:rFonts w:ascii="Arial" w:hAnsi="Arial" w:cs="Arial"/>
          <w:color w:val="000000" w:themeColor="text1"/>
          <w:sz w:val="24"/>
          <w:szCs w:val="24"/>
        </w:rPr>
        <w:t>utilizar um índice cheio, no caso</w:t>
      </w:r>
      <w:r w:rsidR="005F0C60">
        <w:rPr>
          <w:rFonts w:ascii="Arial" w:hAnsi="Arial" w:cs="Arial"/>
          <w:color w:val="000000" w:themeColor="text1"/>
          <w:sz w:val="24"/>
          <w:szCs w:val="24"/>
        </w:rPr>
        <w:t>,</w:t>
      </w:r>
      <w:r w:rsidR="006F28D8">
        <w:rPr>
          <w:rFonts w:ascii="Arial" w:hAnsi="Arial" w:cs="Arial"/>
          <w:color w:val="000000" w:themeColor="text1"/>
          <w:sz w:val="24"/>
          <w:szCs w:val="24"/>
        </w:rPr>
        <w:t xml:space="preserve"> o IPCA.</w:t>
      </w:r>
      <w:r w:rsidR="00026D1D">
        <w:rPr>
          <w:rFonts w:ascii="Arial" w:hAnsi="Arial" w:cs="Arial"/>
          <w:color w:val="000000" w:themeColor="text1"/>
          <w:sz w:val="24"/>
          <w:szCs w:val="24"/>
        </w:rPr>
        <w:t xml:space="preserve"> </w:t>
      </w:r>
      <w:r w:rsidR="00190FF2">
        <w:rPr>
          <w:rFonts w:ascii="Arial" w:hAnsi="Arial" w:cs="Arial"/>
          <w:color w:val="000000" w:themeColor="text1"/>
          <w:sz w:val="24"/>
          <w:szCs w:val="24"/>
        </w:rPr>
        <w:t>(</w:t>
      </w:r>
      <w:r w:rsidR="007B3CC2">
        <w:rPr>
          <w:rFonts w:ascii="Arial" w:hAnsi="Arial" w:cs="Arial"/>
          <w:color w:val="000000" w:themeColor="text1"/>
          <w:sz w:val="24"/>
          <w:szCs w:val="24"/>
        </w:rPr>
        <w:t>TOMBINI; BOGDANSKI</w:t>
      </w:r>
      <w:r w:rsidR="00190FF2">
        <w:rPr>
          <w:rFonts w:ascii="Arial" w:hAnsi="Arial" w:cs="Arial"/>
          <w:color w:val="000000" w:themeColor="text1"/>
          <w:sz w:val="24"/>
          <w:szCs w:val="24"/>
        </w:rPr>
        <w:t xml:space="preserve">, </w:t>
      </w:r>
      <w:r w:rsidR="007B3CC2">
        <w:rPr>
          <w:rFonts w:ascii="Arial" w:hAnsi="Arial" w:cs="Arial"/>
          <w:color w:val="000000" w:themeColor="text1"/>
          <w:sz w:val="24"/>
          <w:szCs w:val="24"/>
        </w:rPr>
        <w:t>2000</w:t>
      </w:r>
      <w:r w:rsidR="00190FF2">
        <w:rPr>
          <w:rFonts w:ascii="Arial" w:hAnsi="Arial" w:cs="Arial"/>
          <w:color w:val="000000" w:themeColor="text1"/>
          <w:sz w:val="24"/>
          <w:szCs w:val="24"/>
        </w:rPr>
        <w:t>)</w:t>
      </w:r>
    </w:p>
    <w:p w:rsidR="00D20546" w:rsidRDefault="004605B0"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De acordo com a ideia por trás do RMI, o BCB deve assegurar o cumprimento da meta em relação à variação do IPCA fixada pelo Conselho Monetário Nacional. </w:t>
      </w:r>
      <w:r w:rsidR="00D20546">
        <w:rPr>
          <w:rFonts w:ascii="Arial" w:hAnsi="Arial" w:cs="Arial"/>
          <w:color w:val="000000" w:themeColor="text1"/>
          <w:sz w:val="24"/>
          <w:szCs w:val="24"/>
        </w:rPr>
        <w:t xml:space="preserve">Para se alcançar esse objetivo o BCB utiliza principalmente da definição de uma meta para a taxa de juros Selic, que por sua vez é alcançada através do </w:t>
      </w:r>
      <w:r w:rsidR="00D20546">
        <w:rPr>
          <w:rFonts w:ascii="Arial" w:hAnsi="Arial" w:cs="Arial"/>
          <w:color w:val="000000" w:themeColor="text1"/>
          <w:sz w:val="24"/>
          <w:szCs w:val="24"/>
        </w:rPr>
        <w:lastRenderedPageBreak/>
        <w:t>gerenciamento diário de Liquidez. Como existe defasagem – espaço de tempo em que a taxa a Selic realmente afeta o IPCA – o Banco Central atua de maneir</w:t>
      </w:r>
      <w:r w:rsidR="00033A10">
        <w:rPr>
          <w:rFonts w:ascii="Arial" w:hAnsi="Arial" w:cs="Arial"/>
          <w:color w:val="000000" w:themeColor="text1"/>
          <w:sz w:val="24"/>
          <w:szCs w:val="24"/>
        </w:rPr>
        <w:t>a prospectiva, isto é, a Selic é</w:t>
      </w:r>
      <w:r w:rsidR="00D20546">
        <w:rPr>
          <w:rFonts w:ascii="Arial" w:hAnsi="Arial" w:cs="Arial"/>
          <w:color w:val="000000" w:themeColor="text1"/>
          <w:sz w:val="24"/>
          <w:szCs w:val="24"/>
        </w:rPr>
        <w:t xml:space="preserve"> calibrada de acordo com as expectativas futuras dos agentes quanto à variação do IPCA. </w:t>
      </w:r>
      <w:r w:rsidR="002026DB">
        <w:rPr>
          <w:rFonts w:ascii="Arial" w:hAnsi="Arial" w:cs="Arial"/>
          <w:color w:val="000000" w:themeColor="text1"/>
          <w:sz w:val="24"/>
          <w:szCs w:val="24"/>
        </w:rPr>
        <w:t>Assim, quando a trajetória de inflação está acima da meta, eleva-se a taxa de juros; de modo contrário quando a trajetória está abaixo da meta.</w:t>
      </w:r>
    </w:p>
    <w:p w:rsidR="00E70AF7" w:rsidRDefault="008C0C94"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Com o intuito de se apresentar alguns conceitos sobre a taxa de juros, importante </w:t>
      </w:r>
      <w:proofErr w:type="gramStart"/>
      <w:r w:rsidR="00E70AF7">
        <w:rPr>
          <w:rFonts w:ascii="Arial" w:hAnsi="Arial" w:cs="Arial"/>
          <w:color w:val="000000" w:themeColor="text1"/>
          <w:sz w:val="24"/>
          <w:szCs w:val="24"/>
        </w:rPr>
        <w:t>discorrer</w:t>
      </w:r>
      <w:proofErr w:type="gramEnd"/>
      <w:r w:rsidR="00E70AF7">
        <w:rPr>
          <w:rFonts w:ascii="Arial" w:hAnsi="Arial" w:cs="Arial"/>
          <w:color w:val="000000" w:themeColor="text1"/>
          <w:sz w:val="24"/>
          <w:szCs w:val="24"/>
        </w:rPr>
        <w:t xml:space="preserve"> sobre</w:t>
      </w:r>
      <w:r>
        <w:rPr>
          <w:rFonts w:ascii="Arial" w:hAnsi="Arial" w:cs="Arial"/>
          <w:color w:val="000000" w:themeColor="text1"/>
          <w:sz w:val="24"/>
          <w:szCs w:val="24"/>
        </w:rPr>
        <w:t xml:space="preserve"> algumas ferramentas que o Banco Central dispõe.</w:t>
      </w:r>
      <w:r w:rsidR="00E70AF7" w:rsidRPr="00E70AF7">
        <w:rPr>
          <w:rFonts w:ascii="Arial" w:hAnsi="Arial" w:cs="Arial"/>
          <w:color w:val="000000" w:themeColor="text1"/>
          <w:sz w:val="24"/>
          <w:szCs w:val="24"/>
        </w:rPr>
        <w:t xml:space="preserve"> </w:t>
      </w:r>
      <w:r w:rsidR="00E70AF7">
        <w:rPr>
          <w:rFonts w:ascii="Arial" w:hAnsi="Arial" w:cs="Arial"/>
          <w:color w:val="000000" w:themeColor="text1"/>
          <w:sz w:val="24"/>
          <w:szCs w:val="24"/>
        </w:rPr>
        <w:t>Dentre as principais, estão o compulsório, redesconto e as operações de mercado aberto (</w:t>
      </w:r>
      <w:r w:rsidR="00E70AF7" w:rsidRPr="00744304">
        <w:rPr>
          <w:rFonts w:ascii="Arial" w:hAnsi="Arial" w:cs="Arial"/>
          <w:i/>
          <w:color w:val="000000" w:themeColor="text1"/>
          <w:sz w:val="24"/>
          <w:szCs w:val="24"/>
        </w:rPr>
        <w:t xml:space="preserve">open </w:t>
      </w:r>
      <w:proofErr w:type="spellStart"/>
      <w:r w:rsidR="00E70AF7">
        <w:rPr>
          <w:rFonts w:ascii="Arial" w:hAnsi="Arial" w:cs="Arial"/>
          <w:i/>
          <w:color w:val="000000" w:themeColor="text1"/>
          <w:sz w:val="24"/>
          <w:szCs w:val="24"/>
        </w:rPr>
        <w:t>m</w:t>
      </w:r>
      <w:r w:rsidR="00E70AF7" w:rsidRPr="00744304">
        <w:rPr>
          <w:rFonts w:ascii="Arial" w:hAnsi="Arial" w:cs="Arial"/>
          <w:i/>
          <w:color w:val="000000" w:themeColor="text1"/>
          <w:sz w:val="24"/>
          <w:szCs w:val="24"/>
        </w:rPr>
        <w:t>arket</w:t>
      </w:r>
      <w:proofErr w:type="spellEnd"/>
      <w:r w:rsidR="00E70AF7">
        <w:rPr>
          <w:rFonts w:ascii="Arial" w:hAnsi="Arial" w:cs="Arial"/>
          <w:color w:val="000000" w:themeColor="text1"/>
          <w:sz w:val="24"/>
          <w:szCs w:val="24"/>
        </w:rPr>
        <w:t>). O compulsório é um recolhimento obrigatório sob a forma de reserva bancária que cada banco é obrigado a manter no Banco Central sendo calculado como um percentual sobre o total de depósitos que cada banco tem sob sua responsabilidade. Dessa forma, ao se estipular uma quantidade obrigatória par</w:t>
      </w:r>
      <w:r w:rsidR="00033A10">
        <w:rPr>
          <w:rFonts w:ascii="Arial" w:hAnsi="Arial" w:cs="Arial"/>
          <w:color w:val="000000" w:themeColor="text1"/>
          <w:sz w:val="24"/>
          <w:szCs w:val="24"/>
        </w:rPr>
        <w:t xml:space="preserve">a se </w:t>
      </w:r>
      <w:proofErr w:type="gramStart"/>
      <w:r w:rsidR="00033A10">
        <w:rPr>
          <w:rFonts w:ascii="Arial" w:hAnsi="Arial" w:cs="Arial"/>
          <w:color w:val="000000" w:themeColor="text1"/>
          <w:sz w:val="24"/>
          <w:szCs w:val="24"/>
        </w:rPr>
        <w:t>manter</w:t>
      </w:r>
      <w:proofErr w:type="gramEnd"/>
      <w:r w:rsidR="00033A10">
        <w:rPr>
          <w:rFonts w:ascii="Arial" w:hAnsi="Arial" w:cs="Arial"/>
          <w:color w:val="000000" w:themeColor="text1"/>
          <w:sz w:val="24"/>
          <w:szCs w:val="24"/>
        </w:rPr>
        <w:t xml:space="preserve"> em reserva o Banco C</w:t>
      </w:r>
      <w:r w:rsidR="00E70AF7">
        <w:rPr>
          <w:rFonts w:ascii="Arial" w:hAnsi="Arial" w:cs="Arial"/>
          <w:color w:val="000000" w:themeColor="text1"/>
          <w:sz w:val="24"/>
          <w:szCs w:val="24"/>
        </w:rPr>
        <w:t xml:space="preserve">entral controla a liquidez da economia através da limitação dos recursos que podem ser oferecidos aos tomadores de empréstimos. (CARVALHO </w:t>
      </w:r>
      <w:proofErr w:type="gramStart"/>
      <w:r w:rsidR="00E70AF7">
        <w:rPr>
          <w:rFonts w:ascii="Arial" w:hAnsi="Arial" w:cs="Arial"/>
          <w:color w:val="000000" w:themeColor="text1"/>
          <w:sz w:val="24"/>
          <w:szCs w:val="24"/>
        </w:rPr>
        <w:t>et</w:t>
      </w:r>
      <w:proofErr w:type="gramEnd"/>
      <w:r w:rsidR="00E70AF7">
        <w:rPr>
          <w:rFonts w:ascii="Arial" w:hAnsi="Arial" w:cs="Arial"/>
          <w:color w:val="000000" w:themeColor="text1"/>
          <w:sz w:val="24"/>
          <w:szCs w:val="24"/>
        </w:rPr>
        <w:t xml:space="preserve"> al, 2007)</w:t>
      </w:r>
    </w:p>
    <w:p w:rsidR="008C0C94" w:rsidRDefault="00E70AF7"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 Já a taxa de redesconto, ou assistência financeira de liquidez, são empréstimos disponibilizados pelo Banco Central com o intuito de suprir a falta de recursos das instituições financeiras em situações de estresse. Já as operações de mercado aberto são o instrumento mais eficaz para gerenciar a liquidez, pois atuam diretamente sobre as reservas bancárias e estão intrinsicamente ligada </w:t>
      </w:r>
      <w:r w:rsidR="00C32D83">
        <w:rPr>
          <w:rFonts w:ascii="Arial" w:hAnsi="Arial" w:cs="Arial"/>
          <w:color w:val="000000" w:themeColor="text1"/>
          <w:sz w:val="24"/>
          <w:szCs w:val="24"/>
        </w:rPr>
        <w:t>à</w:t>
      </w:r>
      <w:r>
        <w:rPr>
          <w:rFonts w:ascii="Arial" w:hAnsi="Arial" w:cs="Arial"/>
          <w:color w:val="000000" w:themeColor="text1"/>
          <w:sz w:val="24"/>
          <w:szCs w:val="24"/>
        </w:rPr>
        <w:t xml:space="preserve"> taxa de juros SELIC, “pois o sinal do rumo da política [monetária] é enviado por intermédio da divulgação da taxa de juros pela qual foram negociados os títulos ou reservas entre o Banco Central e o mercado” (CARAVLHO </w:t>
      </w:r>
      <w:proofErr w:type="gramStart"/>
      <w:r>
        <w:rPr>
          <w:rFonts w:ascii="Arial" w:hAnsi="Arial" w:cs="Arial"/>
          <w:color w:val="000000" w:themeColor="text1"/>
          <w:sz w:val="24"/>
          <w:szCs w:val="24"/>
        </w:rPr>
        <w:t>et</w:t>
      </w:r>
      <w:proofErr w:type="gramEnd"/>
      <w:r>
        <w:rPr>
          <w:rFonts w:ascii="Arial" w:hAnsi="Arial" w:cs="Arial"/>
          <w:color w:val="000000" w:themeColor="text1"/>
          <w:sz w:val="24"/>
          <w:szCs w:val="24"/>
        </w:rPr>
        <w:t xml:space="preserve"> al, 2007, p. 177).</w:t>
      </w:r>
    </w:p>
    <w:p w:rsidR="002026DB" w:rsidRDefault="002026DB"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Em uma economia há uma enorme variedade de taxa</w:t>
      </w:r>
      <w:r w:rsidR="00F16D13">
        <w:rPr>
          <w:rFonts w:ascii="Arial" w:hAnsi="Arial" w:cs="Arial"/>
          <w:color w:val="000000" w:themeColor="text1"/>
          <w:sz w:val="24"/>
          <w:szCs w:val="24"/>
        </w:rPr>
        <w:t>s</w:t>
      </w:r>
      <w:r>
        <w:rPr>
          <w:rFonts w:ascii="Arial" w:hAnsi="Arial" w:cs="Arial"/>
          <w:color w:val="000000" w:themeColor="text1"/>
          <w:sz w:val="24"/>
          <w:szCs w:val="24"/>
        </w:rPr>
        <w:t xml:space="preserve"> de juros (poupança, financiamento etc.) além de várias maturidades (longo prazo, médio e curto). O Banco Central controla diretamente a taxa de curto prazo, Selic, que é a taxa de juros primária (</w:t>
      </w:r>
      <w:r w:rsidR="00541E0C">
        <w:rPr>
          <w:rFonts w:ascii="Arial" w:hAnsi="Arial" w:cs="Arial"/>
          <w:color w:val="000000" w:themeColor="text1"/>
          <w:sz w:val="24"/>
          <w:szCs w:val="24"/>
        </w:rPr>
        <w:t>afeta diretamente as taxas</w:t>
      </w:r>
      <w:r>
        <w:rPr>
          <w:rFonts w:ascii="Arial" w:hAnsi="Arial" w:cs="Arial"/>
          <w:color w:val="000000" w:themeColor="text1"/>
          <w:sz w:val="24"/>
          <w:szCs w:val="24"/>
        </w:rPr>
        <w:t xml:space="preserve"> de curto prazo</w:t>
      </w:r>
      <w:r w:rsidR="00541E0C">
        <w:rPr>
          <w:rFonts w:ascii="Arial" w:hAnsi="Arial" w:cs="Arial"/>
          <w:color w:val="000000" w:themeColor="text1"/>
          <w:sz w:val="24"/>
          <w:szCs w:val="24"/>
        </w:rPr>
        <w:t>, e indiretamente as taxas de longo prazo</w:t>
      </w:r>
      <w:r>
        <w:rPr>
          <w:rFonts w:ascii="Arial" w:hAnsi="Arial" w:cs="Arial"/>
          <w:color w:val="000000" w:themeColor="text1"/>
          <w:sz w:val="24"/>
          <w:szCs w:val="24"/>
        </w:rPr>
        <w:t xml:space="preserve">) estabelecida no mercado de reservas bancária, isto é, </w:t>
      </w:r>
      <w:r w:rsidR="00FC4065">
        <w:rPr>
          <w:rFonts w:ascii="Arial" w:hAnsi="Arial" w:cs="Arial"/>
          <w:color w:val="000000" w:themeColor="text1"/>
          <w:sz w:val="24"/>
          <w:szCs w:val="24"/>
        </w:rPr>
        <w:t xml:space="preserve">a Selic afeta </w:t>
      </w:r>
      <w:r>
        <w:rPr>
          <w:rFonts w:ascii="Arial" w:hAnsi="Arial" w:cs="Arial"/>
          <w:color w:val="000000" w:themeColor="text1"/>
          <w:sz w:val="24"/>
          <w:szCs w:val="24"/>
        </w:rPr>
        <w:t xml:space="preserve">o custo no qual os bancos comerciais incorrem ao tomar </w:t>
      </w:r>
      <w:proofErr w:type="gramStart"/>
      <w:r>
        <w:rPr>
          <w:rFonts w:ascii="Arial" w:hAnsi="Arial" w:cs="Arial"/>
          <w:color w:val="000000" w:themeColor="text1"/>
          <w:sz w:val="24"/>
          <w:szCs w:val="24"/>
        </w:rPr>
        <w:t>emprestado reservas bancárias</w:t>
      </w:r>
      <w:proofErr w:type="gramEnd"/>
      <w:r>
        <w:rPr>
          <w:rFonts w:ascii="Arial" w:hAnsi="Arial" w:cs="Arial"/>
          <w:color w:val="000000" w:themeColor="text1"/>
          <w:sz w:val="24"/>
          <w:szCs w:val="24"/>
        </w:rPr>
        <w:t xml:space="preserve"> por um dia (overnight).</w:t>
      </w:r>
    </w:p>
    <w:p w:rsidR="00E70AF7" w:rsidRDefault="008C0C94"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formação da taxa de juros </w:t>
      </w:r>
      <w:r w:rsidR="00E70AF7">
        <w:rPr>
          <w:rFonts w:ascii="Arial" w:hAnsi="Arial" w:cs="Arial"/>
          <w:color w:val="000000" w:themeColor="text1"/>
          <w:sz w:val="24"/>
          <w:szCs w:val="24"/>
        </w:rPr>
        <w:t>é feita</w:t>
      </w:r>
      <w:r>
        <w:rPr>
          <w:rFonts w:ascii="Arial" w:hAnsi="Arial" w:cs="Arial"/>
          <w:color w:val="000000" w:themeColor="text1"/>
          <w:sz w:val="24"/>
          <w:szCs w:val="24"/>
        </w:rPr>
        <w:t xml:space="preserve"> da seguinte forma: Os bancos com carteira comercial possuem uma espécie de conta corrente no Banco Central. Nessa </w:t>
      </w:r>
      <w:r>
        <w:rPr>
          <w:rFonts w:ascii="Arial" w:hAnsi="Arial" w:cs="Arial"/>
          <w:color w:val="000000" w:themeColor="text1"/>
          <w:sz w:val="24"/>
          <w:szCs w:val="24"/>
        </w:rPr>
        <w:lastRenderedPageBreak/>
        <w:t>conta são depositados recursos para cobrir obrigações junto ao Banco Central</w:t>
      </w:r>
      <w:r w:rsidR="006960A2">
        <w:rPr>
          <w:rFonts w:ascii="Arial" w:hAnsi="Arial" w:cs="Arial"/>
          <w:color w:val="000000" w:themeColor="text1"/>
          <w:sz w:val="24"/>
          <w:szCs w:val="24"/>
        </w:rPr>
        <w:t xml:space="preserve"> </w:t>
      </w:r>
      <w:r w:rsidR="00977717">
        <w:rPr>
          <w:rFonts w:ascii="Arial" w:hAnsi="Arial" w:cs="Arial"/>
          <w:color w:val="000000" w:themeColor="text1"/>
          <w:sz w:val="24"/>
          <w:szCs w:val="24"/>
        </w:rPr>
        <w:t>(</w:t>
      </w:r>
      <w:r w:rsidR="00541E0C">
        <w:rPr>
          <w:rFonts w:ascii="Arial" w:hAnsi="Arial" w:cs="Arial"/>
          <w:color w:val="000000" w:themeColor="text1"/>
          <w:sz w:val="24"/>
          <w:szCs w:val="24"/>
        </w:rPr>
        <w:t>compulsórios</w:t>
      </w:r>
      <w:r w:rsidR="00977717">
        <w:rPr>
          <w:rFonts w:ascii="Arial" w:hAnsi="Arial" w:cs="Arial"/>
          <w:color w:val="000000" w:themeColor="text1"/>
          <w:sz w:val="24"/>
          <w:szCs w:val="24"/>
        </w:rPr>
        <w:t>)</w:t>
      </w:r>
      <w:r>
        <w:rPr>
          <w:rFonts w:ascii="Arial" w:hAnsi="Arial" w:cs="Arial"/>
          <w:color w:val="000000" w:themeColor="text1"/>
          <w:sz w:val="24"/>
          <w:szCs w:val="24"/>
        </w:rPr>
        <w:t>, além de pagamentos aos demais bancos</w:t>
      </w:r>
      <w:r w:rsidR="00E70AF7">
        <w:rPr>
          <w:rFonts w:ascii="Arial" w:hAnsi="Arial" w:cs="Arial"/>
          <w:color w:val="000000" w:themeColor="text1"/>
          <w:sz w:val="24"/>
          <w:szCs w:val="24"/>
        </w:rPr>
        <w:t>,</w:t>
      </w:r>
      <w:r>
        <w:rPr>
          <w:rFonts w:ascii="Arial" w:hAnsi="Arial" w:cs="Arial"/>
          <w:color w:val="000000" w:themeColor="text1"/>
          <w:sz w:val="24"/>
          <w:szCs w:val="24"/>
        </w:rPr>
        <w:t xml:space="preserve"> saques e cheques emitidos por seus correntistas.</w:t>
      </w:r>
      <w:r w:rsidR="00E70AF7">
        <w:rPr>
          <w:rFonts w:ascii="Arial" w:hAnsi="Arial" w:cs="Arial"/>
          <w:color w:val="000000" w:themeColor="text1"/>
          <w:sz w:val="24"/>
          <w:szCs w:val="24"/>
        </w:rPr>
        <w:t xml:space="preserve"> Ao final de cada dia existem bancos superavitários e </w:t>
      </w:r>
      <w:r w:rsidR="006960A2">
        <w:rPr>
          <w:rFonts w:ascii="Arial" w:hAnsi="Arial" w:cs="Arial"/>
          <w:color w:val="000000" w:themeColor="text1"/>
          <w:sz w:val="24"/>
          <w:szCs w:val="24"/>
        </w:rPr>
        <w:t>deficitários</w:t>
      </w:r>
      <w:r w:rsidR="00E70AF7">
        <w:rPr>
          <w:rFonts w:ascii="Arial" w:hAnsi="Arial" w:cs="Arial"/>
          <w:color w:val="000000" w:themeColor="text1"/>
          <w:sz w:val="24"/>
          <w:szCs w:val="24"/>
        </w:rPr>
        <w:t xml:space="preserve">, que por sua vez emprestam </w:t>
      </w:r>
      <w:r w:rsidR="006960A2">
        <w:rPr>
          <w:rFonts w:ascii="Arial" w:hAnsi="Arial" w:cs="Arial"/>
          <w:color w:val="000000" w:themeColor="text1"/>
          <w:sz w:val="24"/>
          <w:szCs w:val="24"/>
        </w:rPr>
        <w:t xml:space="preserve">recursos </w:t>
      </w:r>
      <w:r w:rsidR="00E70AF7">
        <w:rPr>
          <w:rFonts w:ascii="Arial" w:hAnsi="Arial" w:cs="Arial"/>
          <w:color w:val="000000" w:themeColor="text1"/>
          <w:sz w:val="24"/>
          <w:szCs w:val="24"/>
        </w:rPr>
        <w:t>entre si visando suprir necessidades opostas. Entretanto, dificilmente o resultado desse ajuste é zero</w:t>
      </w:r>
      <w:r w:rsidR="00977717">
        <w:rPr>
          <w:rFonts w:ascii="Arial" w:hAnsi="Arial" w:cs="Arial"/>
          <w:color w:val="000000" w:themeColor="text1"/>
          <w:sz w:val="24"/>
          <w:szCs w:val="24"/>
        </w:rPr>
        <w:t xml:space="preserve">, pois, </w:t>
      </w:r>
      <w:r w:rsidR="00E70AF7">
        <w:rPr>
          <w:rFonts w:ascii="Arial" w:hAnsi="Arial" w:cs="Arial"/>
          <w:color w:val="000000" w:themeColor="text1"/>
          <w:sz w:val="24"/>
          <w:szCs w:val="24"/>
        </w:rPr>
        <w:t>sobras e excessos de recur</w:t>
      </w:r>
      <w:r w:rsidR="00977717">
        <w:rPr>
          <w:rFonts w:ascii="Arial" w:hAnsi="Arial" w:cs="Arial"/>
          <w:color w:val="000000" w:themeColor="text1"/>
          <w:sz w:val="24"/>
          <w:szCs w:val="24"/>
        </w:rPr>
        <w:t>sos não se compensam mutuamente</w:t>
      </w:r>
      <w:r w:rsidR="00E70AF7">
        <w:rPr>
          <w:rFonts w:ascii="Arial" w:hAnsi="Arial" w:cs="Arial"/>
          <w:color w:val="000000" w:themeColor="text1"/>
          <w:sz w:val="24"/>
          <w:szCs w:val="24"/>
        </w:rPr>
        <w:t>.</w:t>
      </w:r>
      <w:r w:rsidR="00C236A1">
        <w:rPr>
          <w:rFonts w:ascii="Arial" w:hAnsi="Arial" w:cs="Arial"/>
          <w:color w:val="000000" w:themeColor="text1"/>
          <w:sz w:val="24"/>
          <w:szCs w:val="24"/>
        </w:rPr>
        <w:t xml:space="preserve"> (MODENESI, 2005)</w:t>
      </w:r>
    </w:p>
    <w:p w:rsidR="00D20546" w:rsidRDefault="00E70AF7"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Assim, caso um banco esteja deficitário e não houvesse recurso de outro banco para </w:t>
      </w:r>
      <w:r w:rsidR="00DF5CA0">
        <w:rPr>
          <w:rFonts w:ascii="Arial" w:hAnsi="Arial" w:cs="Arial"/>
          <w:color w:val="000000" w:themeColor="text1"/>
          <w:sz w:val="24"/>
          <w:szCs w:val="24"/>
        </w:rPr>
        <w:t xml:space="preserve">cobri-lo, haveria uma elevação brusca na taxa de juros, pois o banco deficitário pagaria uma taxa além da vigente para fechar seu saldo diário. Caso contrário, se um banco estiver com recursos em excesso ao final de um dia e não consegue encontrar demanda para este recurso, ele estaria disposto a aceitar uma taxa de juros menor que a estipulada pelo Banco Central para fechar seu saldo (uma taxa de juros menor é melhor que não ter seu recurso remunerado). Para evitar essas oscilações na taxa de juros, o Banco Central intervém diariamente suprindo ou recolhendo recursos. Assim, ao se estipular uma meta para a taxa de </w:t>
      </w:r>
      <w:r w:rsidR="00A06F93">
        <w:rPr>
          <w:rFonts w:ascii="Arial" w:hAnsi="Arial" w:cs="Arial"/>
          <w:color w:val="000000" w:themeColor="text1"/>
          <w:sz w:val="24"/>
          <w:szCs w:val="24"/>
        </w:rPr>
        <w:t>juros Selic o Banco Central age</w:t>
      </w:r>
      <w:r w:rsidR="00DF5CA0">
        <w:rPr>
          <w:rFonts w:ascii="Arial" w:hAnsi="Arial" w:cs="Arial"/>
          <w:color w:val="000000" w:themeColor="text1"/>
          <w:sz w:val="24"/>
          <w:szCs w:val="24"/>
        </w:rPr>
        <w:t xml:space="preserve"> controlando a liquidez de forma que a taxa de juros estipulada mantenha-se </w:t>
      </w:r>
      <w:r w:rsidR="00A06F93">
        <w:rPr>
          <w:rFonts w:ascii="Arial" w:hAnsi="Arial" w:cs="Arial"/>
          <w:color w:val="000000" w:themeColor="text1"/>
          <w:sz w:val="24"/>
          <w:szCs w:val="24"/>
        </w:rPr>
        <w:t>dentro de seu intervalo. Já o controle diário, é feito através de operações de open Market</w:t>
      </w:r>
      <w:r w:rsidR="006960A2">
        <w:rPr>
          <w:rFonts w:ascii="Arial" w:hAnsi="Arial" w:cs="Arial"/>
          <w:color w:val="000000" w:themeColor="text1"/>
          <w:sz w:val="24"/>
          <w:szCs w:val="24"/>
        </w:rPr>
        <w:t>, na qual</w:t>
      </w:r>
      <w:r w:rsidR="00A06F93">
        <w:rPr>
          <w:rFonts w:ascii="Arial" w:hAnsi="Arial" w:cs="Arial"/>
          <w:color w:val="000000" w:themeColor="text1"/>
          <w:sz w:val="24"/>
          <w:szCs w:val="24"/>
        </w:rPr>
        <w:t xml:space="preserve"> o Banco Central compra ou vende títulos públicos para, respectivamente, retirar recursos em excesso ou criar liquidez necessária.</w:t>
      </w:r>
      <w:r w:rsidR="00BF436E">
        <w:rPr>
          <w:rFonts w:ascii="Arial" w:hAnsi="Arial" w:cs="Arial"/>
          <w:color w:val="000000" w:themeColor="text1"/>
          <w:sz w:val="24"/>
          <w:szCs w:val="24"/>
        </w:rPr>
        <w:t xml:space="preserve"> (MODENESI, 2005)</w:t>
      </w:r>
    </w:p>
    <w:p w:rsidR="0044020B" w:rsidRDefault="0044020B"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Com as devidas explicações sobre a taxa de juros, fica o questionamento sobre como a taxa de juros, Selic, impacta a taxa de inflação? Segundo </w:t>
      </w:r>
      <w:proofErr w:type="spellStart"/>
      <w:r>
        <w:rPr>
          <w:rFonts w:ascii="Arial" w:hAnsi="Arial" w:cs="Arial"/>
          <w:color w:val="000000" w:themeColor="text1"/>
          <w:sz w:val="24"/>
          <w:szCs w:val="24"/>
        </w:rPr>
        <w:t>Modenesi</w:t>
      </w:r>
      <w:proofErr w:type="spellEnd"/>
      <w:r>
        <w:rPr>
          <w:rFonts w:ascii="Arial" w:hAnsi="Arial" w:cs="Arial"/>
          <w:color w:val="000000" w:themeColor="text1"/>
          <w:sz w:val="24"/>
          <w:szCs w:val="24"/>
        </w:rPr>
        <w:t xml:space="preserve">, </w:t>
      </w:r>
      <w:r w:rsidR="006960A2">
        <w:rPr>
          <w:rFonts w:ascii="Arial" w:hAnsi="Arial" w:cs="Arial"/>
          <w:color w:val="000000" w:themeColor="text1"/>
          <w:sz w:val="24"/>
          <w:szCs w:val="24"/>
        </w:rPr>
        <w:t>(</w:t>
      </w:r>
      <w:r>
        <w:rPr>
          <w:rFonts w:ascii="Arial" w:hAnsi="Arial" w:cs="Arial"/>
          <w:color w:val="000000" w:themeColor="text1"/>
          <w:sz w:val="24"/>
          <w:szCs w:val="24"/>
        </w:rPr>
        <w:t>2005, p.367</w:t>
      </w:r>
      <w:r w:rsidR="006960A2">
        <w:rPr>
          <w:rFonts w:ascii="Arial" w:hAnsi="Arial" w:cs="Arial"/>
          <w:color w:val="000000" w:themeColor="text1"/>
          <w:sz w:val="24"/>
          <w:szCs w:val="24"/>
        </w:rPr>
        <w:t>)</w:t>
      </w:r>
      <w:r>
        <w:rPr>
          <w:rFonts w:ascii="Arial" w:hAnsi="Arial" w:cs="Arial"/>
          <w:color w:val="000000" w:themeColor="text1"/>
          <w:sz w:val="24"/>
          <w:szCs w:val="24"/>
        </w:rPr>
        <w:t xml:space="preserve"> </w:t>
      </w:r>
    </w:p>
    <w:p w:rsidR="00BF53D3" w:rsidRPr="00C02547" w:rsidRDefault="0044020B" w:rsidP="00C02547">
      <w:pPr>
        <w:spacing w:after="0" w:line="240" w:lineRule="auto"/>
        <w:ind w:left="2124"/>
        <w:jc w:val="both"/>
        <w:rPr>
          <w:rFonts w:ascii="Arial" w:hAnsi="Arial" w:cs="Arial"/>
          <w:color w:val="000000" w:themeColor="text1"/>
          <w:sz w:val="20"/>
          <w:szCs w:val="20"/>
        </w:rPr>
      </w:pPr>
      <w:r w:rsidRPr="0044020B">
        <w:rPr>
          <w:rFonts w:ascii="Arial" w:hAnsi="Arial" w:cs="Arial"/>
          <w:color w:val="000000" w:themeColor="text1"/>
          <w:sz w:val="20"/>
          <w:szCs w:val="20"/>
        </w:rPr>
        <w:t>Existem fundamentalmente cinco canais por meio dos quais a política monetária pode afetar a variação do nível geral de preços (i) a estrutura a termo da taxa de juros; (</w:t>
      </w:r>
      <w:proofErr w:type="spellStart"/>
      <w:proofErr w:type="gramStart"/>
      <w:r w:rsidRPr="0044020B">
        <w:rPr>
          <w:rFonts w:ascii="Arial" w:hAnsi="Arial" w:cs="Arial"/>
          <w:color w:val="000000" w:themeColor="text1"/>
          <w:sz w:val="20"/>
          <w:szCs w:val="20"/>
        </w:rPr>
        <w:t>ii</w:t>
      </w:r>
      <w:proofErr w:type="spellEnd"/>
      <w:proofErr w:type="gramEnd"/>
      <w:r w:rsidRPr="0044020B">
        <w:rPr>
          <w:rFonts w:ascii="Arial" w:hAnsi="Arial" w:cs="Arial"/>
          <w:color w:val="000000" w:themeColor="text1"/>
          <w:sz w:val="20"/>
          <w:szCs w:val="20"/>
        </w:rPr>
        <w:t>) a taxa de câmbio; (</w:t>
      </w:r>
      <w:proofErr w:type="spellStart"/>
      <w:r w:rsidRPr="0044020B">
        <w:rPr>
          <w:rFonts w:ascii="Arial" w:hAnsi="Arial" w:cs="Arial"/>
          <w:color w:val="000000" w:themeColor="text1"/>
          <w:sz w:val="20"/>
          <w:szCs w:val="20"/>
        </w:rPr>
        <w:t>iii</w:t>
      </w:r>
      <w:proofErr w:type="spellEnd"/>
      <w:r w:rsidRPr="0044020B">
        <w:rPr>
          <w:rFonts w:ascii="Arial" w:hAnsi="Arial" w:cs="Arial"/>
          <w:color w:val="000000" w:themeColor="text1"/>
          <w:sz w:val="20"/>
          <w:szCs w:val="20"/>
        </w:rPr>
        <w:t>) as expectativas; (</w:t>
      </w:r>
      <w:proofErr w:type="spellStart"/>
      <w:r w:rsidRPr="0044020B">
        <w:rPr>
          <w:rFonts w:ascii="Arial" w:hAnsi="Arial" w:cs="Arial"/>
          <w:color w:val="000000" w:themeColor="text1"/>
          <w:sz w:val="20"/>
          <w:szCs w:val="20"/>
        </w:rPr>
        <w:t>iv</w:t>
      </w:r>
      <w:proofErr w:type="spellEnd"/>
      <w:r w:rsidRPr="0044020B">
        <w:rPr>
          <w:rFonts w:ascii="Arial" w:hAnsi="Arial" w:cs="Arial"/>
          <w:color w:val="000000" w:themeColor="text1"/>
          <w:sz w:val="20"/>
          <w:szCs w:val="20"/>
        </w:rPr>
        <w:t>) o cr</w:t>
      </w:r>
      <w:r w:rsidR="00B74550">
        <w:rPr>
          <w:rFonts w:ascii="Arial" w:hAnsi="Arial" w:cs="Arial"/>
          <w:color w:val="000000" w:themeColor="text1"/>
          <w:sz w:val="20"/>
          <w:szCs w:val="20"/>
        </w:rPr>
        <w:t>édito; e (v) o preço dos ativos</w:t>
      </w:r>
    </w:p>
    <w:p w:rsidR="00902371" w:rsidRDefault="007B162C"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Variações na taxa S</w:t>
      </w:r>
      <w:r w:rsidR="00FE547F">
        <w:rPr>
          <w:rFonts w:ascii="Arial" w:hAnsi="Arial" w:cs="Arial"/>
          <w:color w:val="000000" w:themeColor="text1"/>
          <w:sz w:val="24"/>
          <w:szCs w:val="24"/>
        </w:rPr>
        <w:t>elic influenciam os canais anteriormente</w:t>
      </w:r>
      <w:r>
        <w:rPr>
          <w:rFonts w:ascii="Arial" w:hAnsi="Arial" w:cs="Arial"/>
          <w:color w:val="000000" w:themeColor="text1"/>
          <w:sz w:val="24"/>
          <w:szCs w:val="24"/>
        </w:rPr>
        <w:t xml:space="preserve"> referidos, e estes influenciam a demanda agregada, que por sua vez atinge o nível geral de preços. As decisões de investimento e de consumo de bens estão ligadas, dentre outros fatores, à taxa de juros. Assim, um aumento na taxa de juros Selic tende a afetar a estrutura a termo da taxa de juros encarecendo ou inviabilizando os projetos de investimento ou consumo de bens duráveis. </w:t>
      </w:r>
      <w:r w:rsidR="00902371">
        <w:rPr>
          <w:rFonts w:ascii="Arial" w:hAnsi="Arial" w:cs="Arial"/>
          <w:color w:val="000000" w:themeColor="text1"/>
          <w:sz w:val="24"/>
          <w:szCs w:val="24"/>
        </w:rPr>
        <w:t xml:space="preserve">Com relação à taxa de câmbio, oscilações na taxa Selic tendem a influenciar fluxos de capitais externos, que por </w:t>
      </w:r>
      <w:r w:rsidR="00902371">
        <w:rPr>
          <w:rFonts w:ascii="Arial" w:hAnsi="Arial" w:cs="Arial"/>
          <w:color w:val="000000" w:themeColor="text1"/>
          <w:sz w:val="24"/>
          <w:szCs w:val="24"/>
        </w:rPr>
        <w:lastRenderedPageBreak/>
        <w:t xml:space="preserve">sua vez alteram o valor do câmbio. Essa alteração reflete-se no IPCA, pois na composição deste índice há influência relevante do câmbio. </w:t>
      </w:r>
    </w:p>
    <w:p w:rsidR="00B108B4" w:rsidRDefault="00902371"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O canal d</w:t>
      </w:r>
      <w:r w:rsidR="00B108B4">
        <w:rPr>
          <w:rFonts w:ascii="Arial" w:hAnsi="Arial" w:cs="Arial"/>
          <w:color w:val="000000" w:themeColor="text1"/>
          <w:sz w:val="24"/>
          <w:szCs w:val="24"/>
        </w:rPr>
        <w:t>as expectativas é afetado, pois</w:t>
      </w:r>
      <w:r>
        <w:rPr>
          <w:rFonts w:ascii="Arial" w:hAnsi="Arial" w:cs="Arial"/>
          <w:color w:val="000000" w:themeColor="text1"/>
          <w:sz w:val="24"/>
          <w:szCs w:val="24"/>
        </w:rPr>
        <w:t xml:space="preserve"> alterações na taxa básica de juros influenciam as expectativas quanto ao futuro da economia, que por sua vez afeta</w:t>
      </w:r>
      <w:r w:rsidR="00B108B4">
        <w:rPr>
          <w:rFonts w:ascii="Arial" w:hAnsi="Arial" w:cs="Arial"/>
          <w:color w:val="000000" w:themeColor="text1"/>
          <w:sz w:val="24"/>
          <w:szCs w:val="24"/>
        </w:rPr>
        <w:t>m</w:t>
      </w:r>
      <w:r>
        <w:rPr>
          <w:rFonts w:ascii="Arial" w:hAnsi="Arial" w:cs="Arial"/>
          <w:color w:val="000000" w:themeColor="text1"/>
          <w:sz w:val="24"/>
          <w:szCs w:val="24"/>
        </w:rPr>
        <w:t xml:space="preserve"> as decisões dos agentes quanto ao investimento, poupança e consumo. </w:t>
      </w:r>
      <w:r w:rsidR="00C920C3">
        <w:rPr>
          <w:rFonts w:ascii="Arial" w:hAnsi="Arial" w:cs="Arial"/>
          <w:color w:val="000000" w:themeColor="text1"/>
          <w:sz w:val="24"/>
          <w:szCs w:val="24"/>
        </w:rPr>
        <w:t>Alterações na taxa de juros tendem a afetar o volume de reservas bancárias</w:t>
      </w:r>
      <w:r w:rsidR="00D9277A">
        <w:rPr>
          <w:rFonts w:ascii="Arial" w:hAnsi="Arial" w:cs="Arial"/>
          <w:color w:val="000000" w:themeColor="text1"/>
          <w:sz w:val="24"/>
          <w:szCs w:val="24"/>
        </w:rPr>
        <w:t>,</w:t>
      </w:r>
      <w:r w:rsidR="00C920C3">
        <w:rPr>
          <w:rFonts w:ascii="Arial" w:hAnsi="Arial" w:cs="Arial"/>
          <w:color w:val="000000" w:themeColor="text1"/>
          <w:sz w:val="24"/>
          <w:szCs w:val="24"/>
        </w:rPr>
        <w:t xml:space="preserve"> </w:t>
      </w:r>
      <w:r w:rsidR="00D9277A">
        <w:rPr>
          <w:rFonts w:ascii="Arial" w:hAnsi="Arial" w:cs="Arial"/>
          <w:color w:val="000000" w:themeColor="text1"/>
          <w:sz w:val="24"/>
          <w:szCs w:val="24"/>
        </w:rPr>
        <w:t>qu</w:t>
      </w:r>
      <w:r w:rsidR="00B108B4">
        <w:rPr>
          <w:rFonts w:ascii="Arial" w:hAnsi="Arial" w:cs="Arial"/>
          <w:color w:val="000000" w:themeColor="text1"/>
          <w:sz w:val="24"/>
          <w:szCs w:val="24"/>
        </w:rPr>
        <w:t>e por sua vez impactam o volume de crédito.</w:t>
      </w:r>
    </w:p>
    <w:p w:rsidR="007B162C" w:rsidRDefault="00D9277A"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Por último, variações na taxa de juros impactam o preço dos ativos, pois alteram o estoque de riqueza dos agentes econômicos, que por sua vez influenciam nas decisões de consumo. Uma redução na taxa de juros, por exemplo, visa estimular o crescimento econômico que se reflete no aumento de expectativa de lucro das empresas. Ao afetar essa expectativa, os preços das ações sobem afetando o volume de riqueza financeira.</w:t>
      </w:r>
    </w:p>
    <w:p w:rsidR="00C51027" w:rsidRPr="00CA1349" w:rsidRDefault="0013491A"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Na prática, o RMI, desde sua </w:t>
      </w:r>
      <w:r w:rsidR="00C51027">
        <w:rPr>
          <w:rFonts w:ascii="Arial" w:hAnsi="Arial" w:cs="Arial"/>
          <w:color w:val="000000" w:themeColor="text1"/>
          <w:sz w:val="24"/>
          <w:szCs w:val="24"/>
        </w:rPr>
        <w:t xml:space="preserve">implementação em junho de 1999, tem demonstrado dificuldade em cumprir as metas preestabelecidas. Mesmo com uma política monetária consideravelmente restritiva </w:t>
      </w:r>
      <w:r w:rsidR="00C51027" w:rsidRPr="00CA1349">
        <w:rPr>
          <w:rFonts w:ascii="Arial" w:hAnsi="Arial" w:cs="Arial"/>
          <w:color w:val="000000" w:themeColor="text1"/>
          <w:sz w:val="24"/>
          <w:szCs w:val="24"/>
        </w:rPr>
        <w:t>com a manutenção de elevadas taxas de juros</w:t>
      </w:r>
      <w:r w:rsidR="009D1CCA">
        <w:rPr>
          <w:rFonts w:ascii="Arial" w:hAnsi="Arial" w:cs="Arial"/>
          <w:color w:val="000000" w:themeColor="text1"/>
          <w:sz w:val="24"/>
          <w:szCs w:val="24"/>
        </w:rPr>
        <w:t>, os resultados sobre a</w:t>
      </w:r>
      <w:r w:rsidR="00C51027" w:rsidRPr="00CA1349">
        <w:rPr>
          <w:rFonts w:ascii="Arial" w:hAnsi="Arial" w:cs="Arial"/>
          <w:color w:val="000000" w:themeColor="text1"/>
          <w:sz w:val="24"/>
          <w:szCs w:val="24"/>
        </w:rPr>
        <w:t xml:space="preserve"> estabilidade de preços</w:t>
      </w:r>
      <w:r w:rsidR="009D1CCA">
        <w:rPr>
          <w:rFonts w:ascii="Arial" w:hAnsi="Arial" w:cs="Arial"/>
          <w:color w:val="000000" w:themeColor="text1"/>
          <w:sz w:val="24"/>
          <w:szCs w:val="24"/>
        </w:rPr>
        <w:t xml:space="preserve"> se mostram limitados.</w:t>
      </w:r>
    </w:p>
    <w:p w:rsidR="00885B1A" w:rsidRPr="00977717" w:rsidRDefault="00FE547F" w:rsidP="00C02547">
      <w:pPr>
        <w:spacing w:after="0" w:line="240" w:lineRule="auto"/>
        <w:ind w:left="2124"/>
        <w:jc w:val="both"/>
        <w:rPr>
          <w:rFonts w:ascii="Arial" w:hAnsi="Arial" w:cs="Arial"/>
          <w:color w:val="000000" w:themeColor="text1"/>
          <w:sz w:val="20"/>
          <w:szCs w:val="20"/>
        </w:rPr>
      </w:pPr>
      <w:r>
        <w:rPr>
          <w:rFonts w:ascii="Arial" w:hAnsi="Arial" w:cs="Arial"/>
          <w:color w:val="000000" w:themeColor="text1"/>
          <w:sz w:val="20"/>
          <w:szCs w:val="20"/>
        </w:rPr>
        <w:t xml:space="preserve">(...) </w:t>
      </w:r>
      <w:r w:rsidR="00C51027" w:rsidRPr="00CA1349">
        <w:rPr>
          <w:rFonts w:ascii="Arial" w:hAnsi="Arial" w:cs="Arial"/>
          <w:color w:val="000000" w:themeColor="text1"/>
          <w:sz w:val="20"/>
          <w:szCs w:val="20"/>
        </w:rPr>
        <w:t>nos 16 anos de existência do regime de metas de inflação (1999-2014), o Brasil só conseguiu alcançar o centro da meta quatro vezes (em 2000, 2006, 2007 e 2009). Na maior parte dos casos, a meta foi cumprida, mas ficou mais próxima do teto máximo de tolerância do que do centro da meta. (NASSIF, 2015, p. 430).</w:t>
      </w:r>
    </w:p>
    <w:p w:rsidR="00C51027" w:rsidRDefault="00AE29FE" w:rsidP="00885B1A">
      <w:pPr>
        <w:spacing w:after="0" w:line="360" w:lineRule="auto"/>
        <w:jc w:val="both"/>
        <w:rPr>
          <w:rFonts w:ascii="Arial" w:hAnsi="Arial" w:cs="Arial"/>
          <w:color w:val="000000" w:themeColor="text1"/>
          <w:sz w:val="24"/>
          <w:szCs w:val="24"/>
        </w:rPr>
      </w:pPr>
      <w:r w:rsidRPr="00CA1349">
        <w:rPr>
          <w:rFonts w:ascii="Arial" w:hAnsi="Arial" w:cs="Arial"/>
          <w:color w:val="000000" w:themeColor="text1"/>
          <w:sz w:val="24"/>
          <w:szCs w:val="24"/>
        </w:rPr>
        <w:tab/>
      </w:r>
      <w:r w:rsidR="00FE547F">
        <w:rPr>
          <w:rFonts w:ascii="Arial" w:hAnsi="Arial" w:cs="Arial"/>
          <w:color w:val="000000" w:themeColor="text1"/>
          <w:sz w:val="24"/>
          <w:szCs w:val="24"/>
        </w:rPr>
        <w:t>O gráfico a seguir</w:t>
      </w:r>
      <w:r w:rsidR="00C51027">
        <w:rPr>
          <w:rFonts w:ascii="Arial" w:hAnsi="Arial" w:cs="Arial"/>
          <w:color w:val="000000" w:themeColor="text1"/>
          <w:sz w:val="24"/>
          <w:szCs w:val="24"/>
        </w:rPr>
        <w:t xml:space="preserve"> ilustra</w:t>
      </w:r>
      <w:r w:rsidR="009D1CCA">
        <w:rPr>
          <w:rFonts w:ascii="Arial" w:hAnsi="Arial" w:cs="Arial"/>
          <w:color w:val="000000" w:themeColor="text1"/>
          <w:sz w:val="24"/>
          <w:szCs w:val="24"/>
        </w:rPr>
        <w:t xml:space="preserve"> o comportamento do IPCA desde o início do RMI, em que é perceptível </w:t>
      </w:r>
      <w:r w:rsidR="00971D47">
        <w:rPr>
          <w:rFonts w:ascii="Arial" w:hAnsi="Arial" w:cs="Arial"/>
          <w:color w:val="000000" w:themeColor="text1"/>
          <w:sz w:val="24"/>
          <w:szCs w:val="24"/>
        </w:rPr>
        <w:t>a dificuldade de se alcançar o centro da meta.</w:t>
      </w:r>
    </w:p>
    <w:p w:rsidR="009C37CF" w:rsidRPr="009C37CF" w:rsidRDefault="009C37CF" w:rsidP="009C37CF">
      <w:pPr>
        <w:pStyle w:val="Legenda"/>
        <w:keepNext/>
        <w:spacing w:after="0"/>
        <w:jc w:val="center"/>
        <w:rPr>
          <w:rFonts w:ascii="Arial" w:hAnsi="Arial" w:cs="Arial"/>
          <w:color w:val="auto"/>
          <w:sz w:val="24"/>
          <w:szCs w:val="24"/>
        </w:rPr>
      </w:pPr>
      <w:r w:rsidRPr="009C37CF">
        <w:rPr>
          <w:rFonts w:ascii="Arial" w:hAnsi="Arial" w:cs="Arial"/>
          <w:color w:val="auto"/>
          <w:sz w:val="24"/>
          <w:szCs w:val="24"/>
        </w:rPr>
        <w:t xml:space="preserve">Gráfico </w:t>
      </w:r>
      <w:r>
        <w:rPr>
          <w:rFonts w:ascii="Arial" w:hAnsi="Arial" w:cs="Arial"/>
          <w:color w:val="auto"/>
          <w:sz w:val="24"/>
          <w:szCs w:val="24"/>
        </w:rPr>
        <w:t xml:space="preserve">1 - Regime de metas de Inflação, 1999 - </w:t>
      </w:r>
      <w:proofErr w:type="gramStart"/>
      <w:r>
        <w:rPr>
          <w:rFonts w:ascii="Arial" w:hAnsi="Arial" w:cs="Arial"/>
          <w:color w:val="auto"/>
          <w:sz w:val="24"/>
          <w:szCs w:val="24"/>
        </w:rPr>
        <w:t>2016</w:t>
      </w:r>
      <w:proofErr w:type="gramEnd"/>
    </w:p>
    <w:p w:rsidR="00EF5166" w:rsidRPr="00C02547" w:rsidRDefault="00971D47" w:rsidP="00611813">
      <w:pPr>
        <w:spacing w:line="240" w:lineRule="auto"/>
        <w:rPr>
          <w:rFonts w:ascii="Arial" w:hAnsi="Arial" w:cs="Arial"/>
          <w:b/>
          <w:color w:val="000000" w:themeColor="text1"/>
          <w:sz w:val="20"/>
          <w:szCs w:val="24"/>
        </w:rPr>
      </w:pPr>
      <w:r>
        <w:rPr>
          <w:noProof/>
          <w:lang w:eastAsia="pt-BR"/>
        </w:rPr>
        <w:drawing>
          <wp:inline distT="0" distB="0" distL="0" distR="0" wp14:anchorId="6B586719" wp14:editId="39782B56">
            <wp:extent cx="5715000" cy="2638425"/>
            <wp:effectExtent l="0" t="0" r="1905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611813">
        <w:rPr>
          <w:rFonts w:ascii="Arial" w:hAnsi="Arial" w:cs="Arial"/>
          <w:color w:val="000000" w:themeColor="text1"/>
          <w:sz w:val="18"/>
          <w:szCs w:val="24"/>
        </w:rPr>
        <w:t xml:space="preserve">                         </w:t>
      </w:r>
      <w:r w:rsidR="00611813" w:rsidRPr="00EF5166">
        <w:rPr>
          <w:rFonts w:ascii="Arial" w:hAnsi="Arial" w:cs="Arial"/>
          <w:b/>
          <w:color w:val="000000" w:themeColor="text1"/>
          <w:sz w:val="20"/>
          <w:szCs w:val="24"/>
        </w:rPr>
        <w:t>Fonte: Banco Central do Brasil, e</w:t>
      </w:r>
      <w:r w:rsidRPr="00EF5166">
        <w:rPr>
          <w:rFonts w:ascii="Arial" w:hAnsi="Arial" w:cs="Arial"/>
          <w:b/>
          <w:color w:val="000000" w:themeColor="text1"/>
          <w:sz w:val="20"/>
          <w:szCs w:val="24"/>
        </w:rPr>
        <w:t>laboração própria</w:t>
      </w:r>
      <w:r w:rsidR="00611813" w:rsidRPr="00EF5166">
        <w:rPr>
          <w:rFonts w:ascii="Arial" w:hAnsi="Arial" w:cs="Arial"/>
          <w:b/>
          <w:color w:val="000000" w:themeColor="text1"/>
          <w:sz w:val="20"/>
          <w:szCs w:val="24"/>
        </w:rPr>
        <w:t>.</w:t>
      </w:r>
    </w:p>
    <w:p w:rsidR="00AE29FE" w:rsidRPr="00CA1349" w:rsidRDefault="00B108B4"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Uma </w:t>
      </w:r>
      <w:r w:rsidR="00AE29FE" w:rsidRPr="00CA1349">
        <w:rPr>
          <w:rFonts w:ascii="Arial" w:hAnsi="Arial" w:cs="Arial"/>
          <w:color w:val="000000" w:themeColor="text1"/>
          <w:sz w:val="24"/>
          <w:szCs w:val="24"/>
        </w:rPr>
        <w:t xml:space="preserve">das explicações para esta ineficiência está no uso do índice de preço para se medir a inflação, no caso do Brasil o IPCA. Argumenta-se que ele não reflete de forma precisa o aumento dos preços que ocorre no mercado, pois é composto principalmente por preços administrados, cerca de 30% (CARVALHO </w:t>
      </w:r>
      <w:proofErr w:type="gramStart"/>
      <w:r w:rsidR="00AE29FE" w:rsidRPr="00CA1349">
        <w:rPr>
          <w:rFonts w:ascii="Arial" w:hAnsi="Arial" w:cs="Arial"/>
          <w:color w:val="000000" w:themeColor="text1"/>
          <w:sz w:val="24"/>
          <w:szCs w:val="24"/>
        </w:rPr>
        <w:t>et</w:t>
      </w:r>
      <w:proofErr w:type="gramEnd"/>
      <w:r w:rsidR="00AE29FE" w:rsidRPr="00CA1349">
        <w:rPr>
          <w:rFonts w:ascii="Arial" w:hAnsi="Arial" w:cs="Arial"/>
          <w:color w:val="000000" w:themeColor="text1"/>
          <w:sz w:val="24"/>
          <w:szCs w:val="24"/>
        </w:rPr>
        <w:t xml:space="preserve"> al, 2007). Por preços administrados, entende-se que “de alguma forma é determinado ou influenciado por um órgão público; [preços administrados] variam independentemente das condições de oferta e demanda” (B</w:t>
      </w:r>
      <w:r w:rsidR="002B0138">
        <w:rPr>
          <w:rFonts w:ascii="Arial" w:hAnsi="Arial" w:cs="Arial"/>
          <w:color w:val="000000" w:themeColor="text1"/>
          <w:sz w:val="24"/>
          <w:szCs w:val="24"/>
        </w:rPr>
        <w:t>ACEN</w:t>
      </w:r>
      <w:r w:rsidR="00AE29FE" w:rsidRPr="00CA1349">
        <w:rPr>
          <w:rFonts w:ascii="Arial" w:hAnsi="Arial" w:cs="Arial"/>
          <w:color w:val="000000" w:themeColor="text1"/>
          <w:sz w:val="24"/>
          <w:szCs w:val="24"/>
        </w:rPr>
        <w:t xml:space="preserve">, apud CARVALHO </w:t>
      </w:r>
      <w:proofErr w:type="gramStart"/>
      <w:r w:rsidR="00AE29FE" w:rsidRPr="00CA1349">
        <w:rPr>
          <w:rFonts w:ascii="Arial" w:hAnsi="Arial" w:cs="Arial"/>
          <w:color w:val="000000" w:themeColor="text1"/>
          <w:sz w:val="24"/>
          <w:szCs w:val="24"/>
        </w:rPr>
        <w:t>et</w:t>
      </w:r>
      <w:proofErr w:type="gramEnd"/>
      <w:r w:rsidR="00AE29FE" w:rsidRPr="00CA1349">
        <w:rPr>
          <w:rFonts w:ascii="Arial" w:hAnsi="Arial" w:cs="Arial"/>
          <w:color w:val="000000" w:themeColor="text1"/>
          <w:sz w:val="24"/>
          <w:szCs w:val="24"/>
        </w:rPr>
        <w:t xml:space="preserve"> al, 2007,</w:t>
      </w:r>
      <w:r w:rsidR="00AE29FE" w:rsidRPr="00CA1349">
        <w:rPr>
          <w:rFonts w:ascii="Arial" w:hAnsi="Arial" w:cs="Arial"/>
          <w:i/>
          <w:color w:val="000000" w:themeColor="text1"/>
          <w:sz w:val="24"/>
          <w:szCs w:val="24"/>
        </w:rPr>
        <w:t xml:space="preserve"> </w:t>
      </w:r>
      <w:r w:rsidR="00AE29FE" w:rsidRPr="00CA1349">
        <w:rPr>
          <w:rFonts w:ascii="Arial" w:hAnsi="Arial" w:cs="Arial"/>
          <w:color w:val="000000" w:themeColor="text1"/>
          <w:sz w:val="24"/>
          <w:szCs w:val="24"/>
        </w:rPr>
        <w:t>p. 153).</w:t>
      </w:r>
    </w:p>
    <w:p w:rsidR="00AE29FE" w:rsidRDefault="00AE29FE" w:rsidP="00885B1A">
      <w:pPr>
        <w:spacing w:after="0" w:line="360" w:lineRule="auto"/>
        <w:ind w:firstLine="708"/>
        <w:jc w:val="both"/>
        <w:rPr>
          <w:rFonts w:ascii="Arial" w:hAnsi="Arial" w:cs="Arial"/>
          <w:color w:val="000000" w:themeColor="text1"/>
          <w:sz w:val="24"/>
          <w:szCs w:val="24"/>
        </w:rPr>
      </w:pPr>
      <w:r w:rsidRPr="00CA1349">
        <w:rPr>
          <w:rFonts w:ascii="Arial" w:hAnsi="Arial" w:cs="Arial"/>
          <w:color w:val="000000" w:themeColor="text1"/>
          <w:sz w:val="24"/>
          <w:szCs w:val="24"/>
        </w:rPr>
        <w:t xml:space="preserve">Dessa forma, o uso da principal ferramenta para controlar a inflação torna-se limitado, </w:t>
      </w:r>
      <w:r>
        <w:rPr>
          <w:rFonts w:ascii="Arial" w:hAnsi="Arial" w:cs="Arial"/>
          <w:color w:val="000000" w:themeColor="text1"/>
          <w:sz w:val="24"/>
          <w:szCs w:val="24"/>
        </w:rPr>
        <w:t>uma vez que parte considerável do IPCA não é sensível à taxa SELIC, já que os preços administrados, em sua maioria são determinados por contrato e geralmente possuem gatilhos de reajuste baseados em índices de preços. Dessa forma, se torna necessário o uso de elevados choques na taxa de juros de modo que o restante do IPCA compense a insensibilidade dos preços administrados. (MENDONÇA, 2007)</w:t>
      </w:r>
    </w:p>
    <w:p w:rsidR="00AE29FE" w:rsidRPr="00CA1349" w:rsidRDefault="00AE29FE"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Outra explicação quanto à ineficiência da política monetária é dada por Marques e </w:t>
      </w:r>
      <w:proofErr w:type="spellStart"/>
      <w:r>
        <w:rPr>
          <w:rFonts w:ascii="Arial" w:hAnsi="Arial" w:cs="Arial"/>
          <w:color w:val="000000" w:themeColor="text1"/>
          <w:sz w:val="24"/>
          <w:szCs w:val="24"/>
        </w:rPr>
        <w:t>Fochezatto</w:t>
      </w:r>
      <w:proofErr w:type="spellEnd"/>
      <w:r>
        <w:rPr>
          <w:rFonts w:ascii="Arial" w:hAnsi="Arial" w:cs="Arial"/>
          <w:color w:val="000000" w:themeColor="text1"/>
          <w:sz w:val="24"/>
          <w:szCs w:val="24"/>
        </w:rPr>
        <w:t xml:space="preserve">, consultado em </w:t>
      </w:r>
      <w:proofErr w:type="spellStart"/>
      <w:r>
        <w:rPr>
          <w:rFonts w:ascii="Arial" w:hAnsi="Arial" w:cs="Arial"/>
          <w:color w:val="000000" w:themeColor="text1"/>
          <w:sz w:val="24"/>
          <w:szCs w:val="24"/>
        </w:rPr>
        <w:t>Modenesi</w:t>
      </w:r>
      <w:proofErr w:type="spellEnd"/>
      <w:r>
        <w:rPr>
          <w:rFonts w:ascii="Arial" w:hAnsi="Arial" w:cs="Arial"/>
          <w:color w:val="000000" w:themeColor="text1"/>
          <w:sz w:val="24"/>
          <w:szCs w:val="24"/>
        </w:rPr>
        <w:t xml:space="preserve"> (2012). Segundo os autores, existe um canal de custos associados à política monetária. Admitindo-se que os preços são determinados por uma regra de </w:t>
      </w:r>
      <w:proofErr w:type="spellStart"/>
      <w:proofErr w:type="gramStart"/>
      <w:r w:rsidRPr="009017B9">
        <w:rPr>
          <w:rFonts w:ascii="Arial" w:hAnsi="Arial" w:cs="Arial"/>
          <w:i/>
          <w:color w:val="000000" w:themeColor="text1"/>
          <w:sz w:val="24"/>
          <w:szCs w:val="24"/>
        </w:rPr>
        <w:t>mark</w:t>
      </w:r>
      <w:proofErr w:type="spellEnd"/>
      <w:proofErr w:type="gramEnd"/>
      <w:r w:rsidRPr="009017B9">
        <w:rPr>
          <w:rFonts w:ascii="Arial" w:hAnsi="Arial" w:cs="Arial"/>
          <w:i/>
          <w:color w:val="000000" w:themeColor="text1"/>
          <w:sz w:val="24"/>
          <w:szCs w:val="24"/>
        </w:rPr>
        <w:t xml:space="preserve"> </w:t>
      </w:r>
      <w:proofErr w:type="spellStart"/>
      <w:r w:rsidRPr="009017B9">
        <w:rPr>
          <w:rFonts w:ascii="Arial" w:hAnsi="Arial" w:cs="Arial"/>
          <w:i/>
          <w:color w:val="000000" w:themeColor="text1"/>
          <w:sz w:val="24"/>
          <w:szCs w:val="24"/>
        </w:rPr>
        <w:t>up</w:t>
      </w:r>
      <w:proofErr w:type="spellEnd"/>
      <w:r>
        <w:rPr>
          <w:rFonts w:ascii="Arial" w:hAnsi="Arial" w:cs="Arial"/>
          <w:i/>
          <w:color w:val="000000" w:themeColor="text1"/>
          <w:sz w:val="24"/>
          <w:szCs w:val="24"/>
        </w:rPr>
        <w:t xml:space="preserve"> </w:t>
      </w:r>
      <w:r w:rsidRPr="009017B9">
        <w:rPr>
          <w:rFonts w:ascii="Arial" w:hAnsi="Arial" w:cs="Arial"/>
          <w:color w:val="000000" w:themeColor="text1"/>
          <w:sz w:val="24"/>
          <w:szCs w:val="24"/>
        </w:rPr>
        <w:t>sobre os custos de produção</w:t>
      </w:r>
      <w:r>
        <w:rPr>
          <w:rFonts w:ascii="Arial" w:hAnsi="Arial" w:cs="Arial"/>
          <w:color w:val="000000" w:themeColor="text1"/>
          <w:sz w:val="24"/>
          <w:szCs w:val="24"/>
        </w:rPr>
        <w:t>, um aumento na taxa de juros</w:t>
      </w:r>
      <w:r w:rsidR="00611813">
        <w:rPr>
          <w:rFonts w:ascii="Arial" w:hAnsi="Arial" w:cs="Arial"/>
          <w:color w:val="000000" w:themeColor="text1"/>
          <w:sz w:val="24"/>
          <w:szCs w:val="24"/>
        </w:rPr>
        <w:t>,</w:t>
      </w:r>
      <w:r>
        <w:rPr>
          <w:rFonts w:ascii="Arial" w:hAnsi="Arial" w:cs="Arial"/>
          <w:color w:val="000000" w:themeColor="text1"/>
          <w:sz w:val="24"/>
          <w:szCs w:val="24"/>
        </w:rPr>
        <w:t xml:space="preserve"> consequentemente</w:t>
      </w:r>
      <w:r w:rsidR="00611813">
        <w:rPr>
          <w:rFonts w:ascii="Arial" w:hAnsi="Arial" w:cs="Arial"/>
          <w:color w:val="000000" w:themeColor="text1"/>
          <w:sz w:val="24"/>
          <w:szCs w:val="24"/>
        </w:rPr>
        <w:t>,</w:t>
      </w:r>
      <w:r>
        <w:rPr>
          <w:rFonts w:ascii="Arial" w:hAnsi="Arial" w:cs="Arial"/>
          <w:color w:val="000000" w:themeColor="text1"/>
          <w:sz w:val="24"/>
          <w:szCs w:val="24"/>
        </w:rPr>
        <w:t xml:space="preserve"> refletiria sobre o custo de produção levando o empresário a repassar o aumento do custo para os preços. Dessa forma, o intuito de se utilizar a taxa de juros para se gerar um efeito depressivo nos preços, acaba por gerar um efeito oposto. (MODENESI, 2012) </w:t>
      </w:r>
    </w:p>
    <w:p w:rsidR="00AE29FE" w:rsidRDefault="00F03D2A" w:rsidP="00885B1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r>
      <w:r w:rsidR="00DE05ED">
        <w:rPr>
          <w:rFonts w:ascii="Arial" w:hAnsi="Arial" w:cs="Arial"/>
          <w:color w:val="000000" w:themeColor="text1"/>
          <w:sz w:val="24"/>
          <w:szCs w:val="24"/>
        </w:rPr>
        <w:t xml:space="preserve">Paula (2011) cita outra limitação relacionada à indexação de títulos públicos à </w:t>
      </w:r>
      <w:r w:rsidR="006B163C">
        <w:rPr>
          <w:rFonts w:ascii="Arial" w:hAnsi="Arial" w:cs="Arial"/>
          <w:color w:val="000000" w:themeColor="text1"/>
          <w:sz w:val="24"/>
          <w:szCs w:val="24"/>
        </w:rPr>
        <w:t>Selic (LFT). Isso faz com que a mesma</w:t>
      </w:r>
      <w:r w:rsidR="00DE05ED">
        <w:rPr>
          <w:rFonts w:ascii="Arial" w:hAnsi="Arial" w:cs="Arial"/>
          <w:color w:val="000000" w:themeColor="text1"/>
          <w:sz w:val="24"/>
          <w:szCs w:val="24"/>
        </w:rPr>
        <w:t xml:space="preserve"> taxa</w:t>
      </w:r>
      <w:r w:rsidR="00611813">
        <w:rPr>
          <w:rFonts w:ascii="Arial" w:hAnsi="Arial" w:cs="Arial"/>
          <w:color w:val="000000" w:themeColor="text1"/>
          <w:sz w:val="24"/>
          <w:szCs w:val="24"/>
        </w:rPr>
        <w:t>,</w:t>
      </w:r>
      <w:r w:rsidR="00DE05ED">
        <w:rPr>
          <w:rFonts w:ascii="Arial" w:hAnsi="Arial" w:cs="Arial"/>
          <w:color w:val="000000" w:themeColor="text1"/>
          <w:sz w:val="24"/>
          <w:szCs w:val="24"/>
        </w:rPr>
        <w:t xml:space="preserve"> que é usada para fins de política monetária, remunere parte da dívida pública. Assim, um aumento na taxa de juros encarece a rolagem</w:t>
      </w:r>
      <w:r w:rsidR="006B163C">
        <w:rPr>
          <w:rFonts w:ascii="Arial" w:hAnsi="Arial" w:cs="Arial"/>
          <w:color w:val="000000" w:themeColor="text1"/>
          <w:sz w:val="24"/>
          <w:szCs w:val="24"/>
        </w:rPr>
        <w:t xml:space="preserve"> da dívida</w:t>
      </w:r>
      <w:r w:rsidR="00DE05ED">
        <w:rPr>
          <w:rFonts w:ascii="Arial" w:hAnsi="Arial" w:cs="Arial"/>
          <w:color w:val="000000" w:themeColor="text1"/>
          <w:sz w:val="24"/>
          <w:szCs w:val="24"/>
        </w:rPr>
        <w:t xml:space="preserve">. O encarecimento da dívida pode gerar uma desconfiança quanto </w:t>
      </w:r>
      <w:r w:rsidR="006B163C">
        <w:rPr>
          <w:rFonts w:ascii="Arial" w:hAnsi="Arial" w:cs="Arial"/>
          <w:color w:val="000000" w:themeColor="text1"/>
          <w:sz w:val="24"/>
          <w:szCs w:val="24"/>
        </w:rPr>
        <w:t>à</w:t>
      </w:r>
      <w:r w:rsidR="00DE05ED">
        <w:rPr>
          <w:rFonts w:ascii="Arial" w:hAnsi="Arial" w:cs="Arial"/>
          <w:color w:val="000000" w:themeColor="text1"/>
          <w:sz w:val="24"/>
          <w:szCs w:val="24"/>
        </w:rPr>
        <w:t xml:space="preserve"> s</w:t>
      </w:r>
      <w:r w:rsidR="00D562D3">
        <w:rPr>
          <w:rFonts w:ascii="Arial" w:hAnsi="Arial" w:cs="Arial"/>
          <w:color w:val="000000" w:themeColor="text1"/>
          <w:sz w:val="24"/>
          <w:szCs w:val="24"/>
        </w:rPr>
        <w:t xml:space="preserve">olvência do Estado, e, por conseguinte, </w:t>
      </w:r>
      <w:r w:rsidR="006B163C">
        <w:rPr>
          <w:rFonts w:ascii="Arial" w:hAnsi="Arial" w:cs="Arial"/>
          <w:color w:val="000000" w:themeColor="text1"/>
          <w:sz w:val="24"/>
          <w:szCs w:val="24"/>
        </w:rPr>
        <w:t>ter que pagar uma remuneração</w:t>
      </w:r>
      <w:r w:rsidR="00D562D3">
        <w:rPr>
          <w:rFonts w:ascii="Arial" w:hAnsi="Arial" w:cs="Arial"/>
          <w:color w:val="000000" w:themeColor="text1"/>
          <w:sz w:val="24"/>
          <w:szCs w:val="24"/>
        </w:rPr>
        <w:t xml:space="preserve"> maior devido ao risco mais elevado</w:t>
      </w:r>
      <w:r w:rsidR="006B163C">
        <w:rPr>
          <w:rFonts w:ascii="Arial" w:hAnsi="Arial" w:cs="Arial"/>
          <w:color w:val="000000" w:themeColor="text1"/>
          <w:sz w:val="24"/>
          <w:szCs w:val="24"/>
        </w:rPr>
        <w:t>,</w:t>
      </w:r>
      <w:r w:rsidR="00D562D3">
        <w:rPr>
          <w:rFonts w:ascii="Arial" w:hAnsi="Arial" w:cs="Arial"/>
          <w:color w:val="000000" w:themeColor="text1"/>
          <w:sz w:val="24"/>
          <w:szCs w:val="24"/>
        </w:rPr>
        <w:t xml:space="preserve"> gerando assim uma espiral negativa. Outro efeito negativo das LFT está relacionado ao efeito riqueza. Alterações na taxa de juros afetam </w:t>
      </w:r>
      <w:r w:rsidR="00122982">
        <w:rPr>
          <w:rFonts w:ascii="Arial" w:hAnsi="Arial" w:cs="Arial"/>
          <w:color w:val="000000" w:themeColor="text1"/>
          <w:sz w:val="24"/>
          <w:szCs w:val="24"/>
        </w:rPr>
        <w:t>os títulos</w:t>
      </w:r>
      <w:r w:rsidR="00D562D3">
        <w:rPr>
          <w:rFonts w:ascii="Arial" w:hAnsi="Arial" w:cs="Arial"/>
          <w:color w:val="000000" w:themeColor="text1"/>
          <w:sz w:val="24"/>
          <w:szCs w:val="24"/>
        </w:rPr>
        <w:t xml:space="preserve"> prefixados, reduzindo ou aumentando o valor destes</w:t>
      </w:r>
      <w:r w:rsidR="00611813">
        <w:rPr>
          <w:rFonts w:ascii="Arial" w:hAnsi="Arial" w:cs="Arial"/>
          <w:color w:val="000000" w:themeColor="text1"/>
          <w:sz w:val="24"/>
          <w:szCs w:val="24"/>
        </w:rPr>
        <w:t>,</w:t>
      </w:r>
      <w:r w:rsidR="00D562D3">
        <w:rPr>
          <w:rFonts w:ascii="Arial" w:hAnsi="Arial" w:cs="Arial"/>
          <w:color w:val="000000" w:themeColor="text1"/>
          <w:sz w:val="24"/>
          <w:szCs w:val="24"/>
        </w:rPr>
        <w:t xml:space="preserve"> gerando um ‘’efeito riqueza’’ (no caso de uma redução na taxa de j</w:t>
      </w:r>
      <w:r w:rsidR="00122982">
        <w:rPr>
          <w:rFonts w:ascii="Arial" w:hAnsi="Arial" w:cs="Arial"/>
          <w:color w:val="000000" w:themeColor="text1"/>
          <w:sz w:val="24"/>
          <w:szCs w:val="24"/>
        </w:rPr>
        <w:t>uros). Entretanto, como as LFT’S</w:t>
      </w:r>
      <w:r w:rsidR="00D562D3">
        <w:rPr>
          <w:rFonts w:ascii="Arial" w:hAnsi="Arial" w:cs="Arial"/>
          <w:color w:val="000000" w:themeColor="text1"/>
          <w:sz w:val="24"/>
          <w:szCs w:val="24"/>
        </w:rPr>
        <w:t xml:space="preserve"> acompanham a taxa Selic, um aumento na taxa </w:t>
      </w:r>
      <w:r w:rsidR="00D562D3">
        <w:rPr>
          <w:rFonts w:ascii="Arial" w:hAnsi="Arial" w:cs="Arial"/>
          <w:color w:val="000000" w:themeColor="text1"/>
          <w:sz w:val="24"/>
          <w:szCs w:val="24"/>
        </w:rPr>
        <w:lastRenderedPageBreak/>
        <w:t>de juros que deveria ter um efeito recessivo sobre os valores dos títulos, acaba por ter um efeito contrário, elevando seu valor, resultando em aumento no poder de compra.</w:t>
      </w:r>
    </w:p>
    <w:p w:rsidR="00D562D3" w:rsidRDefault="00D562D3" w:rsidP="00885B1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ab/>
        <w:t xml:space="preserve">De forma sucinta, foram apresentadas algumas peculiaridades quanto </w:t>
      </w:r>
      <w:proofErr w:type="gramStart"/>
      <w:r>
        <w:rPr>
          <w:rFonts w:ascii="Arial" w:hAnsi="Arial" w:cs="Arial"/>
          <w:color w:val="000000" w:themeColor="text1"/>
          <w:sz w:val="24"/>
          <w:szCs w:val="24"/>
        </w:rPr>
        <w:t>a</w:t>
      </w:r>
      <w:proofErr w:type="gramEnd"/>
      <w:r>
        <w:rPr>
          <w:rFonts w:ascii="Arial" w:hAnsi="Arial" w:cs="Arial"/>
          <w:color w:val="000000" w:themeColor="text1"/>
          <w:sz w:val="24"/>
          <w:szCs w:val="24"/>
        </w:rPr>
        <w:t xml:space="preserve"> ineficácia </w:t>
      </w:r>
      <w:r w:rsidR="006C4A43">
        <w:rPr>
          <w:rFonts w:ascii="Arial" w:hAnsi="Arial" w:cs="Arial"/>
          <w:color w:val="000000" w:themeColor="text1"/>
          <w:sz w:val="24"/>
          <w:szCs w:val="24"/>
        </w:rPr>
        <w:t>da taxa de juros ou problemas em seus canais de transmi</w:t>
      </w:r>
      <w:r w:rsidR="009F6761">
        <w:rPr>
          <w:rFonts w:ascii="Arial" w:hAnsi="Arial" w:cs="Arial"/>
          <w:color w:val="000000" w:themeColor="text1"/>
          <w:sz w:val="24"/>
          <w:szCs w:val="24"/>
        </w:rPr>
        <w:t>ssão. O debate sobre este tema é</w:t>
      </w:r>
      <w:r w:rsidR="006C4A43">
        <w:rPr>
          <w:rFonts w:ascii="Arial" w:hAnsi="Arial" w:cs="Arial"/>
          <w:color w:val="000000" w:themeColor="text1"/>
          <w:sz w:val="24"/>
          <w:szCs w:val="24"/>
        </w:rPr>
        <w:t xml:space="preserve"> extenso e controverso, de </w:t>
      </w:r>
      <w:r w:rsidR="00977717">
        <w:rPr>
          <w:rFonts w:ascii="Arial" w:hAnsi="Arial" w:cs="Arial"/>
          <w:color w:val="000000" w:themeColor="text1"/>
          <w:sz w:val="24"/>
          <w:szCs w:val="24"/>
        </w:rPr>
        <w:t xml:space="preserve">tal </w:t>
      </w:r>
      <w:r w:rsidR="006C4A43">
        <w:rPr>
          <w:rFonts w:ascii="Arial" w:hAnsi="Arial" w:cs="Arial"/>
          <w:color w:val="000000" w:themeColor="text1"/>
          <w:sz w:val="24"/>
          <w:szCs w:val="24"/>
        </w:rPr>
        <w:t xml:space="preserve">forma que foram colocados alguns pontos com o intuito de esclarecer ou reforçar o </w:t>
      </w:r>
      <w:r w:rsidR="00977717">
        <w:rPr>
          <w:rFonts w:ascii="Arial" w:hAnsi="Arial" w:cs="Arial"/>
          <w:color w:val="000000" w:themeColor="text1"/>
          <w:sz w:val="24"/>
          <w:szCs w:val="24"/>
        </w:rPr>
        <w:t>fato de que no Brasil a</w:t>
      </w:r>
      <w:r w:rsidR="006C4A43">
        <w:rPr>
          <w:rFonts w:ascii="Arial" w:hAnsi="Arial" w:cs="Arial"/>
          <w:color w:val="000000" w:themeColor="text1"/>
          <w:sz w:val="24"/>
          <w:szCs w:val="24"/>
        </w:rPr>
        <w:t xml:space="preserve"> taxa de juros Selic, mesmo sendo umas das mais altas do mundo</w:t>
      </w:r>
      <w:r w:rsidR="00977717">
        <w:rPr>
          <w:rFonts w:ascii="Arial" w:hAnsi="Arial" w:cs="Arial"/>
          <w:color w:val="000000" w:themeColor="text1"/>
          <w:sz w:val="24"/>
          <w:szCs w:val="24"/>
        </w:rPr>
        <w:t>,</w:t>
      </w:r>
      <w:r w:rsidR="006C4A43">
        <w:rPr>
          <w:rFonts w:ascii="Arial" w:hAnsi="Arial" w:cs="Arial"/>
          <w:color w:val="000000" w:themeColor="text1"/>
          <w:sz w:val="24"/>
          <w:szCs w:val="24"/>
        </w:rPr>
        <w:t xml:space="preserve"> apresenta dificuldades para manter a inflação</w:t>
      </w:r>
      <w:r w:rsidR="009F6761">
        <w:rPr>
          <w:rFonts w:ascii="Arial" w:hAnsi="Arial" w:cs="Arial"/>
          <w:color w:val="000000" w:themeColor="text1"/>
          <w:sz w:val="24"/>
          <w:szCs w:val="24"/>
        </w:rPr>
        <w:t xml:space="preserve"> dentro da meta estipulada. A</w:t>
      </w:r>
      <w:r w:rsidR="006C4A43">
        <w:rPr>
          <w:rFonts w:ascii="Arial" w:hAnsi="Arial" w:cs="Arial"/>
          <w:color w:val="000000" w:themeColor="text1"/>
          <w:sz w:val="24"/>
          <w:szCs w:val="24"/>
        </w:rPr>
        <w:t xml:space="preserve"> insistente manut</w:t>
      </w:r>
      <w:r w:rsidR="009F6761">
        <w:rPr>
          <w:rFonts w:ascii="Arial" w:hAnsi="Arial" w:cs="Arial"/>
          <w:color w:val="000000" w:themeColor="text1"/>
          <w:sz w:val="24"/>
          <w:szCs w:val="24"/>
        </w:rPr>
        <w:t>enção em patamares elevados, assim</w:t>
      </w:r>
      <w:r w:rsidR="006C4A43">
        <w:rPr>
          <w:rFonts w:ascii="Arial" w:hAnsi="Arial" w:cs="Arial"/>
          <w:color w:val="000000" w:themeColor="text1"/>
          <w:sz w:val="24"/>
          <w:szCs w:val="24"/>
        </w:rPr>
        <w:t xml:space="preserve"> como oscilações constantes</w:t>
      </w:r>
      <w:r w:rsidR="009F6761">
        <w:rPr>
          <w:rFonts w:ascii="Arial" w:hAnsi="Arial" w:cs="Arial"/>
          <w:color w:val="000000" w:themeColor="text1"/>
          <w:sz w:val="24"/>
          <w:szCs w:val="24"/>
        </w:rPr>
        <w:t>,</w:t>
      </w:r>
      <w:r w:rsidR="006C4A43">
        <w:rPr>
          <w:rFonts w:ascii="Arial" w:hAnsi="Arial" w:cs="Arial"/>
          <w:color w:val="000000" w:themeColor="text1"/>
          <w:sz w:val="24"/>
          <w:szCs w:val="24"/>
        </w:rPr>
        <w:t xml:space="preserve"> </w:t>
      </w:r>
      <w:proofErr w:type="gramStart"/>
      <w:r w:rsidR="006C4A43">
        <w:rPr>
          <w:rFonts w:ascii="Arial" w:hAnsi="Arial" w:cs="Arial"/>
          <w:color w:val="000000" w:themeColor="text1"/>
          <w:sz w:val="24"/>
          <w:szCs w:val="24"/>
        </w:rPr>
        <w:t>servirão</w:t>
      </w:r>
      <w:proofErr w:type="gramEnd"/>
      <w:r w:rsidR="006C4A43">
        <w:rPr>
          <w:rFonts w:ascii="Arial" w:hAnsi="Arial" w:cs="Arial"/>
          <w:color w:val="000000" w:themeColor="text1"/>
          <w:sz w:val="24"/>
          <w:szCs w:val="24"/>
        </w:rPr>
        <w:t xml:space="preserve"> como instrumento para este estudo, pois, pretende-se verificar o impacto dessas variações sobre a preferência pela liquidez dos </w:t>
      </w:r>
      <w:r w:rsidR="009F6761">
        <w:rPr>
          <w:rFonts w:ascii="Arial" w:hAnsi="Arial" w:cs="Arial"/>
          <w:color w:val="000000" w:themeColor="text1"/>
          <w:sz w:val="24"/>
          <w:szCs w:val="24"/>
        </w:rPr>
        <w:t>cinco maiores bancos do país, Caixa Econômica, Banco do Brasil, Santander, Itaú e Bradesco.</w:t>
      </w:r>
    </w:p>
    <w:p w:rsidR="007806BF" w:rsidRDefault="007806BF" w:rsidP="00AE29FE">
      <w:pPr>
        <w:spacing w:line="360" w:lineRule="auto"/>
        <w:jc w:val="both"/>
        <w:rPr>
          <w:rFonts w:ascii="Arial" w:hAnsi="Arial" w:cs="Arial"/>
          <w:color w:val="000000" w:themeColor="text1"/>
          <w:sz w:val="24"/>
          <w:szCs w:val="24"/>
        </w:rPr>
      </w:pPr>
    </w:p>
    <w:p w:rsidR="00885B1A" w:rsidRDefault="00885B1A" w:rsidP="00AE29FE">
      <w:pPr>
        <w:spacing w:line="360" w:lineRule="auto"/>
        <w:jc w:val="both"/>
        <w:rPr>
          <w:rFonts w:ascii="Arial" w:hAnsi="Arial" w:cs="Arial"/>
          <w:color w:val="000000" w:themeColor="text1"/>
          <w:sz w:val="24"/>
          <w:szCs w:val="24"/>
        </w:rPr>
      </w:pPr>
    </w:p>
    <w:p w:rsidR="00F03D2A" w:rsidRDefault="00F03D2A"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C02547" w:rsidRDefault="00C02547" w:rsidP="00AE29FE">
      <w:pPr>
        <w:spacing w:line="360" w:lineRule="auto"/>
        <w:jc w:val="both"/>
        <w:rPr>
          <w:rFonts w:ascii="Arial" w:hAnsi="Arial" w:cs="Arial"/>
          <w:color w:val="000000" w:themeColor="text1"/>
          <w:sz w:val="24"/>
          <w:szCs w:val="24"/>
        </w:rPr>
      </w:pPr>
    </w:p>
    <w:p w:rsidR="00F03D2A" w:rsidRDefault="00F03D2A" w:rsidP="00AE29FE">
      <w:pPr>
        <w:spacing w:line="360" w:lineRule="auto"/>
        <w:jc w:val="both"/>
        <w:rPr>
          <w:rFonts w:ascii="Arial" w:hAnsi="Arial" w:cs="Arial"/>
          <w:color w:val="000000" w:themeColor="text1"/>
          <w:sz w:val="24"/>
          <w:szCs w:val="24"/>
        </w:rPr>
      </w:pPr>
    </w:p>
    <w:p w:rsidR="00543EA5" w:rsidRDefault="00543EA5" w:rsidP="00543EA5">
      <w:pPr>
        <w:pStyle w:val="Ttulo1"/>
      </w:pPr>
      <w:r>
        <w:lastRenderedPageBreak/>
        <w:tab/>
      </w:r>
      <w:bookmarkStart w:id="11" w:name="_Toc484350740"/>
      <w:r w:rsidRPr="0076364B">
        <w:t>Metodologia</w:t>
      </w:r>
      <w:bookmarkEnd w:id="11"/>
    </w:p>
    <w:p w:rsidR="00543EA5" w:rsidRDefault="00543EA5" w:rsidP="00543EA5">
      <w:pPr>
        <w:spacing w:line="360" w:lineRule="auto"/>
        <w:rPr>
          <w:rFonts w:ascii="Arial" w:hAnsi="Arial" w:cs="Arial"/>
          <w:b/>
          <w:sz w:val="24"/>
          <w:szCs w:val="24"/>
        </w:rPr>
      </w:pPr>
    </w:p>
    <w:p w:rsidR="00543EA5" w:rsidRDefault="00543EA5" w:rsidP="00543EA5">
      <w:pPr>
        <w:spacing w:line="36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Com intuito de reforçar a analise do comportamento bancário e suas relações, será utilizado o teste de causalidade de </w:t>
      </w:r>
      <w:r w:rsidR="00C02547">
        <w:rPr>
          <w:rFonts w:ascii="Arial" w:hAnsi="Arial" w:cs="Arial"/>
          <w:sz w:val="24"/>
          <w:szCs w:val="24"/>
        </w:rPr>
        <w:t>Granger. Por se tratar de uma série temporal</w:t>
      </w:r>
      <w:r>
        <w:rPr>
          <w:rFonts w:ascii="Arial" w:hAnsi="Arial" w:cs="Arial"/>
          <w:sz w:val="24"/>
          <w:szCs w:val="24"/>
        </w:rPr>
        <w:t xml:space="preserve">, se faz necessário empregar </w:t>
      </w:r>
      <w:proofErr w:type="gramStart"/>
      <w:r>
        <w:rPr>
          <w:rFonts w:ascii="Arial" w:hAnsi="Arial" w:cs="Arial"/>
          <w:sz w:val="24"/>
          <w:szCs w:val="24"/>
        </w:rPr>
        <w:t>o teste de raiz unitária como forma de validar a utilização dos dados</w:t>
      </w:r>
      <w:proofErr w:type="gramEnd"/>
      <w:r>
        <w:rPr>
          <w:rFonts w:ascii="Arial" w:hAnsi="Arial" w:cs="Arial"/>
          <w:sz w:val="24"/>
          <w:szCs w:val="24"/>
        </w:rPr>
        <w:t xml:space="preserve">. </w:t>
      </w:r>
    </w:p>
    <w:p w:rsidR="00543EA5" w:rsidRPr="00543EA5" w:rsidRDefault="00543EA5" w:rsidP="00543EA5">
      <w:pPr>
        <w:spacing w:line="360" w:lineRule="auto"/>
        <w:rPr>
          <w:rFonts w:ascii="Arial" w:hAnsi="Arial" w:cs="Arial"/>
          <w:sz w:val="24"/>
          <w:szCs w:val="24"/>
        </w:rPr>
      </w:pPr>
    </w:p>
    <w:p w:rsidR="00543EA5" w:rsidRDefault="00543EA5" w:rsidP="00543EA5">
      <w:pPr>
        <w:pStyle w:val="Ttulo2"/>
      </w:pPr>
      <w:bookmarkStart w:id="12" w:name="_Toc484350741"/>
      <w:r>
        <w:t>Causalidade de Granger</w:t>
      </w:r>
      <w:bookmarkEnd w:id="12"/>
    </w:p>
    <w:p w:rsidR="00543EA5" w:rsidRPr="00B644D5" w:rsidRDefault="00543EA5" w:rsidP="00885B1A">
      <w:pPr>
        <w:spacing w:after="0"/>
      </w:pP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ideia básica quanto à causalidade de Granger é a de o futuro não pode causar o passado nem o presente. Ou se evento A ocorre depois de B, depreende-se que A não pode causar B, entretanto não significa que A necessariamente cause B. Ou como ilustra Carneiro, (1997, p.3) “[quanto] as previsões de chuva do meteorologista. O fato de a previsão </w:t>
      </w:r>
      <w:r w:rsidRPr="00E61C4F">
        <w:rPr>
          <w:rFonts w:ascii="Arial" w:hAnsi="Arial" w:cs="Arial"/>
          <w:color w:val="000000" w:themeColor="text1"/>
          <w:sz w:val="24"/>
          <w:szCs w:val="24"/>
        </w:rPr>
        <w:t>ocorrer primeiro do que a chuva não implica que o meteorologista cause a chuva</w:t>
      </w:r>
      <w:r>
        <w:rPr>
          <w:rFonts w:ascii="Arial" w:hAnsi="Arial" w:cs="Arial"/>
          <w:color w:val="000000" w:themeColor="text1"/>
          <w:sz w:val="24"/>
          <w:szCs w:val="24"/>
        </w:rPr>
        <w:t>”.</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A informação relevante para a predição das variáveis X e Y está contida apenas nas séries de tempo sobre essas duas variáveis, assim uma série de tempo estacionária X causa, no sentido de Granger, </w:t>
      </w:r>
      <w:proofErr w:type="gramStart"/>
      <w:r>
        <w:rPr>
          <w:rFonts w:ascii="Arial" w:hAnsi="Arial" w:cs="Arial"/>
          <w:color w:val="000000" w:themeColor="text1"/>
          <w:sz w:val="24"/>
          <w:szCs w:val="24"/>
        </w:rPr>
        <w:t>uma outra</w:t>
      </w:r>
      <w:proofErr w:type="gramEnd"/>
      <w:r>
        <w:rPr>
          <w:rFonts w:ascii="Arial" w:hAnsi="Arial" w:cs="Arial"/>
          <w:color w:val="000000" w:themeColor="text1"/>
          <w:sz w:val="24"/>
          <w:szCs w:val="24"/>
        </w:rPr>
        <w:t xml:space="preserve"> série estacionária Y se melhores predições estatisticamente significantes de Y podem ser obtidas ao incluirmos valores defasados de X aos valores defasados de Y (GUJARATI; PORTER, 2011).</w:t>
      </w:r>
    </w:p>
    <w:p w:rsidR="00543EA5" w:rsidRDefault="00543EA5" w:rsidP="00885B1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Em suma, o teste passa por estimar as seguintes regressões:</w:t>
      </w:r>
    </w:p>
    <w:p w:rsidR="00543EA5" w:rsidRPr="00326F71" w:rsidRDefault="00543EA5" w:rsidP="00885B1A">
      <w:pPr>
        <w:spacing w:after="0" w:line="360" w:lineRule="auto"/>
        <w:jc w:val="both"/>
        <w:rPr>
          <w:rFonts w:ascii="Arial" w:hAnsi="Arial" w:cs="Arial"/>
          <w:color w:val="000000" w:themeColor="text1"/>
          <w:sz w:val="24"/>
          <w:szCs w:val="24"/>
        </w:rPr>
      </w:pPr>
      <w:proofErr w:type="spellStart"/>
      <w:r w:rsidRPr="00326F71">
        <w:rPr>
          <w:rFonts w:ascii="Arial" w:hAnsi="Arial" w:cs="Arial"/>
          <w:color w:val="000000" w:themeColor="text1"/>
          <w:sz w:val="24"/>
          <w:szCs w:val="24"/>
        </w:rPr>
        <w:t>X</w:t>
      </w:r>
      <w:r w:rsidRPr="00326F71">
        <w:rPr>
          <w:rFonts w:ascii="Arial" w:hAnsi="Arial" w:cs="Arial"/>
          <w:color w:val="000000" w:themeColor="text1"/>
          <w:sz w:val="24"/>
          <w:szCs w:val="24"/>
          <w:vertAlign w:val="subscript"/>
        </w:rPr>
        <w:t>t</w:t>
      </w:r>
      <w:proofErr w:type="spellEnd"/>
      <w:r w:rsidRPr="00326F71">
        <w:rPr>
          <w:rFonts w:ascii="Arial" w:hAnsi="Arial" w:cs="Arial"/>
          <w:color w:val="000000" w:themeColor="text1"/>
          <w:sz w:val="24"/>
          <w:szCs w:val="24"/>
        </w:rPr>
        <w:t xml:space="preserve"> = </w:t>
      </w:r>
      <w:r>
        <w:rPr>
          <w:rFonts w:ascii="Arial" w:hAnsi="Arial" w:cs="Arial"/>
          <w:color w:val="000000" w:themeColor="text1"/>
          <w:sz w:val="24"/>
          <w:szCs w:val="24"/>
        </w:rPr>
        <w:t>∑</w:t>
      </w:r>
      <w:r w:rsidRPr="00326F71">
        <w:rPr>
          <w:rFonts w:ascii="Arial" w:hAnsi="Arial" w:cs="Arial"/>
          <w:color w:val="000000" w:themeColor="text1"/>
          <w:sz w:val="24"/>
          <w:szCs w:val="24"/>
        </w:rPr>
        <w:t>a</w:t>
      </w:r>
      <w:r w:rsidRPr="00C90FC9">
        <w:rPr>
          <w:rFonts w:ascii="Arial" w:hAnsi="Arial" w:cs="Arial"/>
          <w:color w:val="000000" w:themeColor="text1"/>
          <w:sz w:val="24"/>
          <w:szCs w:val="24"/>
          <w:vertAlign w:val="subscript"/>
        </w:rPr>
        <w:t>i</w:t>
      </w:r>
      <w:r w:rsidRPr="00326F71">
        <w:rPr>
          <w:rFonts w:ascii="Arial" w:hAnsi="Arial" w:cs="Arial"/>
          <w:color w:val="000000" w:themeColor="text1"/>
          <w:sz w:val="24"/>
          <w:szCs w:val="24"/>
        </w:rPr>
        <w:t xml:space="preserve"> </w:t>
      </w:r>
      <w:proofErr w:type="spellStart"/>
      <w:r w:rsidRPr="00326F71">
        <w:rPr>
          <w:rFonts w:ascii="Arial" w:hAnsi="Arial" w:cs="Arial"/>
          <w:color w:val="000000" w:themeColor="text1"/>
          <w:sz w:val="24"/>
          <w:szCs w:val="24"/>
        </w:rPr>
        <w:t>Y</w:t>
      </w:r>
      <w:r w:rsidRPr="00C90FC9">
        <w:rPr>
          <w:rFonts w:ascii="Arial" w:hAnsi="Arial" w:cs="Arial"/>
          <w:color w:val="000000" w:themeColor="text1"/>
          <w:sz w:val="24"/>
          <w:szCs w:val="24"/>
          <w:vertAlign w:val="subscript"/>
        </w:rPr>
        <w:t>t</w:t>
      </w:r>
      <w:proofErr w:type="spellEnd"/>
      <w:r w:rsidRPr="00C90FC9">
        <w:rPr>
          <w:rFonts w:ascii="Arial" w:hAnsi="Arial" w:cs="Arial"/>
          <w:color w:val="000000" w:themeColor="text1"/>
          <w:sz w:val="24"/>
          <w:szCs w:val="24"/>
          <w:vertAlign w:val="subscript"/>
        </w:rPr>
        <w:t>-i</w:t>
      </w:r>
      <w:r w:rsidRPr="00326F71">
        <w:rPr>
          <w:rFonts w:ascii="Arial" w:hAnsi="Arial" w:cs="Arial"/>
          <w:color w:val="000000" w:themeColor="text1"/>
          <w:sz w:val="24"/>
          <w:szCs w:val="24"/>
        </w:rPr>
        <w:t xml:space="preserve"> + </w:t>
      </w:r>
      <w:r>
        <w:rPr>
          <w:rFonts w:ascii="Arial" w:hAnsi="Arial" w:cs="Arial"/>
          <w:color w:val="000000" w:themeColor="text1"/>
          <w:sz w:val="24"/>
          <w:szCs w:val="24"/>
        </w:rPr>
        <w:t>∑</w:t>
      </w:r>
      <w:r w:rsidRPr="00326F71">
        <w:rPr>
          <w:rFonts w:ascii="Arial" w:hAnsi="Arial" w:cs="Arial"/>
          <w:color w:val="000000" w:themeColor="text1"/>
          <w:sz w:val="24"/>
          <w:szCs w:val="24"/>
        </w:rPr>
        <w:t>b</w:t>
      </w:r>
      <w:r w:rsidRPr="00C90FC9">
        <w:rPr>
          <w:rFonts w:ascii="Arial" w:hAnsi="Arial" w:cs="Arial"/>
          <w:color w:val="000000" w:themeColor="text1"/>
          <w:sz w:val="24"/>
          <w:szCs w:val="24"/>
          <w:vertAlign w:val="subscript"/>
        </w:rPr>
        <w:t>i</w:t>
      </w:r>
      <w:r w:rsidRPr="00326F71">
        <w:rPr>
          <w:rFonts w:ascii="Arial" w:hAnsi="Arial" w:cs="Arial"/>
          <w:color w:val="000000" w:themeColor="text1"/>
          <w:sz w:val="24"/>
          <w:szCs w:val="24"/>
        </w:rPr>
        <w:t xml:space="preserve"> </w:t>
      </w:r>
      <w:proofErr w:type="spellStart"/>
      <w:r w:rsidRPr="00326F71">
        <w:rPr>
          <w:rFonts w:ascii="Arial" w:hAnsi="Arial" w:cs="Arial"/>
          <w:color w:val="000000" w:themeColor="text1"/>
          <w:sz w:val="24"/>
          <w:szCs w:val="24"/>
        </w:rPr>
        <w:t>X</w:t>
      </w:r>
      <w:r w:rsidRPr="00C90FC9">
        <w:rPr>
          <w:rFonts w:ascii="Arial" w:hAnsi="Arial" w:cs="Arial"/>
          <w:color w:val="000000" w:themeColor="text1"/>
          <w:sz w:val="24"/>
          <w:szCs w:val="24"/>
          <w:vertAlign w:val="subscript"/>
        </w:rPr>
        <w:t>t</w:t>
      </w:r>
      <w:proofErr w:type="spellEnd"/>
      <w:r w:rsidRPr="00C90FC9">
        <w:rPr>
          <w:rFonts w:ascii="Arial" w:hAnsi="Arial" w:cs="Arial"/>
          <w:color w:val="000000" w:themeColor="text1"/>
          <w:sz w:val="24"/>
          <w:szCs w:val="24"/>
          <w:vertAlign w:val="subscript"/>
        </w:rPr>
        <w:t xml:space="preserve">-i </w:t>
      </w:r>
      <w:r w:rsidRPr="00326F71">
        <w:rPr>
          <w:rFonts w:ascii="Arial" w:hAnsi="Arial" w:cs="Arial"/>
          <w:color w:val="000000" w:themeColor="text1"/>
          <w:sz w:val="24"/>
          <w:szCs w:val="24"/>
        </w:rPr>
        <w:t>+ u</w:t>
      </w:r>
      <w:r w:rsidRPr="00C90FC9">
        <w:rPr>
          <w:rFonts w:ascii="Arial" w:hAnsi="Arial" w:cs="Arial"/>
          <w:color w:val="000000" w:themeColor="text1"/>
          <w:sz w:val="24"/>
          <w:szCs w:val="24"/>
          <w:vertAlign w:val="subscript"/>
        </w:rPr>
        <w:t>1t</w:t>
      </w:r>
      <w:r w:rsidRPr="00326F71">
        <w:rPr>
          <w:rFonts w:ascii="Arial" w:hAnsi="Arial" w:cs="Arial"/>
          <w:color w:val="000000" w:themeColor="text1"/>
          <w:sz w:val="24"/>
          <w:szCs w:val="24"/>
        </w:rPr>
        <w:t xml:space="preserve"> </w:t>
      </w:r>
      <w:r>
        <w:rPr>
          <w:rFonts w:ascii="Arial" w:hAnsi="Arial" w:cs="Arial"/>
          <w:color w:val="000000" w:themeColor="text1"/>
          <w:sz w:val="24"/>
          <w:szCs w:val="24"/>
        </w:rPr>
        <w:t xml:space="preserve">    (1)</w:t>
      </w:r>
    </w:p>
    <w:p w:rsidR="00543EA5" w:rsidRPr="00391C5E" w:rsidRDefault="00543EA5" w:rsidP="00885B1A">
      <w:pPr>
        <w:spacing w:after="0" w:line="360" w:lineRule="auto"/>
        <w:jc w:val="both"/>
        <w:rPr>
          <w:rFonts w:ascii="Arial" w:hAnsi="Arial" w:cs="Arial"/>
          <w:color w:val="000000" w:themeColor="text1"/>
          <w:sz w:val="24"/>
          <w:szCs w:val="24"/>
          <w:lang w:val="en-US"/>
        </w:rPr>
      </w:pPr>
      <w:proofErr w:type="spellStart"/>
      <w:proofErr w:type="gramStart"/>
      <w:r w:rsidRPr="00391C5E">
        <w:rPr>
          <w:rFonts w:ascii="Arial" w:hAnsi="Arial" w:cs="Arial"/>
          <w:color w:val="000000" w:themeColor="text1"/>
          <w:sz w:val="24"/>
          <w:szCs w:val="24"/>
          <w:lang w:val="en-US"/>
        </w:rPr>
        <w:t>Y</w:t>
      </w:r>
      <w:r w:rsidRPr="00391C5E">
        <w:rPr>
          <w:rFonts w:ascii="Arial" w:hAnsi="Arial" w:cs="Arial"/>
          <w:color w:val="000000" w:themeColor="text1"/>
          <w:sz w:val="24"/>
          <w:szCs w:val="24"/>
          <w:vertAlign w:val="subscript"/>
          <w:lang w:val="en-US"/>
        </w:rPr>
        <w:t>t</w:t>
      </w:r>
      <w:proofErr w:type="spellEnd"/>
      <w:proofErr w:type="gramEnd"/>
      <w:r w:rsidRPr="00391C5E">
        <w:rPr>
          <w:rFonts w:ascii="Arial" w:hAnsi="Arial" w:cs="Arial"/>
          <w:color w:val="000000" w:themeColor="text1"/>
          <w:sz w:val="24"/>
          <w:szCs w:val="24"/>
          <w:lang w:val="en-US"/>
        </w:rPr>
        <w:t xml:space="preserve"> = ∑c</w:t>
      </w:r>
      <w:r w:rsidRPr="00391C5E">
        <w:rPr>
          <w:rFonts w:ascii="Arial" w:hAnsi="Arial" w:cs="Arial"/>
          <w:color w:val="000000" w:themeColor="text1"/>
          <w:sz w:val="24"/>
          <w:szCs w:val="24"/>
          <w:vertAlign w:val="subscript"/>
          <w:lang w:val="en-US"/>
        </w:rPr>
        <w:t>i</w:t>
      </w:r>
      <w:r w:rsidRPr="00391C5E">
        <w:rPr>
          <w:rFonts w:ascii="Arial" w:hAnsi="Arial" w:cs="Arial"/>
          <w:color w:val="000000" w:themeColor="text1"/>
          <w:sz w:val="24"/>
          <w:szCs w:val="24"/>
          <w:lang w:val="en-US"/>
        </w:rPr>
        <w:t xml:space="preserve"> </w:t>
      </w:r>
      <w:proofErr w:type="spellStart"/>
      <w:r w:rsidRPr="00391C5E">
        <w:rPr>
          <w:rFonts w:ascii="Arial" w:hAnsi="Arial" w:cs="Arial"/>
          <w:color w:val="000000" w:themeColor="text1"/>
          <w:sz w:val="24"/>
          <w:szCs w:val="24"/>
          <w:lang w:val="en-US"/>
        </w:rPr>
        <w:t>Y</w:t>
      </w:r>
      <w:r w:rsidRPr="00391C5E">
        <w:rPr>
          <w:rFonts w:ascii="Arial" w:hAnsi="Arial" w:cs="Arial"/>
          <w:color w:val="000000" w:themeColor="text1"/>
          <w:sz w:val="24"/>
          <w:szCs w:val="24"/>
          <w:vertAlign w:val="subscript"/>
          <w:lang w:val="en-US"/>
        </w:rPr>
        <w:t>t</w:t>
      </w:r>
      <w:proofErr w:type="spellEnd"/>
      <w:r w:rsidRPr="00391C5E">
        <w:rPr>
          <w:rFonts w:ascii="Arial" w:hAnsi="Arial" w:cs="Arial"/>
          <w:color w:val="000000" w:themeColor="text1"/>
          <w:sz w:val="24"/>
          <w:szCs w:val="24"/>
          <w:vertAlign w:val="subscript"/>
          <w:lang w:val="en-US"/>
        </w:rPr>
        <w:t>-i</w:t>
      </w:r>
      <w:r w:rsidRPr="00391C5E">
        <w:rPr>
          <w:rFonts w:ascii="Arial" w:hAnsi="Arial" w:cs="Arial"/>
          <w:color w:val="000000" w:themeColor="text1"/>
          <w:sz w:val="24"/>
          <w:szCs w:val="24"/>
          <w:lang w:val="en-US"/>
        </w:rPr>
        <w:t xml:space="preserve"> + ∑d</w:t>
      </w:r>
      <w:r w:rsidRPr="00391C5E">
        <w:rPr>
          <w:rFonts w:ascii="Arial" w:hAnsi="Arial" w:cs="Arial"/>
          <w:color w:val="000000" w:themeColor="text1"/>
          <w:sz w:val="24"/>
          <w:szCs w:val="24"/>
          <w:vertAlign w:val="subscript"/>
          <w:lang w:val="en-US"/>
        </w:rPr>
        <w:t>i</w:t>
      </w:r>
      <w:r w:rsidRPr="00391C5E">
        <w:rPr>
          <w:rFonts w:ascii="Arial" w:hAnsi="Arial" w:cs="Arial"/>
          <w:color w:val="000000" w:themeColor="text1"/>
          <w:sz w:val="24"/>
          <w:szCs w:val="24"/>
          <w:lang w:val="en-US"/>
        </w:rPr>
        <w:t xml:space="preserve"> </w:t>
      </w:r>
      <w:proofErr w:type="spellStart"/>
      <w:r w:rsidRPr="00391C5E">
        <w:rPr>
          <w:rFonts w:ascii="Arial" w:hAnsi="Arial" w:cs="Arial"/>
          <w:color w:val="000000" w:themeColor="text1"/>
          <w:sz w:val="24"/>
          <w:szCs w:val="24"/>
          <w:lang w:val="en-US"/>
        </w:rPr>
        <w:t>X</w:t>
      </w:r>
      <w:r w:rsidRPr="00391C5E">
        <w:rPr>
          <w:rFonts w:ascii="Arial" w:hAnsi="Arial" w:cs="Arial"/>
          <w:color w:val="000000" w:themeColor="text1"/>
          <w:sz w:val="24"/>
          <w:szCs w:val="24"/>
          <w:vertAlign w:val="subscript"/>
          <w:lang w:val="en-US"/>
        </w:rPr>
        <w:t>t</w:t>
      </w:r>
      <w:proofErr w:type="spellEnd"/>
      <w:r w:rsidRPr="00391C5E">
        <w:rPr>
          <w:rFonts w:ascii="Arial" w:hAnsi="Arial" w:cs="Arial"/>
          <w:color w:val="000000" w:themeColor="text1"/>
          <w:sz w:val="24"/>
          <w:szCs w:val="24"/>
          <w:vertAlign w:val="subscript"/>
          <w:lang w:val="en-US"/>
        </w:rPr>
        <w:t xml:space="preserve">-i </w:t>
      </w:r>
      <w:r w:rsidRPr="00391C5E">
        <w:rPr>
          <w:rFonts w:ascii="Arial" w:hAnsi="Arial" w:cs="Arial"/>
          <w:color w:val="000000" w:themeColor="text1"/>
          <w:sz w:val="24"/>
          <w:szCs w:val="24"/>
          <w:lang w:val="en-US"/>
        </w:rPr>
        <w:t>+ u</w:t>
      </w:r>
      <w:r w:rsidRPr="00391C5E">
        <w:rPr>
          <w:rFonts w:ascii="Arial" w:hAnsi="Arial" w:cs="Arial"/>
          <w:color w:val="000000" w:themeColor="text1"/>
          <w:sz w:val="24"/>
          <w:szCs w:val="24"/>
          <w:vertAlign w:val="subscript"/>
          <w:lang w:val="en-US"/>
        </w:rPr>
        <w:t xml:space="preserve">2t       </w:t>
      </w:r>
      <w:r w:rsidRPr="00391C5E">
        <w:rPr>
          <w:rFonts w:ascii="Arial" w:hAnsi="Arial" w:cs="Arial"/>
          <w:color w:val="000000" w:themeColor="text1"/>
          <w:sz w:val="24"/>
          <w:szCs w:val="24"/>
          <w:lang w:val="en-US"/>
        </w:rPr>
        <w:t>(2)</w:t>
      </w:r>
      <w:r w:rsidRPr="00391C5E">
        <w:rPr>
          <w:rFonts w:ascii="Arial" w:hAnsi="Arial" w:cs="Arial"/>
          <w:color w:val="000000" w:themeColor="text1"/>
          <w:sz w:val="24"/>
          <w:szCs w:val="24"/>
          <w:vertAlign w:val="subscript"/>
          <w:lang w:val="en-US"/>
        </w:rPr>
        <w:t xml:space="preserve">    </w:t>
      </w:r>
    </w:p>
    <w:p w:rsidR="00543EA5" w:rsidRPr="00391C5E" w:rsidRDefault="00543EA5" w:rsidP="00885B1A">
      <w:pPr>
        <w:spacing w:after="0" w:line="360" w:lineRule="auto"/>
        <w:jc w:val="both"/>
        <w:rPr>
          <w:rFonts w:ascii="Arial" w:hAnsi="Arial" w:cs="Arial"/>
          <w:color w:val="000000" w:themeColor="text1"/>
          <w:sz w:val="24"/>
          <w:szCs w:val="24"/>
          <w:lang w:val="en-US"/>
        </w:rPr>
      </w:pPr>
      <w:r w:rsidRPr="00391C5E">
        <w:rPr>
          <w:rFonts w:ascii="Arial" w:hAnsi="Arial" w:cs="Arial"/>
          <w:color w:val="000000" w:themeColor="text1"/>
          <w:sz w:val="24"/>
          <w:szCs w:val="24"/>
          <w:lang w:val="en-US"/>
        </w:rPr>
        <w:t xml:space="preserve"> </w:t>
      </w:r>
    </w:p>
    <w:p w:rsidR="00543EA5" w:rsidRDefault="00543EA5" w:rsidP="00885B1A">
      <w:pPr>
        <w:spacing w:after="0" w:line="360" w:lineRule="auto"/>
        <w:ind w:firstLine="708"/>
        <w:jc w:val="both"/>
        <w:rPr>
          <w:rFonts w:ascii="Arial" w:hAnsi="Arial" w:cs="Arial"/>
          <w:color w:val="000000" w:themeColor="text1"/>
          <w:sz w:val="24"/>
          <w:szCs w:val="24"/>
        </w:rPr>
      </w:pPr>
      <w:r w:rsidRPr="00C90FC9">
        <w:rPr>
          <w:rFonts w:ascii="Arial" w:hAnsi="Arial" w:cs="Arial"/>
          <w:color w:val="000000" w:themeColor="text1"/>
          <w:sz w:val="24"/>
          <w:szCs w:val="24"/>
        </w:rPr>
        <w:t>A equação (1</w:t>
      </w:r>
      <w:r>
        <w:rPr>
          <w:rFonts w:ascii="Arial" w:hAnsi="Arial" w:cs="Arial"/>
          <w:color w:val="000000" w:themeColor="text1"/>
          <w:sz w:val="24"/>
          <w:szCs w:val="24"/>
        </w:rPr>
        <w:t xml:space="preserve">) diz que valores de X estão relacionados a valores passados do próprio X além dos valores defasados de Y. A equação (2) apresenta comportamento similar para a variável Y. Assim, após a estimação </w:t>
      </w:r>
      <w:proofErr w:type="gramStart"/>
      <w:r>
        <w:rPr>
          <w:rFonts w:ascii="Arial" w:hAnsi="Arial" w:cs="Arial"/>
          <w:color w:val="000000" w:themeColor="text1"/>
          <w:sz w:val="24"/>
          <w:szCs w:val="24"/>
        </w:rPr>
        <w:t>distingue-se</w:t>
      </w:r>
      <w:proofErr w:type="gramEnd"/>
      <w:r>
        <w:rPr>
          <w:rFonts w:ascii="Arial" w:hAnsi="Arial" w:cs="Arial"/>
          <w:color w:val="000000" w:themeColor="text1"/>
          <w:sz w:val="24"/>
          <w:szCs w:val="24"/>
        </w:rPr>
        <w:t xml:space="preserve"> quatro casos diferentes:</w:t>
      </w:r>
    </w:p>
    <w:p w:rsidR="00543EA5" w:rsidRPr="00C90FC9" w:rsidRDefault="00543EA5" w:rsidP="00885B1A">
      <w:pPr>
        <w:spacing w:after="0" w:line="360" w:lineRule="auto"/>
        <w:ind w:firstLine="708"/>
        <w:jc w:val="both"/>
        <w:rPr>
          <w:rFonts w:ascii="Arial" w:hAnsi="Arial" w:cs="Arial"/>
          <w:color w:val="000000" w:themeColor="text1"/>
          <w:sz w:val="24"/>
          <w:szCs w:val="24"/>
        </w:rPr>
      </w:pPr>
      <w:r w:rsidRPr="00C90FC9">
        <w:rPr>
          <w:rFonts w:ascii="Arial" w:hAnsi="Arial" w:cs="Arial"/>
          <w:color w:val="000000" w:themeColor="text1"/>
          <w:sz w:val="24"/>
          <w:szCs w:val="24"/>
        </w:rPr>
        <w:t>1. Causalidade unilateral de Y para X: quando os coeficientes estimados em (1) para a variável defasada Y são conjuntamente diferentes de zero (</w:t>
      </w:r>
      <w:r>
        <w:rPr>
          <w:rFonts w:ascii="Arial" w:hAnsi="Arial" w:cs="Arial"/>
          <w:color w:val="000000" w:themeColor="text1"/>
          <w:sz w:val="24"/>
          <w:szCs w:val="24"/>
        </w:rPr>
        <w:t>∑</w:t>
      </w:r>
      <w:r w:rsidRPr="00C90FC9">
        <w:rPr>
          <w:rFonts w:ascii="Arial" w:hAnsi="Arial" w:cs="Arial"/>
          <w:color w:val="000000" w:themeColor="text1"/>
          <w:sz w:val="24"/>
          <w:szCs w:val="24"/>
        </w:rPr>
        <w:t>a</w:t>
      </w:r>
      <w:r w:rsidRPr="00632B03">
        <w:rPr>
          <w:rFonts w:ascii="Arial" w:hAnsi="Arial" w:cs="Arial"/>
          <w:color w:val="000000" w:themeColor="text1"/>
          <w:sz w:val="24"/>
          <w:szCs w:val="24"/>
          <w:vertAlign w:val="subscript"/>
        </w:rPr>
        <w:t>i</w:t>
      </w:r>
      <w:r w:rsidRPr="00C90FC9">
        <w:rPr>
          <w:rFonts w:ascii="Arial" w:hAnsi="Arial" w:cs="Arial"/>
          <w:color w:val="000000" w:themeColor="text1"/>
          <w:sz w:val="24"/>
          <w:szCs w:val="24"/>
        </w:rPr>
        <w:t xml:space="preserve"> </w:t>
      </w:r>
      <w:r>
        <w:rPr>
          <w:rFonts w:ascii="Arial" w:hAnsi="Arial" w:cs="Arial"/>
          <w:color w:val="000000" w:themeColor="text1"/>
          <w:sz w:val="24"/>
          <w:szCs w:val="24"/>
        </w:rPr>
        <w:t>≠</w:t>
      </w:r>
      <w:r w:rsidRPr="00C90FC9">
        <w:rPr>
          <w:rFonts w:ascii="Arial" w:hAnsi="Arial" w:cs="Arial"/>
          <w:color w:val="000000" w:themeColor="text1"/>
          <w:sz w:val="24"/>
          <w:szCs w:val="24"/>
        </w:rPr>
        <w:t xml:space="preserve"> </w:t>
      </w:r>
      <w:proofErr w:type="gramStart"/>
      <w:r w:rsidRPr="00C90FC9">
        <w:rPr>
          <w:rFonts w:ascii="Arial" w:hAnsi="Arial" w:cs="Arial"/>
          <w:color w:val="000000" w:themeColor="text1"/>
          <w:sz w:val="24"/>
          <w:szCs w:val="24"/>
        </w:rPr>
        <w:t>0</w:t>
      </w:r>
      <w:proofErr w:type="gramEnd"/>
      <w:r w:rsidRPr="00C90FC9">
        <w:rPr>
          <w:rFonts w:ascii="Arial" w:hAnsi="Arial" w:cs="Arial"/>
          <w:color w:val="000000" w:themeColor="text1"/>
          <w:sz w:val="24"/>
          <w:szCs w:val="24"/>
        </w:rPr>
        <w:t>), e quando o conjunto de coeficientes estimados em (2) para a variável X não forem estatisticamente diferentes de zero (</w:t>
      </w:r>
      <w:r>
        <w:rPr>
          <w:rFonts w:ascii="Arial" w:hAnsi="Arial" w:cs="Arial"/>
          <w:color w:val="000000" w:themeColor="text1"/>
          <w:sz w:val="24"/>
          <w:szCs w:val="24"/>
        </w:rPr>
        <w:t>∑</w:t>
      </w:r>
      <w:proofErr w:type="spellStart"/>
      <w:r w:rsidRPr="00C90FC9">
        <w:rPr>
          <w:rFonts w:ascii="Arial" w:hAnsi="Arial" w:cs="Arial"/>
          <w:color w:val="000000" w:themeColor="text1"/>
          <w:sz w:val="24"/>
          <w:szCs w:val="24"/>
        </w:rPr>
        <w:t>d</w:t>
      </w:r>
      <w:r w:rsidRPr="00632B03">
        <w:rPr>
          <w:rFonts w:ascii="Arial" w:hAnsi="Arial" w:cs="Arial"/>
          <w:color w:val="000000" w:themeColor="text1"/>
          <w:sz w:val="24"/>
          <w:szCs w:val="24"/>
          <w:vertAlign w:val="subscript"/>
        </w:rPr>
        <w:t>i</w:t>
      </w:r>
      <w:proofErr w:type="spellEnd"/>
      <w:r w:rsidRPr="00C90FC9">
        <w:rPr>
          <w:rFonts w:ascii="Arial" w:hAnsi="Arial" w:cs="Arial"/>
          <w:color w:val="000000" w:themeColor="text1"/>
          <w:sz w:val="24"/>
          <w:szCs w:val="24"/>
        </w:rPr>
        <w:t xml:space="preserve"> = 0). </w:t>
      </w:r>
    </w:p>
    <w:p w:rsidR="00543EA5" w:rsidRPr="00C90FC9" w:rsidRDefault="00543EA5" w:rsidP="00885B1A">
      <w:pPr>
        <w:spacing w:after="0" w:line="360" w:lineRule="auto"/>
        <w:ind w:firstLine="708"/>
        <w:jc w:val="both"/>
        <w:rPr>
          <w:rFonts w:ascii="Arial" w:hAnsi="Arial" w:cs="Arial"/>
          <w:color w:val="000000" w:themeColor="text1"/>
          <w:sz w:val="24"/>
          <w:szCs w:val="24"/>
        </w:rPr>
      </w:pPr>
      <w:r w:rsidRPr="00C90FC9">
        <w:rPr>
          <w:rFonts w:ascii="Arial" w:hAnsi="Arial" w:cs="Arial"/>
          <w:color w:val="000000" w:themeColor="text1"/>
          <w:sz w:val="24"/>
          <w:szCs w:val="24"/>
        </w:rPr>
        <w:lastRenderedPageBreak/>
        <w:t>2. Causalidade unilateral de X para Y: quando o conjunto de coeficientes defasados para a variável Y na equação (1) não for estatisticamente diferente de zero (</w:t>
      </w:r>
      <w:r>
        <w:rPr>
          <w:rFonts w:ascii="Arial" w:hAnsi="Arial" w:cs="Arial"/>
          <w:color w:val="000000" w:themeColor="text1"/>
          <w:sz w:val="24"/>
          <w:szCs w:val="24"/>
        </w:rPr>
        <w:t>∑</w:t>
      </w:r>
      <w:r w:rsidRPr="00C90FC9">
        <w:rPr>
          <w:rFonts w:ascii="Arial" w:hAnsi="Arial" w:cs="Arial"/>
          <w:color w:val="000000" w:themeColor="text1"/>
          <w:sz w:val="24"/>
          <w:szCs w:val="24"/>
        </w:rPr>
        <w:t>a</w:t>
      </w:r>
      <w:r w:rsidRPr="00632B03">
        <w:rPr>
          <w:rFonts w:ascii="Arial" w:hAnsi="Arial" w:cs="Arial"/>
          <w:color w:val="000000" w:themeColor="text1"/>
          <w:sz w:val="24"/>
          <w:szCs w:val="24"/>
          <w:vertAlign w:val="subscript"/>
        </w:rPr>
        <w:t>i</w:t>
      </w:r>
      <w:r w:rsidRPr="00C90FC9">
        <w:rPr>
          <w:rFonts w:ascii="Arial" w:hAnsi="Arial" w:cs="Arial"/>
          <w:color w:val="000000" w:themeColor="text1"/>
          <w:sz w:val="24"/>
          <w:szCs w:val="24"/>
        </w:rPr>
        <w:t xml:space="preserve"> = 0) e o conjunto de coeficientes defasados para a variável X em (2) o for (</w:t>
      </w:r>
      <w:r>
        <w:rPr>
          <w:rFonts w:ascii="Arial" w:hAnsi="Arial" w:cs="Arial"/>
          <w:color w:val="000000" w:themeColor="text1"/>
          <w:sz w:val="24"/>
          <w:szCs w:val="24"/>
        </w:rPr>
        <w:t>∑</w:t>
      </w:r>
      <w:proofErr w:type="spellStart"/>
      <w:r w:rsidRPr="00C90FC9">
        <w:rPr>
          <w:rFonts w:ascii="Arial" w:hAnsi="Arial" w:cs="Arial"/>
          <w:color w:val="000000" w:themeColor="text1"/>
          <w:sz w:val="24"/>
          <w:szCs w:val="24"/>
        </w:rPr>
        <w:t>d</w:t>
      </w:r>
      <w:r w:rsidRPr="00632B03">
        <w:rPr>
          <w:rFonts w:ascii="Arial" w:hAnsi="Arial" w:cs="Arial"/>
          <w:color w:val="000000" w:themeColor="text1"/>
          <w:sz w:val="24"/>
          <w:szCs w:val="24"/>
          <w:vertAlign w:val="subscript"/>
        </w:rPr>
        <w:t>i</w:t>
      </w:r>
      <w:proofErr w:type="spellEnd"/>
      <w:r w:rsidRPr="00C90FC9">
        <w:rPr>
          <w:rFonts w:ascii="Arial" w:hAnsi="Arial" w:cs="Arial"/>
          <w:color w:val="000000" w:themeColor="text1"/>
          <w:sz w:val="24"/>
          <w:szCs w:val="24"/>
        </w:rPr>
        <w:t xml:space="preserve"> </w:t>
      </w:r>
      <w:r>
        <w:rPr>
          <w:rFonts w:ascii="Arial" w:hAnsi="Arial" w:cs="Arial"/>
          <w:color w:val="000000" w:themeColor="text1"/>
          <w:sz w:val="24"/>
          <w:szCs w:val="24"/>
        </w:rPr>
        <w:t>≠</w:t>
      </w:r>
      <w:r w:rsidRPr="00C90FC9">
        <w:rPr>
          <w:rFonts w:ascii="Arial" w:hAnsi="Arial" w:cs="Arial"/>
          <w:color w:val="000000" w:themeColor="text1"/>
          <w:sz w:val="24"/>
          <w:szCs w:val="24"/>
        </w:rPr>
        <w:t xml:space="preserve"> </w:t>
      </w:r>
      <w:proofErr w:type="gramStart"/>
      <w:r w:rsidRPr="00C90FC9">
        <w:rPr>
          <w:rFonts w:ascii="Arial" w:hAnsi="Arial" w:cs="Arial"/>
          <w:color w:val="000000" w:themeColor="text1"/>
          <w:sz w:val="24"/>
          <w:szCs w:val="24"/>
        </w:rPr>
        <w:t>0</w:t>
      </w:r>
      <w:proofErr w:type="gramEnd"/>
      <w:r w:rsidRPr="00C90FC9">
        <w:rPr>
          <w:rFonts w:ascii="Arial" w:hAnsi="Arial" w:cs="Arial"/>
          <w:color w:val="000000" w:themeColor="text1"/>
          <w:sz w:val="24"/>
          <w:szCs w:val="24"/>
        </w:rPr>
        <w:t xml:space="preserve">). </w:t>
      </w:r>
    </w:p>
    <w:p w:rsidR="00543EA5" w:rsidRPr="00C90FC9" w:rsidRDefault="00543EA5" w:rsidP="00885B1A">
      <w:pPr>
        <w:spacing w:after="0" w:line="360" w:lineRule="auto"/>
        <w:ind w:firstLine="708"/>
        <w:jc w:val="both"/>
        <w:rPr>
          <w:rFonts w:ascii="Arial" w:hAnsi="Arial" w:cs="Arial"/>
          <w:color w:val="000000" w:themeColor="text1"/>
          <w:sz w:val="24"/>
          <w:szCs w:val="24"/>
        </w:rPr>
      </w:pPr>
      <w:r w:rsidRPr="00C90FC9">
        <w:rPr>
          <w:rFonts w:ascii="Arial" w:hAnsi="Arial" w:cs="Arial"/>
          <w:color w:val="000000" w:themeColor="text1"/>
          <w:sz w:val="24"/>
          <w:szCs w:val="24"/>
        </w:rPr>
        <w:t xml:space="preserve">3. </w:t>
      </w:r>
      <w:proofErr w:type="spellStart"/>
      <w:r w:rsidRPr="00C90FC9">
        <w:rPr>
          <w:rFonts w:ascii="Arial" w:hAnsi="Arial" w:cs="Arial"/>
          <w:color w:val="000000" w:themeColor="text1"/>
          <w:sz w:val="24"/>
          <w:szCs w:val="24"/>
        </w:rPr>
        <w:t>Bicausalidade</w:t>
      </w:r>
      <w:proofErr w:type="spellEnd"/>
      <w:r w:rsidRPr="00C90FC9">
        <w:rPr>
          <w:rFonts w:ascii="Arial" w:hAnsi="Arial" w:cs="Arial"/>
          <w:color w:val="000000" w:themeColor="text1"/>
          <w:sz w:val="24"/>
          <w:szCs w:val="24"/>
        </w:rPr>
        <w:t xml:space="preserve"> ou simultaneidade: quando os conjuntos de coeficientes defasados de X e Y forem estatisticamente diferentes de zero em ambas as regressões. </w:t>
      </w:r>
    </w:p>
    <w:p w:rsidR="00543EA5" w:rsidRDefault="00543EA5" w:rsidP="00885B1A">
      <w:pPr>
        <w:spacing w:after="0" w:line="360" w:lineRule="auto"/>
        <w:ind w:firstLine="708"/>
        <w:jc w:val="both"/>
        <w:rPr>
          <w:rFonts w:ascii="Arial" w:hAnsi="Arial" w:cs="Arial"/>
          <w:color w:val="000000" w:themeColor="text1"/>
          <w:sz w:val="24"/>
          <w:szCs w:val="24"/>
        </w:rPr>
      </w:pPr>
      <w:r w:rsidRPr="00C90FC9">
        <w:rPr>
          <w:rFonts w:ascii="Arial" w:hAnsi="Arial" w:cs="Arial"/>
          <w:color w:val="000000" w:themeColor="text1"/>
          <w:sz w:val="24"/>
          <w:szCs w:val="24"/>
        </w:rPr>
        <w:t xml:space="preserve">4. Independência: quando, em ambas as regressões, os conjuntos de coeficientes defasados de X e Y não forem estatisticamente diferentes de zero. </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Pressupondo que</w:t>
      </w:r>
      <w:r w:rsidRPr="00C90FC9">
        <w:rPr>
          <w:rFonts w:ascii="Arial" w:hAnsi="Arial" w:cs="Arial"/>
          <w:color w:val="000000" w:themeColor="text1"/>
          <w:sz w:val="24"/>
          <w:szCs w:val="24"/>
        </w:rPr>
        <w:t xml:space="preserve"> o futuro não pode predizer o p</w:t>
      </w:r>
      <w:r>
        <w:rPr>
          <w:rFonts w:ascii="Arial" w:hAnsi="Arial" w:cs="Arial"/>
          <w:color w:val="000000" w:themeColor="text1"/>
          <w:sz w:val="24"/>
          <w:szCs w:val="24"/>
        </w:rPr>
        <w:t xml:space="preserve">assado, se a variável X Granger </w:t>
      </w:r>
      <w:r w:rsidRPr="00C90FC9">
        <w:rPr>
          <w:rFonts w:ascii="Arial" w:hAnsi="Arial" w:cs="Arial"/>
          <w:color w:val="000000" w:themeColor="text1"/>
          <w:sz w:val="24"/>
          <w:szCs w:val="24"/>
        </w:rPr>
        <w:t>causa a variável Y, então mudanças em X devem preceder temporalmente mudanças em</w:t>
      </w:r>
      <w:r>
        <w:rPr>
          <w:rFonts w:ascii="Arial" w:hAnsi="Arial" w:cs="Arial"/>
          <w:color w:val="000000" w:themeColor="text1"/>
          <w:sz w:val="24"/>
          <w:szCs w:val="24"/>
        </w:rPr>
        <w:t xml:space="preserve"> Y. (GUJARATI; PORTER, 2011)</w:t>
      </w:r>
    </w:p>
    <w:p w:rsidR="00543EA5" w:rsidRDefault="00543EA5" w:rsidP="00885B1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Dessa forma, contextualizando com o trabalho aqui proposto, chega-se às seguintes formulas:</w:t>
      </w:r>
    </w:p>
    <w:p w:rsidR="00543EA5" w:rsidRPr="00326F71" w:rsidRDefault="00543EA5" w:rsidP="00885B1A">
      <w:pPr>
        <w:spacing w:after="0" w:line="360" w:lineRule="auto"/>
        <w:jc w:val="both"/>
        <w:rPr>
          <w:rFonts w:ascii="Arial" w:hAnsi="Arial" w:cs="Arial"/>
          <w:color w:val="000000" w:themeColor="text1"/>
          <w:sz w:val="24"/>
          <w:szCs w:val="24"/>
        </w:rPr>
      </w:pPr>
      <w:proofErr w:type="spellStart"/>
      <w:proofErr w:type="gramStart"/>
      <w:r>
        <w:rPr>
          <w:rFonts w:ascii="Arial" w:hAnsi="Arial" w:cs="Arial"/>
          <w:color w:val="000000" w:themeColor="text1"/>
          <w:sz w:val="24"/>
          <w:szCs w:val="24"/>
        </w:rPr>
        <w:t>PL</w:t>
      </w:r>
      <w:r w:rsidRPr="00326F71">
        <w:rPr>
          <w:rFonts w:ascii="Arial" w:hAnsi="Arial" w:cs="Arial"/>
          <w:color w:val="000000" w:themeColor="text1"/>
          <w:sz w:val="24"/>
          <w:szCs w:val="24"/>
          <w:vertAlign w:val="subscript"/>
        </w:rPr>
        <w:t>t</w:t>
      </w:r>
      <w:proofErr w:type="spellEnd"/>
      <w:proofErr w:type="gramEnd"/>
      <w:r w:rsidRPr="00326F71">
        <w:rPr>
          <w:rFonts w:ascii="Arial" w:hAnsi="Arial" w:cs="Arial"/>
          <w:color w:val="000000" w:themeColor="text1"/>
          <w:sz w:val="24"/>
          <w:szCs w:val="24"/>
        </w:rPr>
        <w:t xml:space="preserve"> = </w:t>
      </w:r>
      <w:r>
        <w:rPr>
          <w:rFonts w:ascii="Arial" w:hAnsi="Arial" w:cs="Arial"/>
          <w:color w:val="000000" w:themeColor="text1"/>
          <w:sz w:val="24"/>
          <w:szCs w:val="24"/>
        </w:rPr>
        <w:t>∑</w:t>
      </w:r>
      <w:r w:rsidRPr="00326F71">
        <w:rPr>
          <w:rFonts w:ascii="Arial" w:hAnsi="Arial" w:cs="Arial"/>
          <w:color w:val="000000" w:themeColor="text1"/>
          <w:sz w:val="24"/>
          <w:szCs w:val="24"/>
        </w:rPr>
        <w:t>a</w:t>
      </w:r>
      <w:r w:rsidRPr="00C90FC9">
        <w:rPr>
          <w:rFonts w:ascii="Arial" w:hAnsi="Arial" w:cs="Arial"/>
          <w:color w:val="000000" w:themeColor="text1"/>
          <w:sz w:val="24"/>
          <w:szCs w:val="24"/>
          <w:vertAlign w:val="subscript"/>
        </w:rPr>
        <w:t>i</w:t>
      </w:r>
      <w:r w:rsidRPr="00326F71">
        <w:rPr>
          <w:rFonts w:ascii="Arial" w:hAnsi="Arial" w:cs="Arial"/>
          <w:color w:val="000000" w:themeColor="text1"/>
          <w:sz w:val="24"/>
          <w:szCs w:val="24"/>
        </w:rPr>
        <w:t xml:space="preserve"> </w:t>
      </w:r>
      <w:proofErr w:type="spellStart"/>
      <w:r>
        <w:rPr>
          <w:rFonts w:ascii="Arial" w:hAnsi="Arial" w:cs="Arial"/>
          <w:color w:val="000000" w:themeColor="text1"/>
          <w:sz w:val="24"/>
          <w:szCs w:val="24"/>
        </w:rPr>
        <w:t>SEL</w:t>
      </w:r>
      <w:r w:rsidRPr="00C90FC9">
        <w:rPr>
          <w:rFonts w:ascii="Arial" w:hAnsi="Arial" w:cs="Arial"/>
          <w:color w:val="000000" w:themeColor="text1"/>
          <w:sz w:val="24"/>
          <w:szCs w:val="24"/>
          <w:vertAlign w:val="subscript"/>
        </w:rPr>
        <w:t>t</w:t>
      </w:r>
      <w:proofErr w:type="spellEnd"/>
      <w:r w:rsidRPr="00C90FC9">
        <w:rPr>
          <w:rFonts w:ascii="Arial" w:hAnsi="Arial" w:cs="Arial"/>
          <w:color w:val="000000" w:themeColor="text1"/>
          <w:sz w:val="24"/>
          <w:szCs w:val="24"/>
          <w:vertAlign w:val="subscript"/>
        </w:rPr>
        <w:t>-i</w:t>
      </w:r>
      <w:r w:rsidRPr="00326F71">
        <w:rPr>
          <w:rFonts w:ascii="Arial" w:hAnsi="Arial" w:cs="Arial"/>
          <w:color w:val="000000" w:themeColor="text1"/>
          <w:sz w:val="24"/>
          <w:szCs w:val="24"/>
        </w:rPr>
        <w:t xml:space="preserve"> + </w:t>
      </w:r>
      <w:r>
        <w:rPr>
          <w:rFonts w:ascii="Arial" w:hAnsi="Arial" w:cs="Arial"/>
          <w:color w:val="000000" w:themeColor="text1"/>
          <w:sz w:val="24"/>
          <w:szCs w:val="24"/>
        </w:rPr>
        <w:t>∑</w:t>
      </w:r>
      <w:r w:rsidRPr="00326F71">
        <w:rPr>
          <w:rFonts w:ascii="Arial" w:hAnsi="Arial" w:cs="Arial"/>
          <w:color w:val="000000" w:themeColor="text1"/>
          <w:sz w:val="24"/>
          <w:szCs w:val="24"/>
        </w:rPr>
        <w:t>b</w:t>
      </w:r>
      <w:r w:rsidRPr="00C90FC9">
        <w:rPr>
          <w:rFonts w:ascii="Arial" w:hAnsi="Arial" w:cs="Arial"/>
          <w:color w:val="000000" w:themeColor="text1"/>
          <w:sz w:val="24"/>
          <w:szCs w:val="24"/>
          <w:vertAlign w:val="subscript"/>
        </w:rPr>
        <w:t>i</w:t>
      </w:r>
      <w:r w:rsidRPr="00326F71">
        <w:rPr>
          <w:rFonts w:ascii="Arial" w:hAnsi="Arial" w:cs="Arial"/>
          <w:color w:val="000000" w:themeColor="text1"/>
          <w:sz w:val="24"/>
          <w:szCs w:val="24"/>
        </w:rPr>
        <w:t xml:space="preserve"> </w:t>
      </w:r>
      <w:proofErr w:type="spellStart"/>
      <w:r>
        <w:rPr>
          <w:rFonts w:ascii="Arial" w:hAnsi="Arial" w:cs="Arial"/>
          <w:color w:val="000000" w:themeColor="text1"/>
          <w:sz w:val="24"/>
          <w:szCs w:val="24"/>
        </w:rPr>
        <w:t>PL</w:t>
      </w:r>
      <w:r w:rsidRPr="00C90FC9">
        <w:rPr>
          <w:rFonts w:ascii="Arial" w:hAnsi="Arial" w:cs="Arial"/>
          <w:color w:val="000000" w:themeColor="text1"/>
          <w:sz w:val="24"/>
          <w:szCs w:val="24"/>
          <w:vertAlign w:val="subscript"/>
        </w:rPr>
        <w:t>t</w:t>
      </w:r>
      <w:proofErr w:type="spellEnd"/>
      <w:r w:rsidRPr="00C90FC9">
        <w:rPr>
          <w:rFonts w:ascii="Arial" w:hAnsi="Arial" w:cs="Arial"/>
          <w:color w:val="000000" w:themeColor="text1"/>
          <w:sz w:val="24"/>
          <w:szCs w:val="24"/>
          <w:vertAlign w:val="subscript"/>
        </w:rPr>
        <w:t xml:space="preserve">-i </w:t>
      </w:r>
      <w:r w:rsidRPr="00326F71">
        <w:rPr>
          <w:rFonts w:ascii="Arial" w:hAnsi="Arial" w:cs="Arial"/>
          <w:color w:val="000000" w:themeColor="text1"/>
          <w:sz w:val="24"/>
          <w:szCs w:val="24"/>
        </w:rPr>
        <w:t>+ u</w:t>
      </w:r>
      <w:r w:rsidRPr="00C90FC9">
        <w:rPr>
          <w:rFonts w:ascii="Arial" w:hAnsi="Arial" w:cs="Arial"/>
          <w:color w:val="000000" w:themeColor="text1"/>
          <w:sz w:val="24"/>
          <w:szCs w:val="24"/>
          <w:vertAlign w:val="subscript"/>
        </w:rPr>
        <w:t>1t</w:t>
      </w:r>
      <w:r w:rsidRPr="00326F71">
        <w:rPr>
          <w:rFonts w:ascii="Arial" w:hAnsi="Arial" w:cs="Arial"/>
          <w:color w:val="000000" w:themeColor="text1"/>
          <w:sz w:val="24"/>
          <w:szCs w:val="24"/>
        </w:rPr>
        <w:t xml:space="preserve"> </w:t>
      </w:r>
      <w:r>
        <w:rPr>
          <w:rFonts w:ascii="Arial" w:hAnsi="Arial" w:cs="Arial"/>
          <w:color w:val="000000" w:themeColor="text1"/>
          <w:sz w:val="24"/>
          <w:szCs w:val="24"/>
        </w:rPr>
        <w:t xml:space="preserve">     (3)</w:t>
      </w:r>
    </w:p>
    <w:p w:rsidR="00543EA5" w:rsidRPr="00CA501D" w:rsidRDefault="00543EA5" w:rsidP="00885B1A">
      <w:pPr>
        <w:spacing w:after="0" w:line="360" w:lineRule="auto"/>
        <w:jc w:val="both"/>
        <w:rPr>
          <w:rFonts w:ascii="Arial" w:hAnsi="Arial" w:cs="Arial"/>
          <w:color w:val="000000" w:themeColor="text1"/>
          <w:sz w:val="24"/>
          <w:szCs w:val="24"/>
        </w:rPr>
      </w:pPr>
      <w:proofErr w:type="spellStart"/>
      <w:proofErr w:type="gramStart"/>
      <w:r w:rsidRPr="00CA501D">
        <w:rPr>
          <w:rFonts w:ascii="Arial" w:hAnsi="Arial" w:cs="Arial"/>
          <w:color w:val="000000" w:themeColor="text1"/>
          <w:sz w:val="24"/>
          <w:szCs w:val="24"/>
        </w:rPr>
        <w:t>SEL</w:t>
      </w:r>
      <w:r w:rsidRPr="00CA501D">
        <w:rPr>
          <w:rFonts w:ascii="Arial" w:hAnsi="Arial" w:cs="Arial"/>
          <w:color w:val="000000" w:themeColor="text1"/>
          <w:sz w:val="24"/>
          <w:szCs w:val="24"/>
          <w:vertAlign w:val="subscript"/>
        </w:rPr>
        <w:t>t</w:t>
      </w:r>
      <w:proofErr w:type="spellEnd"/>
      <w:proofErr w:type="gramEnd"/>
      <w:r w:rsidRPr="00CA501D">
        <w:rPr>
          <w:rFonts w:ascii="Arial" w:hAnsi="Arial" w:cs="Arial"/>
          <w:color w:val="000000" w:themeColor="text1"/>
          <w:sz w:val="24"/>
          <w:szCs w:val="24"/>
        </w:rPr>
        <w:t xml:space="preserve"> = ∑</w:t>
      </w:r>
      <w:proofErr w:type="spellStart"/>
      <w:r w:rsidRPr="00CA501D">
        <w:rPr>
          <w:rFonts w:ascii="Arial" w:hAnsi="Arial" w:cs="Arial"/>
          <w:color w:val="000000" w:themeColor="text1"/>
          <w:sz w:val="24"/>
          <w:szCs w:val="24"/>
        </w:rPr>
        <w:t>c</w:t>
      </w:r>
      <w:r w:rsidRPr="00CA501D">
        <w:rPr>
          <w:rFonts w:ascii="Arial" w:hAnsi="Arial" w:cs="Arial"/>
          <w:color w:val="000000" w:themeColor="text1"/>
          <w:sz w:val="24"/>
          <w:szCs w:val="24"/>
          <w:vertAlign w:val="subscript"/>
        </w:rPr>
        <w:t>i</w:t>
      </w:r>
      <w:proofErr w:type="spellEnd"/>
      <w:r w:rsidRPr="00CA501D">
        <w:rPr>
          <w:rFonts w:ascii="Arial" w:hAnsi="Arial" w:cs="Arial"/>
          <w:color w:val="000000" w:themeColor="text1"/>
          <w:sz w:val="24"/>
          <w:szCs w:val="24"/>
        </w:rPr>
        <w:t xml:space="preserve"> </w:t>
      </w:r>
      <w:proofErr w:type="spellStart"/>
      <w:r w:rsidRPr="00CA501D">
        <w:rPr>
          <w:rFonts w:ascii="Arial" w:hAnsi="Arial" w:cs="Arial"/>
          <w:color w:val="000000" w:themeColor="text1"/>
          <w:sz w:val="24"/>
          <w:szCs w:val="24"/>
        </w:rPr>
        <w:t>SEL</w:t>
      </w:r>
      <w:r w:rsidRPr="00CA501D">
        <w:rPr>
          <w:rFonts w:ascii="Arial" w:hAnsi="Arial" w:cs="Arial"/>
          <w:color w:val="000000" w:themeColor="text1"/>
          <w:sz w:val="24"/>
          <w:szCs w:val="24"/>
          <w:vertAlign w:val="subscript"/>
        </w:rPr>
        <w:t>t</w:t>
      </w:r>
      <w:proofErr w:type="spellEnd"/>
      <w:r w:rsidRPr="00CA501D">
        <w:rPr>
          <w:rFonts w:ascii="Arial" w:hAnsi="Arial" w:cs="Arial"/>
          <w:color w:val="000000" w:themeColor="text1"/>
          <w:sz w:val="24"/>
          <w:szCs w:val="24"/>
          <w:vertAlign w:val="subscript"/>
        </w:rPr>
        <w:t>-i</w:t>
      </w:r>
      <w:r w:rsidRPr="00CA501D">
        <w:rPr>
          <w:rFonts w:ascii="Arial" w:hAnsi="Arial" w:cs="Arial"/>
          <w:color w:val="000000" w:themeColor="text1"/>
          <w:sz w:val="24"/>
          <w:szCs w:val="24"/>
        </w:rPr>
        <w:t xml:space="preserve"> + ∑</w:t>
      </w:r>
      <w:proofErr w:type="spellStart"/>
      <w:r w:rsidRPr="00CA501D">
        <w:rPr>
          <w:rFonts w:ascii="Arial" w:hAnsi="Arial" w:cs="Arial"/>
          <w:color w:val="000000" w:themeColor="text1"/>
          <w:sz w:val="24"/>
          <w:szCs w:val="24"/>
        </w:rPr>
        <w:t>d</w:t>
      </w:r>
      <w:r w:rsidRPr="00CA501D">
        <w:rPr>
          <w:rFonts w:ascii="Arial" w:hAnsi="Arial" w:cs="Arial"/>
          <w:color w:val="000000" w:themeColor="text1"/>
          <w:sz w:val="24"/>
          <w:szCs w:val="24"/>
          <w:vertAlign w:val="subscript"/>
        </w:rPr>
        <w:t>i</w:t>
      </w:r>
      <w:proofErr w:type="spellEnd"/>
      <w:r w:rsidRPr="00CA501D">
        <w:rPr>
          <w:rFonts w:ascii="Arial" w:hAnsi="Arial" w:cs="Arial"/>
          <w:color w:val="000000" w:themeColor="text1"/>
          <w:sz w:val="24"/>
          <w:szCs w:val="24"/>
        </w:rPr>
        <w:t xml:space="preserve"> </w:t>
      </w:r>
      <w:proofErr w:type="spellStart"/>
      <w:r w:rsidRPr="00CA501D">
        <w:rPr>
          <w:rFonts w:ascii="Arial" w:hAnsi="Arial" w:cs="Arial"/>
          <w:color w:val="000000" w:themeColor="text1"/>
          <w:sz w:val="24"/>
          <w:szCs w:val="24"/>
        </w:rPr>
        <w:t>PL</w:t>
      </w:r>
      <w:r w:rsidRPr="00CA501D">
        <w:rPr>
          <w:rFonts w:ascii="Arial" w:hAnsi="Arial" w:cs="Arial"/>
          <w:color w:val="000000" w:themeColor="text1"/>
          <w:sz w:val="24"/>
          <w:szCs w:val="24"/>
          <w:vertAlign w:val="subscript"/>
        </w:rPr>
        <w:t>t</w:t>
      </w:r>
      <w:proofErr w:type="spellEnd"/>
      <w:r w:rsidRPr="00CA501D">
        <w:rPr>
          <w:rFonts w:ascii="Arial" w:hAnsi="Arial" w:cs="Arial"/>
          <w:color w:val="000000" w:themeColor="text1"/>
          <w:sz w:val="24"/>
          <w:szCs w:val="24"/>
          <w:vertAlign w:val="subscript"/>
        </w:rPr>
        <w:t xml:space="preserve">-i </w:t>
      </w:r>
      <w:r w:rsidRPr="00CA501D">
        <w:rPr>
          <w:rFonts w:ascii="Arial" w:hAnsi="Arial" w:cs="Arial"/>
          <w:color w:val="000000" w:themeColor="text1"/>
          <w:sz w:val="24"/>
          <w:szCs w:val="24"/>
        </w:rPr>
        <w:t>+ u</w:t>
      </w:r>
      <w:r w:rsidRPr="00CA501D">
        <w:rPr>
          <w:rFonts w:ascii="Arial" w:hAnsi="Arial" w:cs="Arial"/>
          <w:color w:val="000000" w:themeColor="text1"/>
          <w:sz w:val="24"/>
          <w:szCs w:val="24"/>
          <w:vertAlign w:val="subscript"/>
        </w:rPr>
        <w:t xml:space="preserve">2t     </w:t>
      </w:r>
      <w:r w:rsidRPr="00CA501D">
        <w:rPr>
          <w:rFonts w:ascii="Arial" w:hAnsi="Arial" w:cs="Arial"/>
          <w:color w:val="000000" w:themeColor="text1"/>
          <w:sz w:val="24"/>
          <w:szCs w:val="24"/>
        </w:rPr>
        <w:t>(4)</w:t>
      </w:r>
      <w:r w:rsidRPr="00CA501D">
        <w:rPr>
          <w:rFonts w:ascii="Arial" w:hAnsi="Arial" w:cs="Arial"/>
          <w:color w:val="000000" w:themeColor="text1"/>
          <w:sz w:val="24"/>
          <w:szCs w:val="24"/>
          <w:vertAlign w:val="subscript"/>
        </w:rPr>
        <w:t xml:space="preserve">  </w:t>
      </w:r>
    </w:p>
    <w:p w:rsidR="00543EA5" w:rsidRDefault="00543EA5" w:rsidP="00885B1A">
      <w:pPr>
        <w:spacing w:after="0" w:line="360" w:lineRule="auto"/>
        <w:ind w:firstLine="708"/>
        <w:jc w:val="both"/>
        <w:rPr>
          <w:rFonts w:ascii="Arial" w:hAnsi="Arial" w:cs="Arial"/>
          <w:color w:val="000000" w:themeColor="text1"/>
          <w:sz w:val="24"/>
          <w:szCs w:val="24"/>
        </w:rPr>
      </w:pPr>
      <w:r w:rsidRPr="00CA501D">
        <w:rPr>
          <w:rFonts w:ascii="Arial" w:hAnsi="Arial" w:cs="Arial"/>
          <w:color w:val="000000" w:themeColor="text1"/>
          <w:sz w:val="24"/>
          <w:szCs w:val="24"/>
        </w:rPr>
        <w:t>Onde, PL significa prefer</w:t>
      </w:r>
      <w:r>
        <w:rPr>
          <w:rFonts w:ascii="Arial" w:hAnsi="Arial" w:cs="Arial"/>
          <w:color w:val="000000" w:themeColor="text1"/>
          <w:sz w:val="24"/>
          <w:szCs w:val="24"/>
        </w:rPr>
        <w:t>ência pela liquidez e SEL a taxa Selic. As letras a, e c são parâmetros da variável Selic, enquanto as letras b e d são parâmetros da variável preferência pela liquidez.</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Segundo (GUJARATI; PORTER, 2011), as etapas para o teste de Granger são:</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Iniciando pela equação (3), deve-se regredir a PL contra todos os termos do PL defasados, sem incluir a </w:t>
      </w:r>
      <w:proofErr w:type="gramStart"/>
      <w:r>
        <w:rPr>
          <w:rFonts w:ascii="Arial" w:hAnsi="Arial" w:cs="Arial"/>
          <w:color w:val="000000" w:themeColor="text1"/>
          <w:sz w:val="24"/>
          <w:szCs w:val="24"/>
        </w:rPr>
        <w:t>as defasagem</w:t>
      </w:r>
      <w:proofErr w:type="gramEnd"/>
      <w:r>
        <w:rPr>
          <w:rFonts w:ascii="Arial" w:hAnsi="Arial" w:cs="Arial"/>
          <w:color w:val="000000" w:themeColor="text1"/>
          <w:sz w:val="24"/>
          <w:szCs w:val="24"/>
        </w:rPr>
        <w:t xml:space="preserve"> da taxa Selic (SEL). Dessa regressão obtém-se a soma dos quadrados do resíduo restrito </w:t>
      </w:r>
      <w:proofErr w:type="spellStart"/>
      <w:proofErr w:type="gramStart"/>
      <w:r>
        <w:rPr>
          <w:rFonts w:ascii="Arial" w:hAnsi="Arial" w:cs="Arial"/>
          <w:color w:val="000000" w:themeColor="text1"/>
          <w:sz w:val="24"/>
          <w:szCs w:val="24"/>
        </w:rPr>
        <w:t>SQR</w:t>
      </w:r>
      <w:r w:rsidRPr="00DE717B">
        <w:rPr>
          <w:rFonts w:ascii="Arial" w:hAnsi="Arial" w:cs="Arial"/>
          <w:color w:val="000000" w:themeColor="text1"/>
          <w:sz w:val="24"/>
          <w:szCs w:val="24"/>
          <w:vertAlign w:val="subscript"/>
        </w:rPr>
        <w:t>r</w:t>
      </w:r>
      <w:proofErr w:type="spellEnd"/>
      <w:proofErr w:type="gramEnd"/>
      <w:r>
        <w:rPr>
          <w:rFonts w:ascii="Arial" w:hAnsi="Arial" w:cs="Arial"/>
          <w:color w:val="000000" w:themeColor="text1"/>
          <w:sz w:val="24"/>
          <w:szCs w:val="24"/>
        </w:rPr>
        <w:t xml:space="preserve"> .</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Inicia-se uma nova regressão incluindo os termos de SEL defasados. Dessa regressão, obtém-se a soma dos quadrados dos resíduos irrestritos, </w:t>
      </w:r>
      <w:proofErr w:type="spellStart"/>
      <w:proofErr w:type="gramStart"/>
      <w:r>
        <w:rPr>
          <w:rFonts w:ascii="Arial" w:hAnsi="Arial" w:cs="Arial"/>
          <w:color w:val="000000" w:themeColor="text1"/>
          <w:sz w:val="24"/>
          <w:szCs w:val="24"/>
        </w:rPr>
        <w:t>SQR</w:t>
      </w:r>
      <w:r w:rsidRPr="00DE717B">
        <w:rPr>
          <w:rFonts w:ascii="Arial" w:hAnsi="Arial" w:cs="Arial"/>
          <w:color w:val="000000" w:themeColor="text1"/>
          <w:sz w:val="24"/>
          <w:szCs w:val="24"/>
          <w:vertAlign w:val="subscript"/>
        </w:rPr>
        <w:t>ur</w:t>
      </w:r>
      <w:proofErr w:type="spellEnd"/>
      <w:proofErr w:type="gramEnd"/>
      <w:r>
        <w:rPr>
          <w:rFonts w:ascii="Arial" w:hAnsi="Arial" w:cs="Arial"/>
          <w:color w:val="000000" w:themeColor="text1"/>
          <w:sz w:val="24"/>
          <w:szCs w:val="24"/>
          <w:vertAlign w:val="subscript"/>
        </w:rPr>
        <w:t>.</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Após a regressão deve-se testar a hipótese nula H</w:t>
      </w:r>
      <w:r w:rsidRPr="00CA501D">
        <w:rPr>
          <w:rFonts w:ascii="Arial" w:hAnsi="Arial" w:cs="Arial"/>
          <w:color w:val="000000" w:themeColor="text1"/>
          <w:sz w:val="24"/>
          <w:szCs w:val="24"/>
          <w:vertAlign w:val="subscript"/>
        </w:rPr>
        <w:t>0</w:t>
      </w:r>
      <w:r>
        <w:rPr>
          <w:rFonts w:ascii="Arial" w:hAnsi="Arial" w:cs="Arial"/>
          <w:color w:val="000000" w:themeColor="text1"/>
          <w:sz w:val="24"/>
          <w:szCs w:val="24"/>
        </w:rPr>
        <w:t xml:space="preserve"> que diz que a taxa Selic defasada não pertence à regressão.</w:t>
      </w:r>
    </w:p>
    <w:p w:rsidR="00543EA5" w:rsidRDefault="00543EA5" w:rsidP="00885B1A">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Para testar essa hipótese utiliza-se o teste F dado pela seguinte equação;</w:t>
      </w:r>
    </w:p>
    <w:p w:rsidR="00543EA5" w:rsidRDefault="00543EA5" w:rsidP="00885B1A">
      <w:pPr>
        <w:spacing w:after="0" w:line="360" w:lineRule="auto"/>
        <w:jc w:val="both"/>
        <w:rPr>
          <w:rFonts w:ascii="Arial" w:eastAsiaTheme="minorEastAsia" w:hAnsi="Arial" w:cs="Arial"/>
          <w:color w:val="000000" w:themeColor="text1"/>
          <w:sz w:val="28"/>
          <w:szCs w:val="28"/>
        </w:rPr>
      </w:pPr>
      <w:r>
        <w:rPr>
          <w:rFonts w:ascii="Arial" w:hAnsi="Arial" w:cs="Arial"/>
          <w:color w:val="000000" w:themeColor="text1"/>
          <w:sz w:val="24"/>
          <w:szCs w:val="24"/>
        </w:rPr>
        <w:t xml:space="preserve">                                        (5)       </w:t>
      </w:r>
      <m:oMath>
        <m:r>
          <w:rPr>
            <w:rFonts w:ascii="Cambria Math" w:hAnsi="Cambria Math" w:cs="Cambria Math"/>
            <w:color w:val="000000" w:themeColor="text1"/>
            <w:sz w:val="28"/>
            <w:szCs w:val="28"/>
          </w:rPr>
          <m:t>F</m:t>
        </m:r>
        <m:r>
          <m:rPr>
            <m:sty m:val="p"/>
          </m:rPr>
          <w:rPr>
            <w:rFonts w:ascii="Cambria Math" w:hAnsi="Cambria Math" w:cs="Cambria Math"/>
            <w:color w:val="000000" w:themeColor="text1"/>
            <w:sz w:val="28"/>
            <w:szCs w:val="28"/>
          </w:rPr>
          <m:t>=</m:t>
        </m:r>
        <m:f>
          <m:fPr>
            <m:ctrlPr>
              <w:rPr>
                <w:rFonts w:ascii="Cambria Math" w:hAnsi="Cambria Math" w:cs="Arial"/>
                <w:color w:val="000000" w:themeColor="text1"/>
                <w:sz w:val="28"/>
                <w:szCs w:val="28"/>
              </w:rPr>
            </m:ctrlPr>
          </m:fPr>
          <m:num>
            <m:f>
              <m:fPr>
                <m:ctrlPr>
                  <w:rPr>
                    <w:rFonts w:ascii="Cambria Math" w:hAnsi="Cambria Math" w:cs="Cambria Math"/>
                    <w:color w:val="000000" w:themeColor="text1"/>
                    <w:sz w:val="28"/>
                    <w:szCs w:val="28"/>
                  </w:rPr>
                </m:ctrlPr>
              </m:fPr>
              <m:num>
                <m:r>
                  <m:rPr>
                    <m:sty m:val="p"/>
                  </m:rPr>
                  <w:rPr>
                    <w:rFonts w:ascii="Cambria Math" w:hAnsi="Cambria Math" w:cs="Cambria Math"/>
                    <w:color w:val="000000" w:themeColor="text1"/>
                    <w:sz w:val="28"/>
                    <w:szCs w:val="28"/>
                  </w:rPr>
                  <m:t>SQRr-SQRur</m:t>
                </m:r>
              </m:num>
              <m:den>
                <m:r>
                  <w:rPr>
                    <w:rFonts w:ascii="Cambria Math" w:hAnsi="Cambria Math" w:cs="Cambria Math"/>
                    <w:color w:val="000000" w:themeColor="text1"/>
                    <w:sz w:val="28"/>
                    <w:szCs w:val="28"/>
                  </w:rPr>
                  <m:t>M</m:t>
                </m:r>
              </m:den>
            </m:f>
          </m:num>
          <m:den>
            <m:f>
              <m:fPr>
                <m:ctrlPr>
                  <w:rPr>
                    <w:rFonts w:ascii="Cambria Math" w:hAnsi="Cambria Math" w:cs="Cambria Math"/>
                    <w:color w:val="000000" w:themeColor="text1"/>
                    <w:sz w:val="28"/>
                    <w:szCs w:val="28"/>
                  </w:rPr>
                </m:ctrlPr>
              </m:fPr>
              <m:num>
                <m:r>
                  <m:rPr>
                    <m:sty m:val="p"/>
                  </m:rPr>
                  <w:rPr>
                    <w:rFonts w:ascii="Cambria Math" w:hAnsi="Cambria Math" w:cs="Cambria Math"/>
                    <w:color w:val="000000" w:themeColor="text1"/>
                    <w:sz w:val="28"/>
                    <w:szCs w:val="28"/>
                  </w:rPr>
                  <m:t>SQRur</m:t>
                </m:r>
              </m:num>
              <m:den>
                <m:r>
                  <m:rPr>
                    <m:sty m:val="p"/>
                  </m:rPr>
                  <w:rPr>
                    <w:rFonts w:ascii="Cambria Math" w:hAnsi="Cambria Math" w:cs="Cambria Math"/>
                    <w:color w:val="000000" w:themeColor="text1"/>
                    <w:sz w:val="28"/>
                    <w:szCs w:val="28"/>
                  </w:rPr>
                  <m:t>n-k</m:t>
                </m:r>
              </m:den>
            </m:f>
          </m:den>
        </m:f>
      </m:oMath>
    </w:p>
    <w:p w:rsidR="00543EA5" w:rsidRDefault="00543EA5" w:rsidP="00885B1A">
      <w:pPr>
        <w:spacing w:after="0" w:line="360" w:lineRule="auto"/>
        <w:ind w:firstLine="708"/>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lastRenderedPageBreak/>
        <w:t xml:space="preserve">Que segue a distribuição F com m e (n-k) graus de liberdade. Sendo que, m são os graus de defasagens de SEL e k o número de parâmetros estimados na regressão. </w:t>
      </w:r>
    </w:p>
    <w:p w:rsidR="00543EA5" w:rsidRDefault="00543EA5" w:rsidP="00885B1A">
      <w:pPr>
        <w:spacing w:after="0" w:line="360" w:lineRule="auto"/>
        <w:ind w:firstLine="708"/>
        <w:jc w:val="both"/>
        <w:rPr>
          <w:rFonts w:ascii="Arial" w:eastAsiaTheme="minorEastAsia" w:hAnsi="Arial" w:cs="Arial"/>
          <w:color w:val="000000" w:themeColor="text1"/>
          <w:sz w:val="24"/>
          <w:szCs w:val="24"/>
        </w:rPr>
      </w:pPr>
      <w:r>
        <w:rPr>
          <w:rFonts w:ascii="Arial" w:eastAsiaTheme="minorEastAsia" w:hAnsi="Arial" w:cs="Arial"/>
          <w:color w:val="000000" w:themeColor="text1"/>
          <w:sz w:val="24"/>
          <w:szCs w:val="24"/>
        </w:rPr>
        <w:t>Se o valor de F for maior que o valor crítico de F ao nível de significância escolhido rejeita-se a hipótese nula, e nesse caso dizemos que SEL causa PL.</w:t>
      </w:r>
    </w:p>
    <w:p w:rsidR="00543EA5" w:rsidRPr="008F15C0" w:rsidRDefault="00543EA5" w:rsidP="00885B1A">
      <w:pPr>
        <w:spacing w:after="0" w:line="360" w:lineRule="auto"/>
        <w:ind w:firstLine="708"/>
        <w:jc w:val="both"/>
        <w:rPr>
          <w:rFonts w:ascii="Arial" w:hAnsi="Arial" w:cs="Arial"/>
          <w:color w:val="000000" w:themeColor="text1"/>
          <w:sz w:val="24"/>
          <w:szCs w:val="24"/>
        </w:rPr>
      </w:pPr>
      <w:r>
        <w:rPr>
          <w:rFonts w:ascii="Arial" w:eastAsiaTheme="minorEastAsia" w:hAnsi="Arial" w:cs="Arial"/>
          <w:color w:val="000000" w:themeColor="text1"/>
          <w:sz w:val="24"/>
          <w:szCs w:val="24"/>
        </w:rPr>
        <w:t>Todas essas etapas podem ser repetidas para testar a equação (4).</w:t>
      </w:r>
    </w:p>
    <w:p w:rsidR="00543EA5" w:rsidRPr="00383C51" w:rsidRDefault="00543EA5" w:rsidP="00885B1A">
      <w:pPr>
        <w:spacing w:after="0" w:line="360" w:lineRule="auto"/>
        <w:rPr>
          <w:rFonts w:ascii="Arial" w:hAnsi="Arial" w:cs="Arial"/>
          <w:sz w:val="24"/>
          <w:szCs w:val="24"/>
        </w:rPr>
      </w:pPr>
    </w:p>
    <w:p w:rsidR="00543EA5" w:rsidRPr="000B4FE9" w:rsidRDefault="00543EA5" w:rsidP="00885B1A">
      <w:pPr>
        <w:pStyle w:val="Ttulo2"/>
      </w:pPr>
      <w:bookmarkStart w:id="13" w:name="_Toc484350742"/>
      <w:proofErr w:type="spellStart"/>
      <w:r w:rsidRPr="000B4FE9">
        <w:t>Estacionaridade</w:t>
      </w:r>
      <w:bookmarkEnd w:id="13"/>
      <w:proofErr w:type="spellEnd"/>
    </w:p>
    <w:p w:rsidR="00543EA5" w:rsidRDefault="00543EA5" w:rsidP="00885B1A">
      <w:pPr>
        <w:spacing w:after="0" w:line="360" w:lineRule="auto"/>
        <w:rPr>
          <w:rFonts w:ascii="Arial" w:hAnsi="Arial" w:cs="Arial"/>
          <w:sz w:val="24"/>
          <w:szCs w:val="24"/>
        </w:rPr>
      </w:pPr>
    </w:p>
    <w:p w:rsidR="00543EA5" w:rsidRDefault="00543EA5" w:rsidP="00885B1A">
      <w:pPr>
        <w:spacing w:after="0" w:line="360" w:lineRule="auto"/>
        <w:ind w:firstLine="708"/>
        <w:jc w:val="both"/>
        <w:rPr>
          <w:rFonts w:ascii="Arial" w:hAnsi="Arial" w:cs="Arial"/>
          <w:sz w:val="24"/>
          <w:szCs w:val="24"/>
        </w:rPr>
      </w:pPr>
      <w:r>
        <w:rPr>
          <w:rFonts w:ascii="Arial" w:hAnsi="Arial" w:cs="Arial"/>
          <w:sz w:val="24"/>
          <w:szCs w:val="24"/>
        </w:rPr>
        <w:t xml:space="preserve">Quando se analisam séries temporais, deve-se sempre tomar cuidado no que se refere </w:t>
      </w:r>
      <w:proofErr w:type="gramStart"/>
      <w:r>
        <w:rPr>
          <w:rFonts w:ascii="Arial" w:hAnsi="Arial" w:cs="Arial"/>
          <w:sz w:val="24"/>
          <w:szCs w:val="24"/>
        </w:rPr>
        <w:t>a</w:t>
      </w:r>
      <w:proofErr w:type="gramEnd"/>
      <w:r>
        <w:rPr>
          <w:rFonts w:ascii="Arial" w:hAnsi="Arial" w:cs="Arial"/>
          <w:sz w:val="24"/>
          <w:szCs w:val="24"/>
        </w:rPr>
        <w:t xml:space="preserve"> </w:t>
      </w:r>
      <w:proofErr w:type="spellStart"/>
      <w:r>
        <w:rPr>
          <w:rFonts w:ascii="Arial" w:hAnsi="Arial" w:cs="Arial"/>
          <w:sz w:val="24"/>
          <w:szCs w:val="24"/>
        </w:rPr>
        <w:t>estacionaridade</w:t>
      </w:r>
      <w:proofErr w:type="spellEnd"/>
      <w:r>
        <w:rPr>
          <w:rFonts w:ascii="Arial" w:hAnsi="Arial" w:cs="Arial"/>
          <w:sz w:val="24"/>
          <w:szCs w:val="24"/>
        </w:rPr>
        <w:t xml:space="preserve">, pois, o uso de séries não estacionárias pode acarretar em regressões espúrias, ou seja, regressões que apontam relações entre variáveis que não são reais. Assim, para ser considerada estacionária “a série deve apresentar média, variância e </w:t>
      </w:r>
      <w:proofErr w:type="spellStart"/>
      <w:r>
        <w:rPr>
          <w:rFonts w:ascii="Arial" w:hAnsi="Arial" w:cs="Arial"/>
          <w:sz w:val="24"/>
          <w:szCs w:val="24"/>
        </w:rPr>
        <w:t>autocorrelação</w:t>
      </w:r>
      <w:proofErr w:type="spellEnd"/>
      <w:r>
        <w:rPr>
          <w:rFonts w:ascii="Arial" w:hAnsi="Arial" w:cs="Arial"/>
          <w:sz w:val="24"/>
          <w:szCs w:val="24"/>
        </w:rPr>
        <w:t xml:space="preserve"> constantes ao longo do tempo” (BUSCARIOLLI; EMERICK; p. 80, 2011).</w:t>
      </w:r>
    </w:p>
    <w:p w:rsidR="00543EA5" w:rsidRDefault="00543EA5" w:rsidP="00885B1A">
      <w:pPr>
        <w:spacing w:after="0" w:line="360" w:lineRule="auto"/>
        <w:jc w:val="both"/>
        <w:rPr>
          <w:rFonts w:ascii="Arial" w:hAnsi="Arial" w:cs="Arial"/>
          <w:sz w:val="24"/>
          <w:szCs w:val="24"/>
        </w:rPr>
      </w:pPr>
      <w:r>
        <w:rPr>
          <w:rFonts w:ascii="Arial" w:hAnsi="Arial" w:cs="Arial"/>
          <w:sz w:val="24"/>
          <w:szCs w:val="24"/>
        </w:rPr>
        <w:tab/>
        <w:t xml:space="preserve">Para saber se a série é ou não </w:t>
      </w:r>
      <w:proofErr w:type="spellStart"/>
      <w:r>
        <w:rPr>
          <w:rFonts w:ascii="Arial" w:hAnsi="Arial" w:cs="Arial"/>
          <w:sz w:val="24"/>
          <w:szCs w:val="24"/>
        </w:rPr>
        <w:t>esatacionária</w:t>
      </w:r>
      <w:proofErr w:type="spellEnd"/>
      <w:r>
        <w:rPr>
          <w:rFonts w:ascii="Arial" w:hAnsi="Arial" w:cs="Arial"/>
          <w:sz w:val="24"/>
          <w:szCs w:val="24"/>
        </w:rPr>
        <w:t xml:space="preserve"> utiliza-se de testes de raiz unitária e o teste utilizado neste estudo foi o </w:t>
      </w:r>
      <w:proofErr w:type="spellStart"/>
      <w:r>
        <w:rPr>
          <w:rFonts w:ascii="Arial" w:hAnsi="Arial" w:cs="Arial"/>
          <w:sz w:val="24"/>
          <w:szCs w:val="24"/>
        </w:rPr>
        <w:t>Dickey-Fuller</w:t>
      </w:r>
      <w:proofErr w:type="spellEnd"/>
      <w:r>
        <w:rPr>
          <w:rFonts w:ascii="Arial" w:hAnsi="Arial" w:cs="Arial"/>
          <w:sz w:val="24"/>
          <w:szCs w:val="24"/>
        </w:rPr>
        <w:t xml:space="preserve"> Aumentado – ADF, desenvolvido por </w:t>
      </w:r>
      <w:proofErr w:type="spellStart"/>
      <w:r>
        <w:rPr>
          <w:rFonts w:ascii="Arial" w:hAnsi="Arial" w:cs="Arial"/>
          <w:sz w:val="24"/>
          <w:szCs w:val="24"/>
        </w:rPr>
        <w:t>Dickey</w:t>
      </w:r>
      <w:proofErr w:type="spellEnd"/>
      <w:r>
        <w:rPr>
          <w:rFonts w:ascii="Arial" w:hAnsi="Arial" w:cs="Arial"/>
          <w:sz w:val="24"/>
          <w:szCs w:val="24"/>
        </w:rPr>
        <w:t xml:space="preserve"> e </w:t>
      </w:r>
      <w:proofErr w:type="spellStart"/>
      <w:r>
        <w:rPr>
          <w:rFonts w:ascii="Arial" w:hAnsi="Arial" w:cs="Arial"/>
          <w:sz w:val="24"/>
          <w:szCs w:val="24"/>
        </w:rPr>
        <w:t>Fuller</w:t>
      </w:r>
      <w:proofErr w:type="spellEnd"/>
      <w:r>
        <w:rPr>
          <w:rFonts w:ascii="Arial" w:hAnsi="Arial" w:cs="Arial"/>
          <w:sz w:val="24"/>
          <w:szCs w:val="24"/>
        </w:rPr>
        <w:t xml:space="preserve"> (1981) e tem a seguinte expressão:</w:t>
      </w:r>
    </w:p>
    <w:p w:rsidR="00543EA5" w:rsidRDefault="00543EA5" w:rsidP="00885B1A">
      <w:pPr>
        <w:spacing w:after="0" w:line="360" w:lineRule="auto"/>
        <w:jc w:val="center"/>
        <w:rPr>
          <w:rFonts w:ascii="Arial" w:eastAsiaTheme="minorEastAsia" w:hAnsi="Arial" w:cs="Arial"/>
          <w:sz w:val="24"/>
          <w:szCs w:val="24"/>
          <w:vertAlign w:val="subscript"/>
        </w:rPr>
      </w:pPr>
      <w:r>
        <w:rPr>
          <w:rFonts w:ascii="Arial" w:hAnsi="Arial" w:cs="Arial"/>
          <w:sz w:val="24"/>
          <w:szCs w:val="24"/>
        </w:rPr>
        <w:t>∆</w:t>
      </w:r>
      <w:proofErr w:type="spellStart"/>
      <w:r>
        <w:rPr>
          <w:rFonts w:ascii="Arial" w:hAnsi="Arial" w:cs="Arial"/>
          <w:sz w:val="24"/>
          <w:szCs w:val="24"/>
        </w:rPr>
        <w:t>Y</w:t>
      </w:r>
      <w:r w:rsidRPr="00383C51">
        <w:rPr>
          <w:rFonts w:ascii="Arial" w:hAnsi="Arial" w:cs="Arial"/>
          <w:sz w:val="24"/>
          <w:szCs w:val="24"/>
          <w:vertAlign w:val="subscript"/>
        </w:rPr>
        <w:t>t</w:t>
      </w:r>
      <w:proofErr w:type="spellEnd"/>
      <w:r>
        <w:rPr>
          <w:rFonts w:ascii="Arial" w:hAnsi="Arial" w:cs="Arial"/>
          <w:sz w:val="24"/>
          <w:szCs w:val="24"/>
          <w:vertAlign w:val="subscript"/>
        </w:rPr>
        <w:t xml:space="preserve"> </w:t>
      </w:r>
      <w:r>
        <w:rPr>
          <w:rFonts w:ascii="Arial" w:hAnsi="Arial" w:cs="Arial"/>
          <w:sz w:val="24"/>
          <w:szCs w:val="24"/>
        </w:rPr>
        <w:t>= β + β</w:t>
      </w:r>
      <w:proofErr w:type="gramStart"/>
      <w:r w:rsidRPr="00383C51">
        <w:rPr>
          <w:rFonts w:ascii="Arial" w:hAnsi="Arial" w:cs="Arial"/>
          <w:sz w:val="24"/>
          <w:szCs w:val="24"/>
          <w:vertAlign w:val="subscript"/>
        </w:rPr>
        <w:t>1</w:t>
      </w:r>
      <w:r>
        <w:rPr>
          <w:rFonts w:ascii="Arial" w:hAnsi="Arial" w:cs="Arial"/>
          <w:sz w:val="24"/>
          <w:szCs w:val="24"/>
        </w:rPr>
        <w:t>t</w:t>
      </w:r>
      <w:proofErr w:type="gramEnd"/>
      <w:r>
        <w:rPr>
          <w:rFonts w:ascii="Arial" w:hAnsi="Arial" w:cs="Arial"/>
          <w:sz w:val="24"/>
          <w:szCs w:val="24"/>
        </w:rPr>
        <w:t xml:space="preserve"> + αY</w:t>
      </w:r>
      <w:r w:rsidRPr="00383C51">
        <w:rPr>
          <w:rFonts w:ascii="Arial" w:hAnsi="Arial" w:cs="Arial"/>
          <w:sz w:val="24"/>
          <w:szCs w:val="24"/>
          <w:vertAlign w:val="subscript"/>
        </w:rPr>
        <w:t>t-1</w:t>
      </w:r>
      <w:r>
        <w:rPr>
          <w:rFonts w:ascii="Arial" w:hAnsi="Arial" w:cs="Arial"/>
          <w:sz w:val="24"/>
          <w:szCs w:val="24"/>
        </w:rPr>
        <w:t xml:space="preserve"> + </w:t>
      </w:r>
      <m:oMath>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sSub>
              <m:sSubPr>
                <m:ctrlPr>
                  <w:rPr>
                    <w:rFonts w:ascii="Cambria Math" w:hAnsi="Cambria Math" w:cs="Arial"/>
                    <w:i/>
                    <w:sz w:val="24"/>
                    <w:szCs w:val="24"/>
                  </w:rPr>
                </m:ctrlPr>
              </m:sSubPr>
              <m:e>
                <m:r>
                  <w:rPr>
                    <w:rFonts w:ascii="Cambria Math" w:hAnsi="Cambria Math" w:cs="Arial"/>
                    <w:sz w:val="24"/>
                    <w:szCs w:val="24"/>
                  </w:rPr>
                  <m:t>γ</m:t>
                </m:r>
              </m:e>
              <m:sub>
                <m:r>
                  <w:rPr>
                    <w:rFonts w:ascii="Cambria Math" w:hAnsi="Cambria Math" w:cs="Arial"/>
                    <w:sz w:val="24"/>
                    <w:szCs w:val="24"/>
                  </w:rPr>
                  <m:t>i</m:t>
                </m:r>
              </m:sub>
            </m:sSub>
          </m:e>
        </m:nary>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t-1</m:t>
            </m:r>
          </m:sub>
        </m:sSub>
      </m:oMath>
      <w:r>
        <w:rPr>
          <w:rFonts w:ascii="Arial" w:eastAsiaTheme="minorEastAsia" w:hAnsi="Arial" w:cs="Arial"/>
          <w:sz w:val="24"/>
          <w:szCs w:val="24"/>
        </w:rPr>
        <w:t xml:space="preserve"> + U</w:t>
      </w:r>
      <w:r w:rsidRPr="00383C51">
        <w:rPr>
          <w:rFonts w:ascii="Arial" w:eastAsiaTheme="minorEastAsia" w:hAnsi="Arial" w:cs="Arial"/>
          <w:sz w:val="24"/>
          <w:szCs w:val="24"/>
          <w:vertAlign w:val="subscript"/>
        </w:rPr>
        <w:t>t</w:t>
      </w:r>
    </w:p>
    <w:p w:rsidR="00543EA5" w:rsidRDefault="00543EA5" w:rsidP="00885B1A">
      <w:p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Em que </w:t>
      </w:r>
      <w:r w:rsidRPr="00383C51">
        <w:rPr>
          <w:rFonts w:ascii="Arial" w:eastAsiaTheme="minorEastAsia" w:hAnsi="Arial" w:cs="Arial"/>
          <w:sz w:val="24"/>
          <w:szCs w:val="24"/>
        </w:rPr>
        <w:t>U</w:t>
      </w:r>
      <w:r w:rsidRPr="00383C51">
        <w:rPr>
          <w:rFonts w:ascii="Arial" w:eastAsiaTheme="minorEastAsia" w:hAnsi="Arial" w:cs="Arial"/>
          <w:sz w:val="24"/>
          <w:szCs w:val="24"/>
          <w:vertAlign w:val="subscript"/>
        </w:rPr>
        <w:t>t</w:t>
      </w:r>
      <w:r>
        <w:rPr>
          <w:rFonts w:ascii="Arial" w:eastAsiaTheme="minorEastAsia" w:hAnsi="Arial" w:cs="Arial"/>
          <w:sz w:val="24"/>
          <w:szCs w:val="24"/>
          <w:vertAlign w:val="subscript"/>
        </w:rPr>
        <w:t xml:space="preserve"> </w:t>
      </w:r>
      <w:r>
        <w:rPr>
          <w:rFonts w:ascii="Arial" w:eastAsiaTheme="minorEastAsia" w:hAnsi="Arial" w:cs="Arial"/>
          <w:sz w:val="24"/>
          <w:szCs w:val="24"/>
        </w:rPr>
        <w:t>é um termo de erro ruído branco puro,  ∆Y</w:t>
      </w:r>
      <w:r w:rsidRPr="00383C51">
        <w:rPr>
          <w:rFonts w:ascii="Arial" w:eastAsiaTheme="minorEastAsia" w:hAnsi="Arial" w:cs="Arial"/>
          <w:sz w:val="24"/>
          <w:szCs w:val="24"/>
          <w:vertAlign w:val="subscript"/>
        </w:rPr>
        <w:t>t-1</w:t>
      </w:r>
      <w:r>
        <w:rPr>
          <w:rFonts w:ascii="Arial" w:eastAsiaTheme="minorEastAsia" w:hAnsi="Arial" w:cs="Arial"/>
          <w:sz w:val="24"/>
          <w:szCs w:val="24"/>
        </w:rPr>
        <w:t xml:space="preserve"> = (Y</w:t>
      </w:r>
      <w:r w:rsidRPr="00383C51">
        <w:rPr>
          <w:rFonts w:ascii="Arial" w:eastAsiaTheme="minorEastAsia" w:hAnsi="Arial" w:cs="Arial"/>
          <w:sz w:val="24"/>
          <w:szCs w:val="24"/>
          <w:vertAlign w:val="subscript"/>
        </w:rPr>
        <w:t>t-1</w:t>
      </w:r>
      <w:r>
        <w:rPr>
          <w:rFonts w:ascii="Arial" w:eastAsiaTheme="minorEastAsia" w:hAnsi="Arial" w:cs="Arial"/>
          <w:sz w:val="24"/>
          <w:szCs w:val="24"/>
        </w:rPr>
        <w:t xml:space="preserve"> – Y</w:t>
      </w:r>
      <w:r w:rsidRPr="00383C51">
        <w:rPr>
          <w:rFonts w:ascii="Arial" w:eastAsiaTheme="minorEastAsia" w:hAnsi="Arial" w:cs="Arial"/>
          <w:sz w:val="24"/>
          <w:szCs w:val="24"/>
          <w:vertAlign w:val="subscript"/>
        </w:rPr>
        <w:t>t-2</w:t>
      </w:r>
      <w:r>
        <w:rPr>
          <w:rFonts w:ascii="Arial" w:eastAsiaTheme="minorEastAsia" w:hAnsi="Arial" w:cs="Arial"/>
          <w:sz w:val="24"/>
          <w:szCs w:val="24"/>
        </w:rPr>
        <w:t>) o operador de diferença, β é o intercepto, β</w:t>
      </w:r>
      <w:proofErr w:type="gramStart"/>
      <w:r w:rsidRPr="00383C51">
        <w:rPr>
          <w:rFonts w:ascii="Arial" w:eastAsiaTheme="minorEastAsia" w:hAnsi="Arial" w:cs="Arial"/>
          <w:sz w:val="24"/>
          <w:szCs w:val="24"/>
          <w:vertAlign w:val="subscript"/>
        </w:rPr>
        <w:t>1</w:t>
      </w:r>
      <w:proofErr w:type="gramEnd"/>
      <w:r>
        <w:rPr>
          <w:rFonts w:ascii="Arial" w:eastAsiaTheme="minorEastAsia" w:hAnsi="Arial" w:cs="Arial"/>
          <w:sz w:val="24"/>
          <w:szCs w:val="24"/>
        </w:rPr>
        <w:t xml:space="preserve"> é a tendência. O parâmetro de interesse nas regressões é </w:t>
      </w:r>
      <w:r w:rsidRPr="00383C51">
        <w:rPr>
          <w:rFonts w:ascii="Arial" w:eastAsiaTheme="minorEastAsia" w:hAnsi="Arial" w:cs="Arial"/>
          <w:b/>
          <w:sz w:val="24"/>
          <w:szCs w:val="24"/>
        </w:rPr>
        <w:t>α</w:t>
      </w:r>
      <w:r w:rsidRPr="00383C51">
        <w:rPr>
          <w:rFonts w:ascii="Arial" w:eastAsiaTheme="minorEastAsia" w:hAnsi="Arial" w:cs="Arial"/>
          <w:sz w:val="24"/>
          <w:szCs w:val="24"/>
        </w:rPr>
        <w:t>,</w:t>
      </w:r>
      <w:r>
        <w:rPr>
          <w:rFonts w:ascii="Arial" w:eastAsiaTheme="minorEastAsia" w:hAnsi="Arial" w:cs="Arial"/>
          <w:sz w:val="24"/>
          <w:szCs w:val="24"/>
        </w:rPr>
        <w:t xml:space="preserve"> sendo que, α = 0 a série contém raiz unitária. Neste teste verifica-se o resultado da estatística T com os valores apropriados reportados por </w:t>
      </w:r>
      <w:proofErr w:type="spellStart"/>
      <w:r>
        <w:rPr>
          <w:rFonts w:ascii="Arial" w:eastAsiaTheme="minorEastAsia" w:hAnsi="Arial" w:cs="Arial"/>
          <w:sz w:val="24"/>
          <w:szCs w:val="24"/>
        </w:rPr>
        <w:t>Dickey</w:t>
      </w:r>
      <w:proofErr w:type="spellEnd"/>
      <w:r>
        <w:rPr>
          <w:rFonts w:ascii="Arial" w:eastAsiaTheme="minorEastAsia" w:hAnsi="Arial" w:cs="Arial"/>
          <w:sz w:val="24"/>
          <w:szCs w:val="24"/>
        </w:rPr>
        <w:t xml:space="preserve">- </w:t>
      </w:r>
      <w:proofErr w:type="spellStart"/>
      <w:r>
        <w:rPr>
          <w:rFonts w:ascii="Arial" w:eastAsiaTheme="minorEastAsia" w:hAnsi="Arial" w:cs="Arial"/>
          <w:sz w:val="24"/>
          <w:szCs w:val="24"/>
        </w:rPr>
        <w:t>Fuller</w:t>
      </w:r>
      <w:proofErr w:type="spellEnd"/>
      <w:r>
        <w:rPr>
          <w:rFonts w:ascii="Arial" w:eastAsiaTheme="minorEastAsia" w:hAnsi="Arial" w:cs="Arial"/>
          <w:sz w:val="24"/>
          <w:szCs w:val="24"/>
        </w:rPr>
        <w:t xml:space="preserve">, para determinar se rejeita ou aceita a hipótese nula α = 0. A hipótese nula será rejeitada se o valor calculado da estatística T for maior que o valor crítico de </w:t>
      </w:r>
      <w:proofErr w:type="spellStart"/>
      <w:r>
        <w:rPr>
          <w:rFonts w:ascii="Arial" w:eastAsiaTheme="minorEastAsia" w:hAnsi="Arial" w:cs="Arial"/>
          <w:sz w:val="24"/>
          <w:szCs w:val="24"/>
        </w:rPr>
        <w:t>Dickey-Fuller</w:t>
      </w:r>
      <w:proofErr w:type="spellEnd"/>
      <w:r>
        <w:rPr>
          <w:rFonts w:ascii="Arial" w:eastAsiaTheme="minorEastAsia" w:hAnsi="Arial" w:cs="Arial"/>
          <w:sz w:val="24"/>
          <w:szCs w:val="24"/>
        </w:rPr>
        <w:t xml:space="preserve">, denotando que a série é estacionária; caso contrário </w:t>
      </w:r>
      <w:proofErr w:type="gramStart"/>
      <w:r>
        <w:rPr>
          <w:rFonts w:ascii="Arial" w:eastAsiaTheme="minorEastAsia" w:hAnsi="Arial" w:cs="Arial"/>
          <w:sz w:val="24"/>
          <w:szCs w:val="24"/>
        </w:rPr>
        <w:t>a</w:t>
      </w:r>
      <w:proofErr w:type="gramEnd"/>
      <w:r>
        <w:rPr>
          <w:rFonts w:ascii="Arial" w:eastAsiaTheme="minorEastAsia" w:hAnsi="Arial" w:cs="Arial"/>
          <w:sz w:val="24"/>
          <w:szCs w:val="24"/>
        </w:rPr>
        <w:t xml:space="preserve"> série se mostra não estacionária.</w:t>
      </w:r>
    </w:p>
    <w:p w:rsidR="00D84CB2" w:rsidRDefault="00D84CB2" w:rsidP="00885B1A">
      <w:pPr>
        <w:spacing w:after="0" w:line="360" w:lineRule="auto"/>
        <w:jc w:val="both"/>
        <w:rPr>
          <w:rFonts w:ascii="Arial" w:hAnsi="Arial" w:cs="Arial"/>
          <w:color w:val="000000" w:themeColor="text1"/>
          <w:sz w:val="24"/>
          <w:szCs w:val="24"/>
        </w:rPr>
      </w:pPr>
    </w:p>
    <w:p w:rsidR="00543EA5" w:rsidRDefault="00543EA5" w:rsidP="00AE29FE">
      <w:pPr>
        <w:spacing w:line="360" w:lineRule="auto"/>
        <w:jc w:val="both"/>
        <w:rPr>
          <w:rFonts w:ascii="Arial" w:hAnsi="Arial" w:cs="Arial"/>
          <w:color w:val="000000" w:themeColor="text1"/>
          <w:sz w:val="24"/>
          <w:szCs w:val="24"/>
        </w:rPr>
      </w:pPr>
    </w:p>
    <w:p w:rsidR="00543EA5" w:rsidRDefault="00543EA5" w:rsidP="00AE29FE">
      <w:pPr>
        <w:spacing w:line="360" w:lineRule="auto"/>
        <w:jc w:val="both"/>
        <w:rPr>
          <w:rFonts w:ascii="Arial" w:hAnsi="Arial" w:cs="Arial"/>
          <w:color w:val="000000" w:themeColor="text1"/>
          <w:sz w:val="24"/>
          <w:szCs w:val="24"/>
        </w:rPr>
      </w:pPr>
    </w:p>
    <w:p w:rsidR="00885B1A" w:rsidRDefault="00885B1A" w:rsidP="00AE29FE">
      <w:pPr>
        <w:spacing w:line="360" w:lineRule="auto"/>
        <w:jc w:val="both"/>
        <w:rPr>
          <w:rFonts w:ascii="Arial" w:hAnsi="Arial" w:cs="Arial"/>
          <w:color w:val="000000" w:themeColor="text1"/>
          <w:sz w:val="24"/>
          <w:szCs w:val="24"/>
        </w:rPr>
      </w:pPr>
    </w:p>
    <w:p w:rsidR="00D84CB2" w:rsidRDefault="00D84CB2" w:rsidP="00D84CB2">
      <w:pPr>
        <w:pStyle w:val="Ttulo1"/>
      </w:pPr>
      <w:bookmarkStart w:id="14" w:name="_Toc484350743"/>
      <w:r w:rsidRPr="00EF6806">
        <w:lastRenderedPageBreak/>
        <w:t>Comportamento Bancário</w:t>
      </w:r>
      <w:r w:rsidR="00886C21">
        <w:t xml:space="preserve"> e suas peculiaridades</w:t>
      </w:r>
      <w:bookmarkEnd w:id="14"/>
    </w:p>
    <w:p w:rsidR="00D84CB2" w:rsidRDefault="00D84CB2" w:rsidP="00D84CB2">
      <w:pPr>
        <w:rPr>
          <w:rFonts w:ascii="Arial" w:hAnsi="Arial" w:cs="Arial"/>
          <w:sz w:val="24"/>
          <w:szCs w:val="24"/>
        </w:rPr>
      </w:pPr>
    </w:p>
    <w:p w:rsidR="00D84CB2" w:rsidRDefault="00D84CB2" w:rsidP="000A3253">
      <w:pPr>
        <w:spacing w:after="0" w:line="360" w:lineRule="auto"/>
        <w:ind w:firstLine="708"/>
        <w:jc w:val="both"/>
        <w:rPr>
          <w:rFonts w:ascii="Arial" w:hAnsi="Arial" w:cs="Arial"/>
          <w:color w:val="FF0000"/>
          <w:sz w:val="24"/>
          <w:szCs w:val="24"/>
        </w:rPr>
      </w:pPr>
      <w:r>
        <w:rPr>
          <w:rFonts w:ascii="Arial" w:hAnsi="Arial" w:cs="Arial"/>
          <w:sz w:val="24"/>
          <w:szCs w:val="24"/>
        </w:rPr>
        <w:t xml:space="preserve">Este capítulo tem como objetivo demonstrar o comportamento dos cinco maiores bancos do país: Banco do Brasil, Itaú, Bradesco, Caixa Econômica Federal (CEF) e Santander. A escolha dessa amostra se dá devido a relevâncias dessas instituições cujo tamanho de seus ativos somados ultrapassa 80% de todos ativos do sistema bancário. (ALVARENGA, 2015) </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Para auxiliar na formação das análises serão utilizados dados dos balancetes trimestrais das instituições citadas anteriormente durante o primeiro trimestre de 2000 até o último trimestre de 2016. A escolha do período se deve a vigência do regime de metas de inflação que se inicia formalmente em 1° de julho de 1999. Entretanto, para fins de padronização, os dados das séries analisadas foram </w:t>
      </w:r>
      <w:proofErr w:type="gramStart"/>
      <w:r>
        <w:rPr>
          <w:rFonts w:ascii="Arial" w:hAnsi="Arial" w:cs="Arial"/>
          <w:sz w:val="24"/>
          <w:szCs w:val="24"/>
        </w:rPr>
        <w:t>selecionados a partir do ano calendário seguinte</w:t>
      </w:r>
      <w:proofErr w:type="gramEnd"/>
      <w:r>
        <w:rPr>
          <w:rFonts w:ascii="Arial" w:hAnsi="Arial" w:cs="Arial"/>
          <w:sz w:val="24"/>
          <w:szCs w:val="24"/>
        </w:rPr>
        <w:t>, ou seja, a partir do primeiro trimestre do ano 2000.</w:t>
      </w:r>
      <w:r w:rsidR="000F06BC">
        <w:rPr>
          <w:rFonts w:ascii="Arial" w:hAnsi="Arial" w:cs="Arial"/>
          <w:sz w:val="24"/>
          <w:szCs w:val="24"/>
        </w:rPr>
        <w:t xml:space="preserve"> </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 Das informações disponíveis nos balancetes das</w:t>
      </w:r>
      <w:r w:rsidR="007A487C">
        <w:rPr>
          <w:rFonts w:ascii="Arial" w:hAnsi="Arial" w:cs="Arial"/>
          <w:sz w:val="24"/>
          <w:szCs w:val="24"/>
        </w:rPr>
        <w:t xml:space="preserve"> instituições serão demonstrada</w:t>
      </w:r>
      <w:r w:rsidR="0025270B">
        <w:rPr>
          <w:rFonts w:ascii="Arial" w:hAnsi="Arial" w:cs="Arial"/>
          <w:sz w:val="24"/>
          <w:szCs w:val="24"/>
        </w:rPr>
        <w:t>s médias ponderadas pelo tamanho dos bancos analisados, além de</w:t>
      </w:r>
      <w:r>
        <w:rPr>
          <w:rFonts w:ascii="Arial" w:hAnsi="Arial" w:cs="Arial"/>
          <w:sz w:val="24"/>
          <w:szCs w:val="24"/>
        </w:rPr>
        <w:t xml:space="preserve"> alguns indicadores que contribuirão para enriquecer a análise referente ao comportamento bancário. Esses indicadores foram escolhidos baseados em uma perspectiva pós-</w:t>
      </w:r>
      <w:proofErr w:type="spellStart"/>
      <w:r>
        <w:rPr>
          <w:rFonts w:ascii="Arial" w:hAnsi="Arial" w:cs="Arial"/>
          <w:sz w:val="24"/>
          <w:szCs w:val="24"/>
        </w:rPr>
        <w:t>keynesiana</w:t>
      </w:r>
      <w:proofErr w:type="spellEnd"/>
      <w:r>
        <w:rPr>
          <w:rFonts w:ascii="Arial" w:hAnsi="Arial" w:cs="Arial"/>
          <w:sz w:val="24"/>
          <w:szCs w:val="24"/>
        </w:rPr>
        <w:t xml:space="preserve"> da firma bancária, cujos bancos trabalham de forma a </w:t>
      </w:r>
      <w:proofErr w:type="gramStart"/>
      <w:r>
        <w:rPr>
          <w:rFonts w:ascii="Arial" w:hAnsi="Arial" w:cs="Arial"/>
          <w:sz w:val="24"/>
          <w:szCs w:val="24"/>
        </w:rPr>
        <w:t>otimizar</w:t>
      </w:r>
      <w:proofErr w:type="gramEnd"/>
      <w:r>
        <w:rPr>
          <w:rFonts w:ascii="Arial" w:hAnsi="Arial" w:cs="Arial"/>
          <w:sz w:val="24"/>
          <w:szCs w:val="24"/>
        </w:rPr>
        <w:t xml:space="preserve"> os dois lados do balanço. Dessa forma</w:t>
      </w:r>
      <w:r w:rsidR="000F06BC">
        <w:rPr>
          <w:rFonts w:ascii="Arial" w:hAnsi="Arial" w:cs="Arial"/>
          <w:sz w:val="24"/>
          <w:szCs w:val="24"/>
        </w:rPr>
        <w:t>,</w:t>
      </w:r>
      <w:r>
        <w:rPr>
          <w:rFonts w:ascii="Arial" w:hAnsi="Arial" w:cs="Arial"/>
          <w:sz w:val="24"/>
          <w:szCs w:val="24"/>
        </w:rPr>
        <w:t xml:space="preserve"> foram selecionados dois indicadores pelo lado do ativo, dois ilustrando relações pelo lado do passivo, além de outros dois indicadores de resultado que mostram a receita auferida pelas instituições em relação às operações de crédito e com títulos e valores mobiliários (TVM).  </w:t>
      </w:r>
    </w:p>
    <w:p w:rsidR="00D84CB2" w:rsidRDefault="00804584" w:rsidP="000A3253">
      <w:pPr>
        <w:pStyle w:val="PargrafodaLista"/>
        <w:numPr>
          <w:ilvl w:val="0"/>
          <w:numId w:val="3"/>
        </w:numPr>
        <w:spacing w:after="0" w:line="360" w:lineRule="auto"/>
        <w:jc w:val="both"/>
        <w:rPr>
          <w:rFonts w:ascii="Arial" w:eastAsiaTheme="minorEastAsia" w:hAnsi="Arial" w:cs="Arial"/>
          <w:sz w:val="24"/>
          <w:szCs w:val="24"/>
        </w:rPr>
      </w:pPr>
      <w:r>
        <w:rPr>
          <w:rFonts w:ascii="Arial" w:eastAsia="Calibri" w:hAnsi="Arial" w:cs="Arial"/>
          <w:sz w:val="24"/>
          <w:szCs w:val="24"/>
        </w:rPr>
        <w:t xml:space="preserve">Preferencia pela liquidez: se dá pela relação </w:t>
      </w:r>
      <m:oMath>
        <m:f>
          <m:fPr>
            <m:ctrlPr>
              <w:rPr>
                <w:rFonts w:ascii="Cambria Math" w:hAnsi="Cambria Math" w:cs="Arial"/>
                <w:i/>
                <w:sz w:val="24"/>
                <w:szCs w:val="24"/>
              </w:rPr>
            </m:ctrlPr>
          </m:fPr>
          <m:num>
            <m:r>
              <w:rPr>
                <w:rFonts w:ascii="Cambria Math" w:hAnsi="Cambria Math" w:cs="Arial"/>
                <w:sz w:val="24"/>
                <w:szCs w:val="24"/>
              </w:rPr>
              <m:t>TVM e instrumentos derivativos</m:t>
            </m:r>
          </m:num>
          <m:den>
            <m:r>
              <w:rPr>
                <w:rFonts w:ascii="Cambria Math" w:hAnsi="Cambria Math" w:cs="Arial"/>
                <w:sz w:val="24"/>
                <w:szCs w:val="24"/>
              </w:rPr>
              <m:t>Ativos Totais</m:t>
            </m:r>
          </m:den>
        </m:f>
      </m:oMath>
      <w:r w:rsidR="00D84CB2">
        <w:rPr>
          <w:rFonts w:ascii="Arial" w:eastAsiaTheme="minorEastAsia" w:hAnsi="Arial" w:cs="Arial"/>
          <w:sz w:val="24"/>
          <w:szCs w:val="24"/>
        </w:rPr>
        <w:t>,</w:t>
      </w:r>
      <w:r w:rsidR="00D84CB2" w:rsidRPr="00A252BA">
        <w:rPr>
          <w:rFonts w:ascii="Arial" w:eastAsiaTheme="minorEastAsia" w:hAnsi="Arial" w:cs="Arial"/>
          <w:sz w:val="24"/>
          <w:szCs w:val="24"/>
        </w:rPr>
        <w:t xml:space="preserve"> </w:t>
      </w:r>
      <w:r>
        <w:rPr>
          <w:rFonts w:ascii="Arial" w:eastAsiaTheme="minorEastAsia" w:hAnsi="Arial" w:cs="Arial"/>
          <w:sz w:val="24"/>
          <w:szCs w:val="24"/>
        </w:rPr>
        <w:t>que é</w:t>
      </w:r>
      <w:r w:rsidR="00D84CB2" w:rsidRPr="00A252BA">
        <w:rPr>
          <w:rFonts w:ascii="Arial" w:eastAsiaTheme="minorEastAsia" w:hAnsi="Arial" w:cs="Arial"/>
          <w:sz w:val="24"/>
          <w:szCs w:val="24"/>
        </w:rPr>
        <w:t xml:space="preserve"> utilizado para verificar a proporção de títulos e valores mob</w:t>
      </w:r>
      <w:r w:rsidR="00D84CB2">
        <w:rPr>
          <w:rFonts w:ascii="Arial" w:eastAsiaTheme="minorEastAsia" w:hAnsi="Arial" w:cs="Arial"/>
          <w:sz w:val="24"/>
          <w:szCs w:val="24"/>
        </w:rPr>
        <w:t>iliários na composição do ativo</w:t>
      </w:r>
      <w:r w:rsidR="00D84CB2" w:rsidRPr="00A252BA">
        <w:rPr>
          <w:rFonts w:ascii="Arial" w:eastAsiaTheme="minorEastAsia" w:hAnsi="Arial" w:cs="Arial"/>
          <w:sz w:val="24"/>
          <w:szCs w:val="24"/>
        </w:rPr>
        <w:t xml:space="preserve"> e serve como </w:t>
      </w:r>
      <w:proofErr w:type="gramStart"/>
      <w:r w:rsidR="00D84CB2" w:rsidRPr="00A252BA">
        <w:rPr>
          <w:rFonts w:ascii="Arial" w:eastAsiaTheme="minorEastAsia" w:hAnsi="Arial" w:cs="Arial"/>
          <w:sz w:val="24"/>
          <w:szCs w:val="24"/>
        </w:rPr>
        <w:t>proxy</w:t>
      </w:r>
      <w:proofErr w:type="gramEnd"/>
      <w:r w:rsidR="00D84CB2" w:rsidRPr="00A252BA">
        <w:rPr>
          <w:rFonts w:ascii="Arial" w:eastAsiaTheme="minorEastAsia" w:hAnsi="Arial" w:cs="Arial"/>
          <w:sz w:val="24"/>
          <w:szCs w:val="24"/>
        </w:rPr>
        <w:t xml:space="preserve"> da preferência pela liquidez</w:t>
      </w:r>
      <w:r w:rsidR="00D84CB2">
        <w:rPr>
          <w:rFonts w:ascii="Arial" w:eastAsiaTheme="minorEastAsia" w:hAnsi="Arial" w:cs="Arial"/>
          <w:sz w:val="24"/>
          <w:szCs w:val="24"/>
        </w:rPr>
        <w:t>, pois</w:t>
      </w:r>
      <w:r w:rsidR="00D84CB2" w:rsidRPr="00A252BA">
        <w:rPr>
          <w:rFonts w:ascii="Arial" w:eastAsiaTheme="minorEastAsia" w:hAnsi="Arial" w:cs="Arial"/>
          <w:sz w:val="24"/>
          <w:szCs w:val="24"/>
        </w:rPr>
        <w:t xml:space="preserve"> tais títulos possuem grande liquidez; </w:t>
      </w:r>
    </w:p>
    <w:p w:rsidR="00D84CB2" w:rsidRPr="00A252BA" w:rsidRDefault="00D84CB2" w:rsidP="000A3253">
      <w:pPr>
        <w:pStyle w:val="PargrafodaLista"/>
        <w:spacing w:after="0" w:line="360" w:lineRule="auto"/>
        <w:ind w:left="1623"/>
        <w:jc w:val="both"/>
        <w:rPr>
          <w:rFonts w:ascii="Arial" w:eastAsiaTheme="minorEastAsia" w:hAnsi="Arial" w:cs="Arial"/>
          <w:sz w:val="24"/>
          <w:szCs w:val="24"/>
        </w:rPr>
      </w:pPr>
    </w:p>
    <w:p w:rsidR="009C37CF" w:rsidRPr="009C37CF" w:rsidRDefault="00804584" w:rsidP="000A3253">
      <w:pPr>
        <w:pStyle w:val="PargrafodaLista"/>
        <w:numPr>
          <w:ilvl w:val="0"/>
          <w:numId w:val="3"/>
        </w:num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Preferência pelo crédito: se dá pela relação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Operações de crédito e arrendamento mercantil</m:t>
            </m:r>
          </m:num>
          <m:den>
            <m:r>
              <w:rPr>
                <w:rFonts w:ascii="Cambria Math" w:eastAsiaTheme="minorEastAsia" w:hAnsi="Cambria Math" w:cs="Arial"/>
                <w:sz w:val="24"/>
                <w:szCs w:val="24"/>
              </w:rPr>
              <m:t>Ativos Totais</m:t>
            </m:r>
          </m:den>
        </m:f>
      </m:oMath>
      <w:r w:rsidR="00D84CB2">
        <w:rPr>
          <w:rFonts w:ascii="Arial" w:eastAsiaTheme="minorEastAsia" w:hAnsi="Arial" w:cs="Arial"/>
          <w:sz w:val="24"/>
          <w:szCs w:val="24"/>
        </w:rPr>
        <w:t xml:space="preserve">, </w:t>
      </w:r>
      <w:r w:rsidR="00D84CB2" w:rsidRPr="00A252BA">
        <w:rPr>
          <w:rFonts w:ascii="Arial" w:eastAsiaTheme="minorEastAsia" w:hAnsi="Arial" w:cs="Arial"/>
          <w:sz w:val="24"/>
          <w:szCs w:val="24"/>
        </w:rPr>
        <w:t>que demonstra a proporção de créd</w:t>
      </w:r>
      <w:r w:rsidR="00C32BF1">
        <w:rPr>
          <w:rFonts w:ascii="Arial" w:eastAsiaTheme="minorEastAsia" w:hAnsi="Arial" w:cs="Arial"/>
          <w:sz w:val="24"/>
          <w:szCs w:val="24"/>
        </w:rPr>
        <w:t xml:space="preserve">ito na composição de seu ativo. Quanto maior este indicador, maior a exposição do banco aos ciclos econômicos, pois sua </w:t>
      </w:r>
      <w:r w:rsidR="00C32BF1">
        <w:rPr>
          <w:rFonts w:ascii="Arial" w:eastAsiaTheme="minorEastAsia" w:hAnsi="Arial" w:cs="Arial"/>
          <w:sz w:val="24"/>
          <w:szCs w:val="24"/>
        </w:rPr>
        <w:lastRenderedPageBreak/>
        <w:t xml:space="preserve">maturidade tende a ter um prazo maior. Assim, em caso de um aumento </w:t>
      </w:r>
      <w:proofErr w:type="gramStart"/>
      <w:r w:rsidR="00C32BF1">
        <w:rPr>
          <w:rFonts w:ascii="Arial" w:eastAsiaTheme="minorEastAsia" w:hAnsi="Arial" w:cs="Arial"/>
          <w:sz w:val="24"/>
          <w:szCs w:val="24"/>
        </w:rPr>
        <w:t>no resgates</w:t>
      </w:r>
      <w:proofErr w:type="gramEnd"/>
      <w:r w:rsidR="00C32BF1">
        <w:rPr>
          <w:rFonts w:ascii="Arial" w:eastAsiaTheme="minorEastAsia" w:hAnsi="Arial" w:cs="Arial"/>
          <w:sz w:val="24"/>
          <w:szCs w:val="24"/>
        </w:rPr>
        <w:t xml:space="preserve"> dos depósitos à vista</w:t>
      </w:r>
      <w:r w:rsidR="00C9046A">
        <w:rPr>
          <w:rFonts w:ascii="Arial" w:eastAsiaTheme="minorEastAsia" w:hAnsi="Arial" w:cs="Arial"/>
          <w:sz w:val="24"/>
          <w:szCs w:val="24"/>
        </w:rPr>
        <w:t xml:space="preserve"> (corrida bancária) o banco pode se encontrar em situação de insolvência, pois seus ativos não </w:t>
      </w:r>
      <w:r w:rsidR="000F06BC">
        <w:rPr>
          <w:rFonts w:ascii="Arial" w:eastAsiaTheme="minorEastAsia" w:hAnsi="Arial" w:cs="Arial"/>
          <w:sz w:val="24"/>
          <w:szCs w:val="24"/>
        </w:rPr>
        <w:t>podem ser suficiente para cobrir</w:t>
      </w:r>
      <w:r w:rsidR="00C9046A">
        <w:rPr>
          <w:rFonts w:ascii="Arial" w:eastAsiaTheme="minorEastAsia" w:hAnsi="Arial" w:cs="Arial"/>
          <w:sz w:val="24"/>
          <w:szCs w:val="24"/>
        </w:rPr>
        <w:t xml:space="preserve"> a liquidez necessária.</w:t>
      </w:r>
    </w:p>
    <w:p w:rsidR="009C37CF" w:rsidRPr="009C37CF" w:rsidRDefault="009C37CF" w:rsidP="000A3253">
      <w:pPr>
        <w:pStyle w:val="PargrafodaLista"/>
        <w:spacing w:after="0" w:line="360" w:lineRule="auto"/>
        <w:ind w:left="1623"/>
        <w:jc w:val="both"/>
        <w:rPr>
          <w:rFonts w:ascii="Arial" w:eastAsiaTheme="minorEastAsia" w:hAnsi="Arial" w:cs="Arial"/>
          <w:sz w:val="24"/>
          <w:szCs w:val="24"/>
        </w:rPr>
      </w:pPr>
    </w:p>
    <w:p w:rsidR="009C37CF" w:rsidRPr="009C37CF" w:rsidRDefault="00804584" w:rsidP="000A3253">
      <w:pPr>
        <w:pStyle w:val="PargrafodaLista"/>
        <w:numPr>
          <w:ilvl w:val="0"/>
          <w:numId w:val="3"/>
        </w:numPr>
        <w:spacing w:after="0" w:line="360" w:lineRule="auto"/>
        <w:jc w:val="both"/>
        <w:rPr>
          <w:rFonts w:ascii="Arial" w:hAnsi="Arial" w:cs="Arial"/>
          <w:sz w:val="24"/>
          <w:szCs w:val="24"/>
        </w:rPr>
      </w:pPr>
      <w:r>
        <w:rPr>
          <w:rFonts w:ascii="Arial" w:eastAsiaTheme="minorEastAsia" w:hAnsi="Arial" w:cs="Arial"/>
          <w:sz w:val="24"/>
          <w:szCs w:val="24"/>
        </w:rPr>
        <w:t>Liquidez de curto prazo do passivo: se dá pela relação</w:t>
      </w:r>
      <w:r w:rsidR="00D84CB2" w:rsidRPr="00A252BA">
        <w:rPr>
          <w:rFonts w:ascii="Arial" w:eastAsiaTheme="minorEastAsia" w:hAnsi="Arial" w:cs="Arial"/>
          <w:sz w:val="24"/>
          <w:szCs w:val="24"/>
        </w:rPr>
        <w:t xml:space="preserve">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Depístos à vista</m:t>
            </m:r>
          </m:num>
          <m:den>
            <m:r>
              <w:rPr>
                <w:rFonts w:ascii="Cambria Math" w:eastAsiaTheme="minorEastAsia" w:hAnsi="Cambria Math" w:cs="Arial"/>
                <w:sz w:val="24"/>
                <w:szCs w:val="24"/>
              </w:rPr>
              <m:t>Passivo total</m:t>
            </m:r>
          </m:den>
        </m:f>
      </m:oMath>
      <w:r w:rsidR="00D84CB2">
        <w:rPr>
          <w:rFonts w:ascii="Arial" w:eastAsiaTheme="minorEastAsia" w:hAnsi="Arial" w:cs="Arial"/>
          <w:sz w:val="24"/>
          <w:szCs w:val="24"/>
        </w:rPr>
        <w:t>,</w:t>
      </w:r>
      <w:r w:rsidR="00D84CB2" w:rsidRPr="00A252BA">
        <w:rPr>
          <w:rFonts w:ascii="Arial" w:eastAsiaTheme="minorEastAsia" w:hAnsi="Arial" w:cs="Arial"/>
          <w:sz w:val="24"/>
          <w:szCs w:val="24"/>
        </w:rPr>
        <w:t xml:space="preserve"> </w:t>
      </w:r>
      <w:r>
        <w:rPr>
          <w:rFonts w:ascii="Arial" w:eastAsiaTheme="minorEastAsia" w:hAnsi="Arial" w:cs="Arial"/>
          <w:sz w:val="24"/>
          <w:szCs w:val="24"/>
        </w:rPr>
        <w:t xml:space="preserve">e </w:t>
      </w:r>
      <w:r w:rsidR="00D84CB2" w:rsidRPr="00A252BA">
        <w:rPr>
          <w:rFonts w:ascii="Arial" w:eastAsiaTheme="minorEastAsia" w:hAnsi="Arial" w:cs="Arial"/>
          <w:sz w:val="24"/>
          <w:szCs w:val="24"/>
        </w:rPr>
        <w:t>verifica a proporção de depósitos à vista na composição do passivo da instituição</w:t>
      </w:r>
      <w:r>
        <w:rPr>
          <w:rFonts w:ascii="Arial" w:eastAsiaTheme="minorEastAsia" w:hAnsi="Arial" w:cs="Arial"/>
          <w:sz w:val="24"/>
          <w:szCs w:val="24"/>
        </w:rPr>
        <w:t>. Um alto valor deste indicador reflete uma posição de risco, pois suas obriga</w:t>
      </w:r>
      <w:r w:rsidR="00456371">
        <w:rPr>
          <w:rFonts w:ascii="Arial" w:eastAsiaTheme="minorEastAsia" w:hAnsi="Arial" w:cs="Arial"/>
          <w:sz w:val="24"/>
          <w:szCs w:val="24"/>
        </w:rPr>
        <w:t>ções podem ser liquidadas a qualquer momento</w:t>
      </w:r>
      <w:r w:rsidR="00D84CB2" w:rsidRPr="00A252BA">
        <w:rPr>
          <w:rFonts w:ascii="Arial" w:eastAsiaTheme="minorEastAsia" w:hAnsi="Arial" w:cs="Arial"/>
          <w:sz w:val="24"/>
          <w:szCs w:val="24"/>
        </w:rPr>
        <w:t xml:space="preserve">; </w:t>
      </w:r>
    </w:p>
    <w:p w:rsidR="009C37CF" w:rsidRPr="009C37CF" w:rsidRDefault="009C37CF" w:rsidP="000A3253">
      <w:pPr>
        <w:pStyle w:val="PargrafodaLista"/>
        <w:spacing w:after="0" w:line="360" w:lineRule="auto"/>
        <w:ind w:left="1623"/>
        <w:jc w:val="both"/>
        <w:rPr>
          <w:rFonts w:ascii="Arial" w:hAnsi="Arial" w:cs="Arial"/>
          <w:sz w:val="24"/>
          <w:szCs w:val="24"/>
        </w:rPr>
      </w:pPr>
    </w:p>
    <w:p w:rsidR="009C37CF" w:rsidRPr="009C37CF" w:rsidRDefault="00835CFD" w:rsidP="000A3253">
      <w:pPr>
        <w:pStyle w:val="PargrafodaLista"/>
        <w:numPr>
          <w:ilvl w:val="0"/>
          <w:numId w:val="3"/>
        </w:numPr>
        <w:spacing w:after="0" w:line="360" w:lineRule="auto"/>
        <w:jc w:val="both"/>
        <w:rPr>
          <w:rFonts w:ascii="Arial" w:eastAsiaTheme="minorEastAsia" w:hAnsi="Arial" w:cs="Arial"/>
          <w:sz w:val="24"/>
          <w:szCs w:val="24"/>
        </w:rPr>
      </w:pPr>
      <w:r>
        <w:rPr>
          <w:rFonts w:ascii="Arial" w:eastAsiaTheme="minorEastAsia" w:hAnsi="Arial" w:cs="Arial"/>
          <w:sz w:val="24"/>
          <w:szCs w:val="24"/>
        </w:rPr>
        <w:t xml:space="preserve">Liquidez de longo prazo: se dá pela relação </w:t>
      </w:r>
      <m:oMath>
        <m:f>
          <m:fPr>
            <m:ctrlPr>
              <w:rPr>
                <w:rFonts w:ascii="Cambria Math" w:eastAsiaTheme="minorEastAsia" w:hAnsi="Cambria Math" w:cs="Arial"/>
                <w:i/>
                <w:sz w:val="24"/>
                <w:szCs w:val="24"/>
              </w:rPr>
            </m:ctrlPr>
          </m:fPr>
          <m:num>
            <m:r>
              <w:rPr>
                <w:rFonts w:ascii="Cambria Math" w:eastAsiaTheme="minorEastAsia" w:hAnsi="Cambria Math" w:cs="Arial"/>
                <w:sz w:val="24"/>
                <w:szCs w:val="24"/>
              </w:rPr>
              <m:t>Depósitos a prazo</m:t>
            </m:r>
          </m:num>
          <m:den>
            <m:r>
              <w:rPr>
                <w:rFonts w:ascii="Cambria Math" w:eastAsiaTheme="minorEastAsia" w:hAnsi="Cambria Math" w:cs="Arial"/>
                <w:sz w:val="24"/>
                <w:szCs w:val="24"/>
              </w:rPr>
              <m:t>Passivo total</m:t>
            </m:r>
          </m:den>
        </m:f>
      </m:oMath>
      <w:r w:rsidR="00D84CB2">
        <w:rPr>
          <w:rFonts w:ascii="Arial" w:eastAsiaTheme="minorEastAsia" w:hAnsi="Arial" w:cs="Arial"/>
          <w:sz w:val="24"/>
          <w:szCs w:val="24"/>
        </w:rPr>
        <w:t>,</w:t>
      </w:r>
      <w:r w:rsidR="00D84CB2" w:rsidRPr="00A252BA">
        <w:rPr>
          <w:rFonts w:ascii="Arial" w:eastAsiaTheme="minorEastAsia" w:hAnsi="Arial" w:cs="Arial"/>
          <w:sz w:val="24"/>
          <w:szCs w:val="24"/>
        </w:rPr>
        <w:t xml:space="preserve"> </w:t>
      </w:r>
      <w:r>
        <w:rPr>
          <w:rFonts w:ascii="Arial" w:eastAsiaTheme="minorEastAsia" w:hAnsi="Arial" w:cs="Arial"/>
          <w:sz w:val="24"/>
          <w:szCs w:val="24"/>
        </w:rPr>
        <w:t xml:space="preserve">e </w:t>
      </w:r>
      <w:r w:rsidR="00D84CB2" w:rsidRPr="00A252BA">
        <w:rPr>
          <w:rFonts w:ascii="Arial" w:eastAsiaTheme="minorEastAsia" w:hAnsi="Arial" w:cs="Arial"/>
          <w:sz w:val="24"/>
          <w:szCs w:val="24"/>
        </w:rPr>
        <w:t>demonstra a proporção de depósitos a</w:t>
      </w:r>
      <w:r>
        <w:rPr>
          <w:rFonts w:ascii="Arial" w:eastAsiaTheme="minorEastAsia" w:hAnsi="Arial" w:cs="Arial"/>
          <w:sz w:val="24"/>
          <w:szCs w:val="24"/>
        </w:rPr>
        <w:t xml:space="preserve"> prazo na composição do passivo. Um alto valor deste indicador demonstra uma posição de segurança, pois suas obrigações teriam uma maior maturidade, e previsibilidade.</w:t>
      </w:r>
    </w:p>
    <w:p w:rsidR="009C37CF" w:rsidRPr="00A252BA" w:rsidRDefault="009C37CF" w:rsidP="000A3253">
      <w:pPr>
        <w:pStyle w:val="PargrafodaLista"/>
        <w:spacing w:after="0" w:line="360" w:lineRule="auto"/>
        <w:ind w:left="1623"/>
        <w:jc w:val="both"/>
        <w:rPr>
          <w:rFonts w:ascii="Arial" w:eastAsiaTheme="minorEastAsia" w:hAnsi="Arial" w:cs="Arial"/>
          <w:sz w:val="24"/>
          <w:szCs w:val="24"/>
        </w:rPr>
      </w:pPr>
    </w:p>
    <w:p w:rsidR="009C37CF" w:rsidRPr="009C37CF" w:rsidRDefault="00835CFD" w:rsidP="000A3253">
      <w:pPr>
        <w:pStyle w:val="PargrafodaLista"/>
        <w:numPr>
          <w:ilvl w:val="0"/>
          <w:numId w:val="3"/>
        </w:numPr>
        <w:spacing w:after="0" w:line="360" w:lineRule="auto"/>
        <w:jc w:val="both"/>
        <w:rPr>
          <w:rFonts w:ascii="Arial" w:hAnsi="Arial" w:cs="Arial"/>
          <w:sz w:val="24"/>
          <w:szCs w:val="24"/>
        </w:rPr>
      </w:pPr>
      <w:r>
        <w:rPr>
          <w:rFonts w:ascii="Arial" w:eastAsiaTheme="minorEastAsia" w:hAnsi="Arial" w:cs="Arial"/>
          <w:sz w:val="24"/>
          <w:szCs w:val="24"/>
        </w:rPr>
        <w:t xml:space="preserve">Ganhos com liquidez: se dá pela relação </w:t>
      </w:r>
      <m:oMath>
        <m:f>
          <m:fPr>
            <m:ctrlPr>
              <w:rPr>
                <w:rFonts w:ascii="Cambria Math" w:hAnsi="Cambria Math" w:cs="Arial"/>
                <w:i/>
                <w:sz w:val="24"/>
                <w:szCs w:val="24"/>
              </w:rPr>
            </m:ctrlPr>
          </m:fPr>
          <m:num>
            <m:r>
              <w:rPr>
                <w:rFonts w:ascii="Cambria Math" w:hAnsi="Cambria Math" w:cs="Arial"/>
                <w:sz w:val="24"/>
                <w:szCs w:val="24"/>
              </w:rPr>
              <m:t>Receita de operações com TVM</m:t>
            </m:r>
          </m:num>
          <m:den>
            <m:r>
              <w:rPr>
                <w:rFonts w:ascii="Cambria Math" w:hAnsi="Cambria Math" w:cs="Arial"/>
                <w:sz w:val="24"/>
                <w:szCs w:val="24"/>
              </w:rPr>
              <m:t>TVM e instrumentos derivativos</m:t>
            </m:r>
          </m:den>
        </m:f>
      </m:oMath>
      <w:r w:rsidR="00D84CB2">
        <w:rPr>
          <w:rFonts w:ascii="Arial" w:eastAsiaTheme="minorEastAsia" w:hAnsi="Arial" w:cs="Arial"/>
          <w:sz w:val="24"/>
          <w:szCs w:val="24"/>
        </w:rPr>
        <w:t xml:space="preserve">, </w:t>
      </w:r>
      <w:r>
        <w:rPr>
          <w:rFonts w:ascii="Arial" w:eastAsiaTheme="minorEastAsia" w:hAnsi="Arial" w:cs="Arial"/>
          <w:sz w:val="24"/>
          <w:szCs w:val="24"/>
        </w:rPr>
        <w:t>e</w:t>
      </w:r>
      <w:r w:rsidR="00D84CB2">
        <w:rPr>
          <w:rFonts w:ascii="Arial" w:eastAsiaTheme="minorEastAsia" w:hAnsi="Arial" w:cs="Arial"/>
          <w:sz w:val="24"/>
          <w:szCs w:val="24"/>
        </w:rPr>
        <w:t xml:space="preserve"> verifica a </w:t>
      </w:r>
      <w:r w:rsidR="007A487C">
        <w:rPr>
          <w:rFonts w:ascii="Arial" w:eastAsiaTheme="minorEastAsia" w:hAnsi="Arial" w:cs="Arial"/>
          <w:sz w:val="24"/>
          <w:szCs w:val="24"/>
        </w:rPr>
        <w:t xml:space="preserve">proporção de </w:t>
      </w:r>
      <w:r w:rsidR="00D84CB2">
        <w:rPr>
          <w:rFonts w:ascii="Arial" w:eastAsiaTheme="minorEastAsia" w:hAnsi="Arial" w:cs="Arial"/>
          <w:sz w:val="24"/>
          <w:szCs w:val="24"/>
        </w:rPr>
        <w:t>receita auferida com os títulos e valores mobiliários;</w:t>
      </w:r>
    </w:p>
    <w:p w:rsidR="009C37CF" w:rsidRPr="0099179D" w:rsidRDefault="009C37CF" w:rsidP="000A3253">
      <w:pPr>
        <w:pStyle w:val="PargrafodaLista"/>
        <w:spacing w:after="0" w:line="360" w:lineRule="auto"/>
        <w:ind w:left="1623"/>
        <w:jc w:val="both"/>
        <w:rPr>
          <w:rFonts w:ascii="Arial" w:hAnsi="Arial" w:cs="Arial"/>
          <w:sz w:val="24"/>
          <w:szCs w:val="24"/>
        </w:rPr>
      </w:pPr>
    </w:p>
    <w:p w:rsidR="00D84CB2" w:rsidRPr="0099179D" w:rsidRDefault="00835CFD" w:rsidP="000A3253">
      <w:pPr>
        <w:pStyle w:val="PargrafodaLista"/>
        <w:numPr>
          <w:ilvl w:val="0"/>
          <w:numId w:val="3"/>
        </w:numPr>
        <w:spacing w:after="0" w:line="360" w:lineRule="auto"/>
        <w:jc w:val="both"/>
        <w:rPr>
          <w:rFonts w:ascii="Arial" w:hAnsi="Arial" w:cs="Arial"/>
          <w:sz w:val="24"/>
          <w:szCs w:val="24"/>
        </w:rPr>
      </w:pPr>
      <w:r>
        <w:rPr>
          <w:rFonts w:ascii="Arial" w:eastAsiaTheme="minorEastAsia" w:hAnsi="Arial" w:cs="Arial"/>
          <w:sz w:val="24"/>
          <w:szCs w:val="24"/>
        </w:rPr>
        <w:t xml:space="preserve">Ganhos com crédito: se dá pela relação </w:t>
      </w:r>
      <m:oMath>
        <m:f>
          <m:fPr>
            <m:ctrlPr>
              <w:rPr>
                <w:rFonts w:ascii="Cambria Math" w:hAnsi="Cambria Math" w:cs="Arial"/>
                <w:i/>
                <w:sz w:val="24"/>
                <w:szCs w:val="24"/>
              </w:rPr>
            </m:ctrlPr>
          </m:fPr>
          <m:num>
            <m:r>
              <w:rPr>
                <w:rFonts w:ascii="Cambria Math" w:hAnsi="Cambria Math" w:cs="Arial"/>
                <w:sz w:val="24"/>
                <w:szCs w:val="24"/>
              </w:rPr>
              <m:t>Receita com operações de crédito</m:t>
            </m:r>
          </m:num>
          <m:den>
            <m:r>
              <w:rPr>
                <w:rFonts w:ascii="Cambria Math" w:hAnsi="Cambria Math" w:cs="Arial"/>
                <w:sz w:val="24"/>
                <w:szCs w:val="24"/>
              </w:rPr>
              <m:t>operações de crédito e arrendamento mercantil</m:t>
            </m:r>
          </m:den>
        </m:f>
      </m:oMath>
      <w:r w:rsidR="00D84CB2">
        <w:rPr>
          <w:rFonts w:ascii="Arial" w:eastAsiaTheme="minorEastAsia" w:hAnsi="Arial" w:cs="Arial"/>
          <w:sz w:val="24"/>
          <w:szCs w:val="24"/>
        </w:rPr>
        <w:t xml:space="preserve">, </w:t>
      </w:r>
      <w:r>
        <w:rPr>
          <w:rFonts w:ascii="Arial" w:eastAsiaTheme="minorEastAsia" w:hAnsi="Arial" w:cs="Arial"/>
          <w:sz w:val="24"/>
          <w:szCs w:val="24"/>
        </w:rPr>
        <w:t>e</w:t>
      </w:r>
      <w:r w:rsidR="00D84CB2">
        <w:rPr>
          <w:rFonts w:ascii="Arial" w:eastAsiaTheme="minorEastAsia" w:hAnsi="Arial" w:cs="Arial"/>
          <w:sz w:val="24"/>
          <w:szCs w:val="24"/>
        </w:rPr>
        <w:t xml:space="preserve"> demonstra a </w:t>
      </w:r>
      <w:r w:rsidR="007A487C">
        <w:rPr>
          <w:rFonts w:ascii="Arial" w:eastAsiaTheme="minorEastAsia" w:hAnsi="Arial" w:cs="Arial"/>
          <w:sz w:val="24"/>
          <w:szCs w:val="24"/>
        </w:rPr>
        <w:t xml:space="preserve">proporção de </w:t>
      </w:r>
      <w:r w:rsidR="00D84CB2">
        <w:rPr>
          <w:rFonts w:ascii="Arial" w:eastAsiaTheme="minorEastAsia" w:hAnsi="Arial" w:cs="Arial"/>
          <w:sz w:val="24"/>
          <w:szCs w:val="24"/>
        </w:rPr>
        <w:t>receita auferida com as operações de crédito.</w:t>
      </w:r>
    </w:p>
    <w:p w:rsidR="00D84CB2" w:rsidRPr="008346FB" w:rsidRDefault="00D84CB2" w:rsidP="000A3253">
      <w:pPr>
        <w:spacing w:after="0" w:line="360" w:lineRule="auto"/>
        <w:ind w:firstLine="708"/>
        <w:jc w:val="both"/>
        <w:rPr>
          <w:rFonts w:ascii="Arial" w:hAnsi="Arial" w:cs="Arial"/>
          <w:color w:val="000000" w:themeColor="text1"/>
          <w:sz w:val="24"/>
          <w:szCs w:val="24"/>
        </w:rPr>
      </w:pPr>
      <w:r>
        <w:rPr>
          <w:rFonts w:ascii="Arial" w:hAnsi="Arial" w:cs="Arial"/>
          <w:sz w:val="24"/>
          <w:szCs w:val="24"/>
        </w:rPr>
        <w:t>Por último, será verificado se há relação ou causalidade entre a taxa de juros (Selic) e a preferência pela liquidez das instituições bancárias. Para demonstrar a preferência pela liq</w:t>
      </w:r>
      <w:r w:rsidR="0025270B">
        <w:rPr>
          <w:rFonts w:ascii="Arial" w:hAnsi="Arial" w:cs="Arial"/>
          <w:sz w:val="24"/>
          <w:szCs w:val="24"/>
        </w:rPr>
        <w:t xml:space="preserve">uidez dos bancos será utilizada uma média ponderada desinflacionada dos valores de títulos e valores mobiliários. </w:t>
      </w:r>
      <w:r>
        <w:rPr>
          <w:rFonts w:ascii="Arial" w:hAnsi="Arial" w:cs="Arial"/>
          <w:color w:val="000000" w:themeColor="text1"/>
          <w:sz w:val="24"/>
          <w:szCs w:val="24"/>
        </w:rPr>
        <w:t>Com intuito de embasar essa relação será feito um teste de causalidade de Granger, em que se poderá verificar se há uma relação entre preferência pela liquidez e oscilações da taxa de juros, ou ainda mais, saber se além de relações entre si, se exi</w:t>
      </w:r>
      <w:r w:rsidR="008346FB">
        <w:rPr>
          <w:rFonts w:ascii="Arial" w:hAnsi="Arial" w:cs="Arial"/>
          <w:color w:val="000000" w:themeColor="text1"/>
          <w:sz w:val="24"/>
          <w:szCs w:val="24"/>
        </w:rPr>
        <w:t>ste uma causalidade entre elas.</w:t>
      </w:r>
    </w:p>
    <w:p w:rsidR="00D84CB2" w:rsidRDefault="00D84CB2" w:rsidP="000A3253">
      <w:pPr>
        <w:spacing w:after="0" w:line="360" w:lineRule="auto"/>
        <w:ind w:firstLine="708"/>
        <w:jc w:val="both"/>
        <w:rPr>
          <w:rFonts w:ascii="Arial" w:hAnsi="Arial" w:cs="Arial"/>
          <w:sz w:val="24"/>
          <w:szCs w:val="24"/>
        </w:rPr>
      </w:pPr>
      <w:r>
        <w:rPr>
          <w:rFonts w:ascii="Arial" w:hAnsi="Arial" w:cs="Arial"/>
          <w:color w:val="000000" w:themeColor="text1"/>
          <w:sz w:val="24"/>
          <w:szCs w:val="24"/>
        </w:rPr>
        <w:lastRenderedPageBreak/>
        <w:t>A mensuração da preferência pela liquidez por parte dos bancos pode ser feita através de alguns indicadores obtidos a partir do balanço patrimonial dos bancos. Pelo lado do passivo, proporções maiores de depósitos a prazo revelam melhores condições para a alocação de seu portfólio em ativos de maior prazo de maturidade, tal como as operações de crédito. Proporções de depósitos à vista também podem sinalizar nesse sentido, entretanto essa proporção pode ser entendida como a preferência pela liquidez por parte do público. Pelo lado do ativo, maiores proporções de operações com TVM e derivativos são indicadores de maior preferência pela liquidez.</w:t>
      </w:r>
      <w:r w:rsidRPr="00B15651">
        <w:rPr>
          <w:rFonts w:ascii="Arial" w:hAnsi="Arial" w:cs="Arial"/>
          <w:sz w:val="24"/>
          <w:szCs w:val="24"/>
        </w:rPr>
        <w:t xml:space="preserve"> </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Outro ponto de influência sobre as decisões dos bancos quanto às operações de crédito e TVM está no movimento da taxa de juros Selic, que neste estudo tem função primordial e serve como </w:t>
      </w:r>
      <w:proofErr w:type="gramStart"/>
      <w:r>
        <w:rPr>
          <w:rFonts w:ascii="Arial" w:hAnsi="Arial" w:cs="Arial"/>
          <w:sz w:val="24"/>
          <w:szCs w:val="24"/>
        </w:rPr>
        <w:t>proxy</w:t>
      </w:r>
      <w:proofErr w:type="gramEnd"/>
      <w:r>
        <w:rPr>
          <w:rFonts w:ascii="Arial" w:hAnsi="Arial" w:cs="Arial"/>
          <w:sz w:val="24"/>
          <w:szCs w:val="24"/>
        </w:rPr>
        <w:t xml:space="preserve"> referente às incertezas. Percebe-se uma trajetória de queda durante o período analisado, ressaltando, entretanto, três períodos distintos: do primeiro trimestre de 2000 ao segundo trimestre de 2003, período em que a taxa alcançou seu maior valor; do terceiro trimestre de 2003 ao primeiro trimestre de 2013, período em que alcança seu menor valor; e do segundo trimestre de 2013 ao quarto trimestre de 2016, quando se inicia um novo ciclo de alta.  </w:t>
      </w:r>
    </w:p>
    <w:p w:rsidR="00B33923" w:rsidRPr="00B33923" w:rsidRDefault="00B33923" w:rsidP="00B33923">
      <w:pPr>
        <w:pStyle w:val="Legenda"/>
        <w:keepNext/>
        <w:spacing w:after="0"/>
        <w:jc w:val="center"/>
        <w:rPr>
          <w:rFonts w:ascii="Arial" w:hAnsi="Arial" w:cs="Arial"/>
          <w:color w:val="auto"/>
          <w:sz w:val="24"/>
          <w:szCs w:val="24"/>
        </w:rPr>
      </w:pPr>
      <w:r w:rsidRPr="00B33923">
        <w:rPr>
          <w:rFonts w:ascii="Arial" w:hAnsi="Arial" w:cs="Arial"/>
          <w:color w:val="auto"/>
          <w:sz w:val="24"/>
          <w:szCs w:val="24"/>
        </w:rPr>
        <w:t xml:space="preserve">Gráfico </w:t>
      </w:r>
      <w:proofErr w:type="gramStart"/>
      <w:r w:rsidRPr="00B33923">
        <w:rPr>
          <w:rFonts w:ascii="Arial" w:hAnsi="Arial" w:cs="Arial"/>
          <w:color w:val="auto"/>
          <w:sz w:val="24"/>
          <w:szCs w:val="24"/>
        </w:rPr>
        <w:t>2</w:t>
      </w:r>
      <w:proofErr w:type="gramEnd"/>
      <w:r w:rsidRPr="00B33923">
        <w:rPr>
          <w:rFonts w:ascii="Arial" w:hAnsi="Arial" w:cs="Arial"/>
          <w:color w:val="auto"/>
          <w:sz w:val="24"/>
          <w:szCs w:val="24"/>
        </w:rPr>
        <w:t xml:space="preserve"> - Taxa Selic*, 2000 - 2016</w:t>
      </w:r>
    </w:p>
    <w:p w:rsidR="00821A1B" w:rsidRPr="008346FB" w:rsidRDefault="00D84CB2" w:rsidP="00821A1B">
      <w:pPr>
        <w:spacing w:line="240" w:lineRule="auto"/>
        <w:rPr>
          <w:rFonts w:ascii="Arial" w:hAnsi="Arial" w:cs="Arial"/>
          <w:b/>
          <w:color w:val="000000" w:themeColor="text1"/>
          <w:sz w:val="20"/>
          <w:szCs w:val="24"/>
        </w:rPr>
      </w:pPr>
      <w:r>
        <w:rPr>
          <w:noProof/>
          <w:lang w:eastAsia="pt-BR"/>
        </w:rPr>
        <w:drawing>
          <wp:inline distT="0" distB="0" distL="0" distR="0" wp14:anchorId="52234274" wp14:editId="2DB94F88">
            <wp:extent cx="5724525" cy="24288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703D3">
        <w:rPr>
          <w:rFonts w:ascii="Arial" w:hAnsi="Arial" w:cs="Arial"/>
          <w:b/>
          <w:color w:val="000000" w:themeColor="text1"/>
          <w:sz w:val="20"/>
          <w:szCs w:val="24"/>
        </w:rPr>
        <w:t>Fonte: Banco Central, elaboração própria.</w:t>
      </w:r>
      <w:r>
        <w:rPr>
          <w:rFonts w:ascii="Arial" w:hAnsi="Arial" w:cs="Arial"/>
          <w:b/>
          <w:color w:val="000000" w:themeColor="text1"/>
          <w:sz w:val="20"/>
          <w:szCs w:val="24"/>
        </w:rPr>
        <w:br/>
      </w:r>
      <w:r w:rsidRPr="007703D3">
        <w:rPr>
          <w:rFonts w:ascii="Arial" w:hAnsi="Arial" w:cs="Arial"/>
          <w:b/>
          <w:color w:val="000000" w:themeColor="text1"/>
          <w:sz w:val="20"/>
          <w:szCs w:val="24"/>
        </w:rPr>
        <w:t>*Média geométrica trimestral</w:t>
      </w:r>
      <w:r>
        <w:rPr>
          <w:rFonts w:ascii="Arial" w:hAnsi="Arial" w:cs="Arial"/>
          <w:b/>
          <w:color w:val="000000" w:themeColor="text1"/>
          <w:sz w:val="20"/>
          <w:szCs w:val="24"/>
        </w:rPr>
        <w:t>.</w:t>
      </w:r>
    </w:p>
    <w:p w:rsidR="00D84CB2" w:rsidRPr="00B15651" w:rsidRDefault="00D84CB2" w:rsidP="00D84CB2">
      <w:pPr>
        <w:spacing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No gráfico </w:t>
      </w:r>
      <w:proofErr w:type="gramStart"/>
      <w:r w:rsidR="007A487C">
        <w:rPr>
          <w:rFonts w:ascii="Arial" w:hAnsi="Arial" w:cs="Arial"/>
          <w:color w:val="000000" w:themeColor="text1"/>
          <w:sz w:val="24"/>
          <w:szCs w:val="24"/>
        </w:rPr>
        <w:t>3</w:t>
      </w:r>
      <w:proofErr w:type="gramEnd"/>
      <w:r w:rsidR="009A0CFF">
        <w:rPr>
          <w:rFonts w:ascii="Arial" w:hAnsi="Arial" w:cs="Arial"/>
          <w:color w:val="000000" w:themeColor="text1"/>
          <w:sz w:val="24"/>
          <w:szCs w:val="24"/>
        </w:rPr>
        <w:t>, demonstra-se o comportamento dos cinco bancos utilizados no estudo de forma agregada</w:t>
      </w:r>
      <w:r>
        <w:rPr>
          <w:rFonts w:ascii="Arial" w:hAnsi="Arial" w:cs="Arial"/>
          <w:color w:val="000000" w:themeColor="text1"/>
          <w:sz w:val="24"/>
          <w:szCs w:val="24"/>
        </w:rPr>
        <w:t>. A agregação dos dados se dá por soma simples das contas do Ativo referente às operações de crédito além dos Títulos e Valores mobiliários (TVM) de forma que as médias apresentadas são ponderadas.</w:t>
      </w:r>
    </w:p>
    <w:p w:rsidR="00D84CB2" w:rsidRPr="007A487C" w:rsidRDefault="00D84CB2" w:rsidP="007A487C">
      <w:pPr>
        <w:spacing w:line="360" w:lineRule="auto"/>
        <w:ind w:firstLine="708"/>
        <w:jc w:val="both"/>
        <w:rPr>
          <w:rFonts w:ascii="Arial" w:hAnsi="Arial" w:cs="Arial"/>
          <w:sz w:val="24"/>
          <w:szCs w:val="24"/>
        </w:rPr>
      </w:pPr>
      <w:r>
        <w:rPr>
          <w:rFonts w:ascii="Arial" w:hAnsi="Arial" w:cs="Arial"/>
          <w:sz w:val="24"/>
          <w:szCs w:val="24"/>
        </w:rPr>
        <w:lastRenderedPageBreak/>
        <w:t>Pondera-se que na composição das carteiras dos cinco maiores bancos, até meados de 2006, havia um equilíbrio entre as operações de crédito e as com TVM, apresentando em alguns momentos uma superioridade dos TVM, ou seja, os bancos preferiam a segurança dos TVM em vez de oferecer crédito.</w:t>
      </w:r>
    </w:p>
    <w:p w:rsidR="00B33923" w:rsidRPr="00B33923" w:rsidRDefault="00B33923" w:rsidP="00B33923">
      <w:pPr>
        <w:pStyle w:val="Legenda"/>
        <w:keepNext/>
        <w:spacing w:after="0"/>
        <w:jc w:val="center"/>
        <w:rPr>
          <w:rFonts w:ascii="Arial" w:hAnsi="Arial" w:cs="Arial"/>
          <w:color w:val="auto"/>
          <w:sz w:val="24"/>
          <w:szCs w:val="24"/>
        </w:rPr>
      </w:pPr>
      <w:r w:rsidRPr="00B33923">
        <w:rPr>
          <w:rFonts w:ascii="Arial" w:hAnsi="Arial" w:cs="Arial"/>
          <w:color w:val="auto"/>
          <w:sz w:val="24"/>
          <w:szCs w:val="24"/>
        </w:rPr>
        <w:t>Gráfico 3</w:t>
      </w:r>
      <w:r>
        <w:rPr>
          <w:rFonts w:ascii="Arial" w:hAnsi="Arial" w:cs="Arial"/>
          <w:color w:val="auto"/>
          <w:sz w:val="24"/>
          <w:szCs w:val="24"/>
        </w:rPr>
        <w:t xml:space="preserve"> - OP. Crédito x Títulos e valores mobiliários*, 2000 - </w:t>
      </w:r>
      <w:proofErr w:type="gramStart"/>
      <w:r>
        <w:rPr>
          <w:rFonts w:ascii="Arial" w:hAnsi="Arial" w:cs="Arial"/>
          <w:color w:val="auto"/>
          <w:sz w:val="24"/>
          <w:szCs w:val="24"/>
        </w:rPr>
        <w:t>2016</w:t>
      </w:r>
      <w:proofErr w:type="gramEnd"/>
    </w:p>
    <w:p w:rsidR="00821A1B" w:rsidRPr="00B77B33" w:rsidRDefault="00D84CB2" w:rsidP="00821A1B">
      <w:pPr>
        <w:spacing w:line="240" w:lineRule="auto"/>
        <w:rPr>
          <w:rFonts w:ascii="Arial" w:hAnsi="Arial" w:cs="Arial"/>
          <w:b/>
          <w:color w:val="000000" w:themeColor="text1"/>
          <w:sz w:val="20"/>
          <w:szCs w:val="24"/>
        </w:rPr>
      </w:pPr>
      <w:r>
        <w:rPr>
          <w:noProof/>
          <w:lang w:eastAsia="pt-BR"/>
        </w:rPr>
        <w:drawing>
          <wp:inline distT="0" distB="0" distL="0" distR="0" wp14:anchorId="392CE3C2" wp14:editId="0A2A4AAB">
            <wp:extent cx="5705475" cy="282892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7703D3">
        <w:rPr>
          <w:rFonts w:ascii="Arial" w:hAnsi="Arial" w:cs="Arial"/>
          <w:b/>
          <w:color w:val="000000" w:themeColor="text1"/>
          <w:sz w:val="20"/>
          <w:szCs w:val="24"/>
        </w:rPr>
        <w:t>Fonte: Banco Central, elaboração própria.</w:t>
      </w:r>
      <w:r>
        <w:rPr>
          <w:rFonts w:ascii="Arial" w:hAnsi="Arial" w:cs="Arial"/>
          <w:b/>
          <w:color w:val="000000" w:themeColor="text1"/>
          <w:sz w:val="20"/>
          <w:szCs w:val="24"/>
        </w:rPr>
        <w:br/>
        <w:t>*Média ponderada do</w:t>
      </w:r>
      <w:r w:rsidR="00B77B33">
        <w:rPr>
          <w:rFonts w:ascii="Arial" w:hAnsi="Arial" w:cs="Arial"/>
          <w:b/>
          <w:color w:val="000000" w:themeColor="text1"/>
          <w:sz w:val="20"/>
          <w:szCs w:val="24"/>
        </w:rPr>
        <w:t>s cinco maiores bancos do país.</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Vale ressaltar que nos primeiros anos da série aqui estudada a economia brasileira passou por momentos de grande incerteza. O início do RMI foi bastante conturbado com diversas dúvidas quanto à capacidade desse regime de manter a inflação em </w:t>
      </w:r>
      <w:r w:rsidRPr="00E5709D">
        <w:rPr>
          <w:rFonts w:ascii="Arial" w:hAnsi="Arial" w:cs="Arial"/>
          <w:sz w:val="24"/>
          <w:szCs w:val="24"/>
        </w:rPr>
        <w:t xml:space="preserve">patamares sustentáveis. </w:t>
      </w:r>
      <w:r>
        <w:rPr>
          <w:rFonts w:ascii="Arial" w:hAnsi="Arial" w:cs="Arial"/>
          <w:sz w:val="24"/>
          <w:szCs w:val="24"/>
        </w:rPr>
        <w:t>Além disso, em 2001, sucessivos choques adversos afetaram a economia, tais como (i) a crise do setor energético; (</w:t>
      </w:r>
      <w:proofErr w:type="spellStart"/>
      <w:proofErr w:type="gramStart"/>
      <w:r>
        <w:rPr>
          <w:rFonts w:ascii="Arial" w:hAnsi="Arial" w:cs="Arial"/>
          <w:sz w:val="24"/>
          <w:szCs w:val="24"/>
        </w:rPr>
        <w:t>ii</w:t>
      </w:r>
      <w:proofErr w:type="spellEnd"/>
      <w:proofErr w:type="gramEnd"/>
      <w:r>
        <w:rPr>
          <w:rFonts w:ascii="Arial" w:hAnsi="Arial" w:cs="Arial"/>
          <w:sz w:val="24"/>
          <w:szCs w:val="24"/>
        </w:rPr>
        <w:t>) maior volatilidade do preço do petróleo; (</w:t>
      </w:r>
      <w:proofErr w:type="spellStart"/>
      <w:r>
        <w:rPr>
          <w:rFonts w:ascii="Arial" w:hAnsi="Arial" w:cs="Arial"/>
          <w:sz w:val="24"/>
          <w:szCs w:val="24"/>
        </w:rPr>
        <w:t>iii</w:t>
      </w:r>
      <w:proofErr w:type="spellEnd"/>
      <w:r>
        <w:rPr>
          <w:rFonts w:ascii="Arial" w:hAnsi="Arial" w:cs="Arial"/>
          <w:sz w:val="24"/>
          <w:szCs w:val="24"/>
        </w:rPr>
        <w:t xml:space="preserve">) crise da argentina. Em 2002, ano eleitoral, as expectativas em relação à liderança do candidato do Partido dos Trabalhadores e sua possível vitória marcaram negativamente às expectativas dos agentes. (OREIRO, 2005) </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Já a partir de 2004, com um ambiente macroeconômico favorável aliado a um cenário internacional positivo, tanto em termos de troca, quanto em fluxo de liquidez para países emergentes, os bancos passaram a rever suas estratégias quanto à composição de suas carteiras, passando a privilegiar o crescimento do crédito. Ademais, os </w:t>
      </w:r>
      <w:r w:rsidR="002F039D">
        <w:rPr>
          <w:rFonts w:ascii="Arial" w:hAnsi="Arial" w:cs="Arial"/>
          <w:sz w:val="24"/>
          <w:szCs w:val="24"/>
        </w:rPr>
        <w:t>diferentes</w:t>
      </w:r>
      <w:r>
        <w:rPr>
          <w:rFonts w:ascii="Arial" w:hAnsi="Arial" w:cs="Arial"/>
          <w:sz w:val="24"/>
          <w:szCs w:val="24"/>
        </w:rPr>
        <w:t xml:space="preserve"> períodos podem ser vistos através do comportamento da taxa Selic, conforme o gráfico </w:t>
      </w:r>
      <w:proofErr w:type="gramStart"/>
      <w:r>
        <w:rPr>
          <w:rFonts w:ascii="Arial" w:hAnsi="Arial" w:cs="Arial"/>
          <w:sz w:val="24"/>
          <w:szCs w:val="24"/>
        </w:rPr>
        <w:t>2</w:t>
      </w:r>
      <w:proofErr w:type="gramEnd"/>
      <w:r>
        <w:rPr>
          <w:rFonts w:ascii="Arial" w:hAnsi="Arial" w:cs="Arial"/>
          <w:sz w:val="24"/>
          <w:szCs w:val="24"/>
        </w:rPr>
        <w:t xml:space="preserve">. Os momentos adversos, anteriores a 2004, tem reflexo na taxa Selic, cujos valores alcançam o maior patamar dentre o período </w:t>
      </w:r>
      <w:r>
        <w:rPr>
          <w:rFonts w:ascii="Arial" w:hAnsi="Arial" w:cs="Arial"/>
          <w:sz w:val="24"/>
          <w:szCs w:val="24"/>
        </w:rPr>
        <w:lastRenderedPageBreak/>
        <w:t>analisado. Da mesma forma, o período posterior a 2004 apresenta tendência de queda que se reverte apenas em meados de 2013.</w:t>
      </w:r>
    </w:p>
    <w:p w:rsidR="00D84CB2" w:rsidRDefault="00D84CB2" w:rsidP="000A3253">
      <w:pPr>
        <w:spacing w:after="0" w:line="360" w:lineRule="auto"/>
        <w:jc w:val="both"/>
        <w:rPr>
          <w:rFonts w:ascii="Arial" w:hAnsi="Arial" w:cs="Arial"/>
          <w:sz w:val="24"/>
          <w:szCs w:val="24"/>
        </w:rPr>
      </w:pPr>
      <w:r>
        <w:rPr>
          <w:rFonts w:ascii="Arial" w:hAnsi="Arial" w:cs="Arial"/>
          <w:sz w:val="24"/>
          <w:szCs w:val="24"/>
        </w:rPr>
        <w:tab/>
        <w:t>Ao se verificar a participação do TVM sobre a composição do ativo total, segregada pelos bancos aqui estudados, observa-</w:t>
      </w:r>
      <w:r w:rsidR="003825B6">
        <w:rPr>
          <w:rFonts w:ascii="Arial" w:hAnsi="Arial" w:cs="Arial"/>
          <w:sz w:val="24"/>
          <w:szCs w:val="24"/>
        </w:rPr>
        <w:t>se a</w:t>
      </w:r>
      <w:r w:rsidRPr="00E5709D">
        <w:rPr>
          <w:rFonts w:ascii="Arial" w:hAnsi="Arial" w:cs="Arial"/>
          <w:sz w:val="24"/>
          <w:szCs w:val="24"/>
        </w:rPr>
        <w:t xml:space="preserve"> </w:t>
      </w:r>
      <w:r w:rsidR="003825B6">
        <w:rPr>
          <w:rFonts w:ascii="Arial" w:hAnsi="Arial" w:cs="Arial"/>
          <w:sz w:val="24"/>
          <w:szCs w:val="24"/>
        </w:rPr>
        <w:t>opção</w:t>
      </w:r>
      <w:r w:rsidRPr="00E5709D">
        <w:rPr>
          <w:rFonts w:ascii="Arial" w:hAnsi="Arial" w:cs="Arial"/>
          <w:sz w:val="24"/>
          <w:szCs w:val="24"/>
        </w:rPr>
        <w:t xml:space="preserve"> </w:t>
      </w:r>
      <w:r>
        <w:rPr>
          <w:rFonts w:ascii="Arial" w:hAnsi="Arial" w:cs="Arial"/>
          <w:sz w:val="24"/>
          <w:szCs w:val="24"/>
        </w:rPr>
        <w:t>de cada um pela preferência pela liquidez.</w:t>
      </w:r>
    </w:p>
    <w:p w:rsidR="009531B8" w:rsidRDefault="009531B8" w:rsidP="000A3253">
      <w:pPr>
        <w:spacing w:after="0" w:line="360" w:lineRule="auto"/>
        <w:jc w:val="both"/>
        <w:rPr>
          <w:rFonts w:ascii="Arial" w:hAnsi="Arial" w:cs="Arial"/>
          <w:sz w:val="24"/>
          <w:szCs w:val="24"/>
        </w:rPr>
      </w:pPr>
    </w:p>
    <w:p w:rsidR="00B33923" w:rsidRPr="00B33923" w:rsidRDefault="00B33923" w:rsidP="00B21CC5">
      <w:pPr>
        <w:pStyle w:val="Legenda"/>
        <w:keepNext/>
        <w:spacing w:after="0"/>
        <w:jc w:val="center"/>
        <w:rPr>
          <w:rFonts w:ascii="Arial" w:hAnsi="Arial" w:cs="Arial"/>
          <w:color w:val="auto"/>
          <w:sz w:val="24"/>
          <w:szCs w:val="24"/>
        </w:rPr>
      </w:pPr>
      <w:r w:rsidRPr="00B33923">
        <w:rPr>
          <w:rFonts w:ascii="Arial" w:hAnsi="Arial" w:cs="Arial"/>
          <w:color w:val="auto"/>
          <w:sz w:val="24"/>
          <w:szCs w:val="24"/>
        </w:rPr>
        <w:t xml:space="preserve">Gráfico 4 - Preferência pela Liquidez*, </w:t>
      </w:r>
      <w:r w:rsidR="00B21CC5">
        <w:rPr>
          <w:rFonts w:ascii="Arial" w:hAnsi="Arial" w:cs="Arial"/>
          <w:color w:val="auto"/>
          <w:sz w:val="24"/>
          <w:szCs w:val="24"/>
        </w:rPr>
        <w:t xml:space="preserve">2000 - </w:t>
      </w:r>
      <w:proofErr w:type="gramStart"/>
      <w:r w:rsidR="00B21CC5">
        <w:rPr>
          <w:rFonts w:ascii="Arial" w:hAnsi="Arial" w:cs="Arial"/>
          <w:color w:val="auto"/>
          <w:sz w:val="24"/>
          <w:szCs w:val="24"/>
        </w:rPr>
        <w:t>2016</w:t>
      </w:r>
      <w:proofErr w:type="gramEnd"/>
    </w:p>
    <w:p w:rsidR="00821A1B" w:rsidRPr="00B77B33" w:rsidRDefault="00D84CB2" w:rsidP="00821A1B">
      <w:pPr>
        <w:spacing w:line="240" w:lineRule="auto"/>
        <w:rPr>
          <w:rFonts w:ascii="Arial" w:hAnsi="Arial" w:cs="Arial"/>
          <w:b/>
          <w:color w:val="000000" w:themeColor="text1"/>
          <w:sz w:val="20"/>
          <w:szCs w:val="24"/>
        </w:rPr>
      </w:pPr>
      <w:r>
        <w:rPr>
          <w:noProof/>
          <w:lang w:eastAsia="pt-BR"/>
        </w:rPr>
        <w:drawing>
          <wp:inline distT="0" distB="0" distL="0" distR="0" wp14:anchorId="137F36A6" wp14:editId="12603E72">
            <wp:extent cx="5772150" cy="306705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703D3">
        <w:rPr>
          <w:rFonts w:ascii="Arial" w:hAnsi="Arial" w:cs="Arial"/>
          <w:b/>
          <w:color w:val="000000" w:themeColor="text1"/>
          <w:sz w:val="20"/>
          <w:szCs w:val="24"/>
        </w:rPr>
        <w:t>Fonte: Banco Central, elaboração própria.</w:t>
      </w:r>
      <w:r w:rsidR="003825B6">
        <w:rPr>
          <w:rFonts w:ascii="Arial" w:hAnsi="Arial" w:cs="Arial"/>
          <w:b/>
          <w:color w:val="000000" w:themeColor="text1"/>
          <w:sz w:val="20"/>
          <w:szCs w:val="24"/>
        </w:rPr>
        <w:br/>
      </w:r>
      <w:r>
        <w:rPr>
          <w:rFonts w:ascii="Arial" w:hAnsi="Arial" w:cs="Arial"/>
          <w:b/>
          <w:color w:val="000000" w:themeColor="text1"/>
          <w:sz w:val="20"/>
          <w:szCs w:val="24"/>
        </w:rPr>
        <w:t>*Relação entre TVM</w:t>
      </w:r>
      <w:r w:rsidR="003825B6">
        <w:rPr>
          <w:rFonts w:ascii="Arial" w:hAnsi="Arial" w:cs="Arial"/>
          <w:b/>
          <w:color w:val="000000" w:themeColor="text1"/>
          <w:sz w:val="20"/>
          <w:szCs w:val="24"/>
        </w:rPr>
        <w:t xml:space="preserve"> e instrumentos derivativos</w:t>
      </w:r>
      <w:r w:rsidR="00B77B33">
        <w:rPr>
          <w:rFonts w:ascii="Arial" w:hAnsi="Arial" w:cs="Arial"/>
          <w:b/>
          <w:color w:val="000000" w:themeColor="text1"/>
          <w:sz w:val="20"/>
          <w:szCs w:val="24"/>
        </w:rPr>
        <w:t>/Ativo Total.</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Nos primeiros anos da série analisada Santander, CEF e Banco do Brasil mostram uma </w:t>
      </w:r>
      <w:r w:rsidRPr="00E5709D">
        <w:rPr>
          <w:rFonts w:ascii="Arial" w:hAnsi="Arial" w:cs="Arial"/>
          <w:sz w:val="24"/>
          <w:szCs w:val="24"/>
        </w:rPr>
        <w:t xml:space="preserve">grande preferência pela liquidez </w:t>
      </w:r>
      <w:r>
        <w:rPr>
          <w:rFonts w:ascii="Arial" w:hAnsi="Arial" w:cs="Arial"/>
          <w:sz w:val="24"/>
          <w:szCs w:val="24"/>
        </w:rPr>
        <w:t xml:space="preserve">direcionando </w:t>
      </w:r>
      <w:r w:rsidR="003825B6">
        <w:rPr>
          <w:rFonts w:ascii="Arial" w:hAnsi="Arial" w:cs="Arial"/>
          <w:sz w:val="24"/>
          <w:szCs w:val="24"/>
        </w:rPr>
        <w:t>quase 50%</w:t>
      </w:r>
      <w:r>
        <w:rPr>
          <w:rFonts w:ascii="Arial" w:hAnsi="Arial" w:cs="Arial"/>
          <w:sz w:val="24"/>
          <w:szCs w:val="24"/>
        </w:rPr>
        <w:t xml:space="preserve"> de seu ativo às operações com TVM. Com uma melhoria do ambiente macroeconômico a partir de 2004 o apetite pela liquidez se reduz. Destaca-se a movimentação dos bancos públicos, CEF e BB, que no início da série </w:t>
      </w:r>
      <w:r w:rsidR="003825B6">
        <w:rPr>
          <w:rFonts w:ascii="Arial" w:hAnsi="Arial" w:cs="Arial"/>
          <w:sz w:val="24"/>
          <w:szCs w:val="24"/>
        </w:rPr>
        <w:t>possuíam grande apetite</w:t>
      </w:r>
      <w:r>
        <w:rPr>
          <w:rFonts w:ascii="Arial" w:hAnsi="Arial" w:cs="Arial"/>
          <w:sz w:val="24"/>
          <w:szCs w:val="24"/>
        </w:rPr>
        <w:t xml:space="preserve"> pela liquidez e no término da série ocupavam posições menos liquidas.</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Essa troca de posição se deve à crise de 2008, cujos bancos públicos foram utilizados como ferramenta anticíclica oferecendo crédito em um momento de forte crise de âmbito mundial</w:t>
      </w:r>
      <w:r w:rsidR="003825B6">
        <w:rPr>
          <w:rFonts w:ascii="Arial" w:hAnsi="Arial" w:cs="Arial"/>
          <w:sz w:val="24"/>
          <w:szCs w:val="24"/>
        </w:rPr>
        <w:t>, ou seja, abrindo espaço para o crédito em seu ativo</w:t>
      </w:r>
      <w:r>
        <w:rPr>
          <w:rFonts w:ascii="Arial" w:hAnsi="Arial" w:cs="Arial"/>
          <w:sz w:val="24"/>
          <w:szCs w:val="24"/>
        </w:rPr>
        <w:t>. Vale ressaltar o conservadorismo dos bancos Itaú e Bradesco que durante todo período estudado se mostraram menos propenso</w:t>
      </w:r>
      <w:r w:rsidR="00EB5525">
        <w:rPr>
          <w:rFonts w:ascii="Arial" w:hAnsi="Arial" w:cs="Arial"/>
          <w:sz w:val="24"/>
          <w:szCs w:val="24"/>
        </w:rPr>
        <w:t>s</w:t>
      </w:r>
      <w:r>
        <w:rPr>
          <w:rFonts w:ascii="Arial" w:hAnsi="Arial" w:cs="Arial"/>
          <w:sz w:val="24"/>
          <w:szCs w:val="24"/>
        </w:rPr>
        <w:t xml:space="preserve"> a alterar bruscamente sua preferência pela liquidez.</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lastRenderedPageBreak/>
        <w:t>Verificando-se a proporção de operações de crédito em relação ao ativo de forma segregada,</w:t>
      </w:r>
      <w:r w:rsidR="00365BCB">
        <w:rPr>
          <w:rFonts w:ascii="Arial" w:hAnsi="Arial" w:cs="Arial"/>
          <w:sz w:val="24"/>
          <w:szCs w:val="24"/>
        </w:rPr>
        <w:t xml:space="preserve"> gráfico </w:t>
      </w:r>
      <w:proofErr w:type="gramStart"/>
      <w:r w:rsidR="00365BCB">
        <w:rPr>
          <w:rFonts w:ascii="Arial" w:hAnsi="Arial" w:cs="Arial"/>
          <w:sz w:val="24"/>
          <w:szCs w:val="24"/>
        </w:rPr>
        <w:t>5</w:t>
      </w:r>
      <w:proofErr w:type="gramEnd"/>
      <w:r w:rsidR="00365BCB">
        <w:rPr>
          <w:rFonts w:ascii="Arial" w:hAnsi="Arial" w:cs="Arial"/>
          <w:sz w:val="24"/>
          <w:szCs w:val="24"/>
        </w:rPr>
        <w:t>,</w:t>
      </w:r>
      <w:r>
        <w:rPr>
          <w:rFonts w:ascii="Arial" w:hAnsi="Arial" w:cs="Arial"/>
          <w:sz w:val="24"/>
          <w:szCs w:val="24"/>
        </w:rPr>
        <w:t xml:space="preserve"> percebe-se, como na relação por preferência pela liquidez, uma distinção de comportamento por parte dos bancos públicos. Até o período anterior à crise de 2008 ressalta-se um conservadorismo por parte dos bancos públicos, principalmente por parte da CEF, e que, somente durante o início da crise</w:t>
      </w:r>
      <w:r w:rsidR="00FD2ED4">
        <w:rPr>
          <w:rFonts w:ascii="Arial" w:hAnsi="Arial" w:cs="Arial"/>
          <w:sz w:val="24"/>
          <w:szCs w:val="24"/>
        </w:rPr>
        <w:t>,</w:t>
      </w:r>
      <w:r>
        <w:rPr>
          <w:rFonts w:ascii="Arial" w:hAnsi="Arial" w:cs="Arial"/>
          <w:sz w:val="24"/>
          <w:szCs w:val="24"/>
        </w:rPr>
        <w:t xml:space="preserve"> os bancos públicos tomam a dianteira com a relação ao crédito. Fica claro também uma convergência, ao final do período analisado, entre o comportamento dos</w:t>
      </w:r>
      <w:r w:rsidR="00FD2ED4">
        <w:rPr>
          <w:rFonts w:ascii="Arial" w:hAnsi="Arial" w:cs="Arial"/>
          <w:sz w:val="24"/>
          <w:szCs w:val="24"/>
        </w:rPr>
        <w:t xml:space="preserve"> diferentes</w:t>
      </w:r>
      <w:r>
        <w:rPr>
          <w:rFonts w:ascii="Arial" w:hAnsi="Arial" w:cs="Arial"/>
          <w:sz w:val="24"/>
          <w:szCs w:val="24"/>
        </w:rPr>
        <w:t xml:space="preserve"> bancos privados.</w:t>
      </w:r>
    </w:p>
    <w:p w:rsidR="009531B8" w:rsidRDefault="009531B8" w:rsidP="000A3253">
      <w:pPr>
        <w:spacing w:after="0" w:line="360" w:lineRule="auto"/>
        <w:ind w:firstLine="708"/>
        <w:jc w:val="both"/>
        <w:rPr>
          <w:rFonts w:ascii="Arial" w:hAnsi="Arial" w:cs="Arial"/>
          <w:sz w:val="24"/>
          <w:szCs w:val="24"/>
        </w:rPr>
      </w:pPr>
    </w:p>
    <w:p w:rsidR="00B21CC5" w:rsidRPr="00B21CC5" w:rsidRDefault="00B21CC5" w:rsidP="00B21CC5">
      <w:pPr>
        <w:pStyle w:val="Legenda"/>
        <w:keepNext/>
        <w:spacing w:after="0"/>
        <w:jc w:val="center"/>
        <w:rPr>
          <w:rFonts w:ascii="Arial" w:hAnsi="Arial" w:cs="Arial"/>
          <w:color w:val="auto"/>
          <w:sz w:val="24"/>
          <w:szCs w:val="24"/>
        </w:rPr>
      </w:pPr>
      <w:r w:rsidRPr="00B21CC5">
        <w:rPr>
          <w:rFonts w:ascii="Arial" w:hAnsi="Arial" w:cs="Arial"/>
          <w:color w:val="auto"/>
          <w:sz w:val="24"/>
          <w:szCs w:val="24"/>
        </w:rPr>
        <w:t xml:space="preserve">Gráfico 5 </w:t>
      </w:r>
      <w:r>
        <w:rPr>
          <w:rFonts w:ascii="Arial" w:hAnsi="Arial" w:cs="Arial"/>
          <w:color w:val="auto"/>
          <w:sz w:val="24"/>
          <w:szCs w:val="24"/>
        </w:rPr>
        <w:t>–</w:t>
      </w:r>
      <w:r w:rsidRPr="00B21CC5">
        <w:rPr>
          <w:rFonts w:ascii="Arial" w:hAnsi="Arial" w:cs="Arial"/>
          <w:color w:val="auto"/>
          <w:sz w:val="24"/>
          <w:szCs w:val="24"/>
        </w:rPr>
        <w:t xml:space="preserve"> </w:t>
      </w:r>
      <w:r>
        <w:rPr>
          <w:rFonts w:ascii="Arial" w:hAnsi="Arial" w:cs="Arial"/>
          <w:color w:val="auto"/>
          <w:sz w:val="24"/>
          <w:szCs w:val="24"/>
        </w:rPr>
        <w:t>Preferência pelo crédito*, 2000 -</w:t>
      </w:r>
      <w:proofErr w:type="gramStart"/>
      <w:r>
        <w:rPr>
          <w:rFonts w:ascii="Arial" w:hAnsi="Arial" w:cs="Arial"/>
          <w:color w:val="auto"/>
          <w:sz w:val="24"/>
          <w:szCs w:val="24"/>
        </w:rPr>
        <w:t>2016</w:t>
      </w:r>
      <w:proofErr w:type="gramEnd"/>
    </w:p>
    <w:p w:rsidR="00B77B33" w:rsidRPr="00B77B33" w:rsidRDefault="00D84CB2" w:rsidP="00B77B33">
      <w:pPr>
        <w:spacing w:line="240" w:lineRule="auto"/>
        <w:rPr>
          <w:rFonts w:ascii="Arial" w:hAnsi="Arial" w:cs="Arial"/>
          <w:b/>
          <w:color w:val="000000" w:themeColor="text1"/>
          <w:sz w:val="20"/>
          <w:szCs w:val="24"/>
        </w:rPr>
      </w:pPr>
      <w:r>
        <w:rPr>
          <w:noProof/>
          <w:lang w:eastAsia="pt-BR"/>
        </w:rPr>
        <w:drawing>
          <wp:inline distT="0" distB="0" distL="0" distR="0" wp14:anchorId="1148617A" wp14:editId="20D0326E">
            <wp:extent cx="5724525" cy="292417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7703D3">
        <w:rPr>
          <w:rFonts w:ascii="Arial" w:hAnsi="Arial" w:cs="Arial"/>
          <w:b/>
          <w:color w:val="000000" w:themeColor="text1"/>
          <w:sz w:val="20"/>
          <w:szCs w:val="24"/>
        </w:rPr>
        <w:t>Fonte: Banco Central, elaboração própria.</w:t>
      </w:r>
      <w:r w:rsidR="00B21CC5">
        <w:rPr>
          <w:rFonts w:ascii="Arial" w:hAnsi="Arial" w:cs="Arial"/>
          <w:b/>
          <w:color w:val="000000" w:themeColor="text1"/>
          <w:sz w:val="20"/>
          <w:szCs w:val="24"/>
        </w:rPr>
        <w:br/>
        <w:t>*Relação entre operações de crédito e arre</w:t>
      </w:r>
      <w:r w:rsidR="00B77B33">
        <w:rPr>
          <w:rFonts w:ascii="Arial" w:hAnsi="Arial" w:cs="Arial"/>
          <w:b/>
          <w:color w:val="000000" w:themeColor="text1"/>
          <w:sz w:val="20"/>
          <w:szCs w:val="24"/>
        </w:rPr>
        <w:t>ndamento mercantil/Ativo Total.</w:t>
      </w:r>
    </w:p>
    <w:p w:rsidR="00821A1B" w:rsidRDefault="00D84CB2" w:rsidP="000A3253">
      <w:pPr>
        <w:spacing w:after="0" w:line="360" w:lineRule="auto"/>
        <w:ind w:firstLine="708"/>
        <w:jc w:val="both"/>
        <w:rPr>
          <w:rFonts w:ascii="Arial" w:hAnsi="Arial" w:cs="Arial"/>
          <w:sz w:val="24"/>
          <w:szCs w:val="24"/>
        </w:rPr>
      </w:pPr>
      <w:r>
        <w:rPr>
          <w:rFonts w:ascii="Arial" w:hAnsi="Arial" w:cs="Arial"/>
          <w:sz w:val="24"/>
          <w:szCs w:val="24"/>
        </w:rPr>
        <w:t>Pelo lado do passivo, de forma a sustentar a e</w:t>
      </w:r>
      <w:r w:rsidR="00EB5525">
        <w:rPr>
          <w:rFonts w:ascii="Arial" w:hAnsi="Arial" w:cs="Arial"/>
          <w:sz w:val="24"/>
          <w:szCs w:val="24"/>
        </w:rPr>
        <w:t>levação do crédito que se iniciou</w:t>
      </w:r>
      <w:r>
        <w:rPr>
          <w:rFonts w:ascii="Arial" w:hAnsi="Arial" w:cs="Arial"/>
          <w:sz w:val="24"/>
          <w:szCs w:val="24"/>
        </w:rPr>
        <w:t xml:space="preserve"> em 2004</w:t>
      </w:r>
      <w:r w:rsidR="00EB5525">
        <w:rPr>
          <w:rFonts w:ascii="Arial" w:hAnsi="Arial" w:cs="Arial"/>
          <w:sz w:val="24"/>
          <w:szCs w:val="24"/>
        </w:rPr>
        <w:t>, segundo</w:t>
      </w:r>
      <w:r w:rsidR="00891C0B">
        <w:rPr>
          <w:rFonts w:ascii="Arial" w:hAnsi="Arial" w:cs="Arial"/>
          <w:sz w:val="24"/>
          <w:szCs w:val="24"/>
        </w:rPr>
        <w:t xml:space="preserve"> ARAUJO</w:t>
      </w:r>
      <w:r>
        <w:rPr>
          <w:rFonts w:ascii="Arial" w:hAnsi="Arial" w:cs="Arial"/>
          <w:sz w:val="24"/>
          <w:szCs w:val="24"/>
        </w:rPr>
        <w:t xml:space="preserve"> </w:t>
      </w:r>
      <w:r w:rsidR="00891C0B">
        <w:rPr>
          <w:rFonts w:ascii="Arial" w:hAnsi="Arial" w:cs="Arial"/>
          <w:sz w:val="24"/>
          <w:szCs w:val="24"/>
        </w:rPr>
        <w:t>(</w:t>
      </w:r>
      <w:r>
        <w:rPr>
          <w:rFonts w:ascii="Arial" w:hAnsi="Arial" w:cs="Arial"/>
          <w:sz w:val="24"/>
          <w:szCs w:val="24"/>
        </w:rPr>
        <w:t xml:space="preserve">2012), os bancos passaram a privilegiar os depósitos a prazo a partir de </w:t>
      </w:r>
      <w:r w:rsidR="00FD2ED4">
        <w:rPr>
          <w:rFonts w:ascii="Arial" w:hAnsi="Arial" w:cs="Arial"/>
          <w:sz w:val="24"/>
          <w:szCs w:val="24"/>
        </w:rPr>
        <w:t>então</w:t>
      </w:r>
      <w:r>
        <w:rPr>
          <w:rFonts w:ascii="Arial" w:hAnsi="Arial" w:cs="Arial"/>
          <w:sz w:val="24"/>
          <w:szCs w:val="24"/>
        </w:rPr>
        <w:t xml:space="preserve">, como mostra o gráfico </w:t>
      </w:r>
      <w:proofErr w:type="gramStart"/>
      <w:r w:rsidR="00365BCB">
        <w:rPr>
          <w:rFonts w:ascii="Arial" w:hAnsi="Arial" w:cs="Arial"/>
          <w:sz w:val="24"/>
          <w:szCs w:val="24"/>
        </w:rPr>
        <w:t>6</w:t>
      </w:r>
      <w:proofErr w:type="gramEnd"/>
      <w:r>
        <w:rPr>
          <w:rFonts w:ascii="Arial" w:hAnsi="Arial" w:cs="Arial"/>
          <w:sz w:val="24"/>
          <w:szCs w:val="24"/>
        </w:rPr>
        <w:t>. O ciclo de elevação, entretanto, tem curta duração</w:t>
      </w:r>
      <w:r w:rsidR="00FD2ED4">
        <w:rPr>
          <w:rFonts w:ascii="Arial" w:hAnsi="Arial" w:cs="Arial"/>
          <w:sz w:val="24"/>
          <w:szCs w:val="24"/>
        </w:rPr>
        <w:t>,</w:t>
      </w:r>
      <w:r>
        <w:rPr>
          <w:rFonts w:ascii="Arial" w:hAnsi="Arial" w:cs="Arial"/>
          <w:sz w:val="24"/>
          <w:szCs w:val="24"/>
        </w:rPr>
        <w:t xml:space="preserve"> se retraindo em 2006 e voltando a se eleva</w:t>
      </w:r>
      <w:r w:rsidR="00FD2ED4">
        <w:rPr>
          <w:rFonts w:ascii="Arial" w:hAnsi="Arial" w:cs="Arial"/>
          <w:sz w:val="24"/>
          <w:szCs w:val="24"/>
        </w:rPr>
        <w:t>r, e dessa vez de forma robusta</w:t>
      </w:r>
      <w:r w:rsidR="00891C0B">
        <w:rPr>
          <w:rFonts w:ascii="Arial" w:hAnsi="Arial" w:cs="Arial"/>
          <w:sz w:val="24"/>
          <w:szCs w:val="24"/>
        </w:rPr>
        <w:t xml:space="preserve"> a partir da crise de 2008. A p</w:t>
      </w:r>
      <w:r>
        <w:rPr>
          <w:rFonts w:ascii="Arial" w:hAnsi="Arial" w:cs="Arial"/>
          <w:sz w:val="24"/>
          <w:szCs w:val="24"/>
        </w:rPr>
        <w:t xml:space="preserve">artir desse evento, percebe-se uma mudança quanto à preferência pela liquidez medida pela proporção de depósitos a prazo. </w:t>
      </w:r>
      <w:r w:rsidR="00891C0B">
        <w:rPr>
          <w:rFonts w:ascii="Arial" w:hAnsi="Arial" w:cs="Arial"/>
          <w:sz w:val="24"/>
          <w:szCs w:val="24"/>
        </w:rPr>
        <w:t>Podem-se inferir</w:t>
      </w:r>
      <w:r>
        <w:rPr>
          <w:rFonts w:ascii="Arial" w:hAnsi="Arial" w:cs="Arial"/>
          <w:sz w:val="24"/>
          <w:szCs w:val="24"/>
        </w:rPr>
        <w:t xml:space="preserve"> dois tipos de posturas ao se analisar a relação depósitos a prazo/passivo exigível. Uma é em relação ao início do ciclo de crédito, a partir de 2004, e outra referen</w:t>
      </w:r>
      <w:r w:rsidR="00FD2ED4">
        <w:rPr>
          <w:rFonts w:ascii="Arial" w:hAnsi="Arial" w:cs="Arial"/>
          <w:sz w:val="24"/>
          <w:szCs w:val="24"/>
        </w:rPr>
        <w:t>te ao início da crise de 2008.</w:t>
      </w:r>
      <w:r>
        <w:rPr>
          <w:rFonts w:ascii="Arial" w:hAnsi="Arial" w:cs="Arial"/>
          <w:sz w:val="24"/>
          <w:szCs w:val="24"/>
        </w:rPr>
        <w:t xml:space="preserve"> Evidencia-se que a primeira postura tinha o intuito de sustentar o ciclo de crédito que se iniciava. Já a segunda postura, que foi bem mais brusca, além de sustentar o crédito, evidência a </w:t>
      </w:r>
      <w:r>
        <w:rPr>
          <w:rFonts w:ascii="Arial" w:hAnsi="Arial" w:cs="Arial"/>
          <w:sz w:val="24"/>
          <w:szCs w:val="24"/>
        </w:rPr>
        <w:lastRenderedPageBreak/>
        <w:t>preferência pela liquidez no momento de grande incerteza, cujas obrigações de longo prazo dão alívio ao caixa de curto prazo</w:t>
      </w:r>
      <w:r w:rsidR="00FD2ED4">
        <w:rPr>
          <w:rFonts w:ascii="Arial" w:hAnsi="Arial" w:cs="Arial"/>
          <w:sz w:val="24"/>
          <w:szCs w:val="24"/>
        </w:rPr>
        <w:t>, evitando o risco de um possível calote</w:t>
      </w:r>
      <w:r w:rsidR="00365BCB">
        <w:rPr>
          <w:rFonts w:ascii="Arial" w:hAnsi="Arial" w:cs="Arial"/>
          <w:sz w:val="24"/>
          <w:szCs w:val="24"/>
        </w:rPr>
        <w:t xml:space="preserve"> aos saques dos clientes.</w:t>
      </w:r>
      <w:r>
        <w:rPr>
          <w:rFonts w:ascii="Arial" w:hAnsi="Arial" w:cs="Arial"/>
          <w:sz w:val="24"/>
          <w:szCs w:val="24"/>
        </w:rPr>
        <w:t xml:space="preserve"> Já a relação entre depósitos à vista e passivo exigível, não revelam, necessariamente, a preferência pela liquidez dos bancos, sendo melhor utilizado revelando o viés pela liquidez por parte do público (ARAUJO,2012).</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A partir de 2012 </w:t>
      </w:r>
      <w:r w:rsidR="00891C0B">
        <w:rPr>
          <w:rFonts w:ascii="Arial" w:hAnsi="Arial" w:cs="Arial"/>
          <w:sz w:val="24"/>
          <w:szCs w:val="24"/>
        </w:rPr>
        <w:t>houve</w:t>
      </w:r>
      <w:r>
        <w:rPr>
          <w:rFonts w:ascii="Arial" w:hAnsi="Arial" w:cs="Arial"/>
          <w:sz w:val="24"/>
          <w:szCs w:val="24"/>
        </w:rPr>
        <w:t xml:space="preserve"> uma grande queda dos depósitos a prazo na composição do passivo e tal movimento não foi acompanhado por um</w:t>
      </w:r>
      <w:r w:rsidR="00FD2ED4">
        <w:rPr>
          <w:rFonts w:ascii="Arial" w:hAnsi="Arial" w:cs="Arial"/>
          <w:sz w:val="24"/>
          <w:szCs w:val="24"/>
        </w:rPr>
        <w:t xml:space="preserve"> aumento dos depósitos à vista. </w:t>
      </w:r>
      <w:r>
        <w:rPr>
          <w:rFonts w:ascii="Arial" w:hAnsi="Arial" w:cs="Arial"/>
          <w:sz w:val="24"/>
          <w:szCs w:val="24"/>
        </w:rPr>
        <w:t>Durante esse período houve um forte aumento no volume de captações no mercado aberto,</w:t>
      </w:r>
      <w:r w:rsidR="00FD2ED4">
        <w:rPr>
          <w:rFonts w:ascii="Arial" w:hAnsi="Arial" w:cs="Arial"/>
          <w:sz w:val="24"/>
          <w:szCs w:val="24"/>
        </w:rPr>
        <w:t xml:space="preserve"> recompondo o passivo total. E</w:t>
      </w:r>
      <w:r>
        <w:rPr>
          <w:rFonts w:ascii="Arial" w:hAnsi="Arial" w:cs="Arial"/>
          <w:sz w:val="24"/>
          <w:szCs w:val="24"/>
        </w:rPr>
        <w:t xml:space="preserve">ntretanto, esse item do passivo não faz parte deste estudo. </w:t>
      </w:r>
    </w:p>
    <w:p w:rsidR="009531B8" w:rsidRDefault="009531B8" w:rsidP="000A3253">
      <w:pPr>
        <w:spacing w:after="0" w:line="360" w:lineRule="auto"/>
        <w:ind w:firstLine="708"/>
        <w:jc w:val="both"/>
        <w:rPr>
          <w:rFonts w:ascii="Arial" w:hAnsi="Arial" w:cs="Arial"/>
          <w:sz w:val="24"/>
          <w:szCs w:val="24"/>
        </w:rPr>
      </w:pPr>
    </w:p>
    <w:p w:rsidR="00B21CC5" w:rsidRPr="00B21CC5" w:rsidRDefault="00B21CC5" w:rsidP="00B21CC5">
      <w:pPr>
        <w:pStyle w:val="Legenda"/>
        <w:keepNext/>
        <w:spacing w:after="0"/>
        <w:jc w:val="center"/>
        <w:rPr>
          <w:rFonts w:ascii="Arial" w:hAnsi="Arial" w:cs="Arial"/>
          <w:color w:val="auto"/>
          <w:sz w:val="24"/>
          <w:szCs w:val="24"/>
        </w:rPr>
      </w:pPr>
      <w:r w:rsidRPr="00B21CC5">
        <w:rPr>
          <w:rFonts w:ascii="Arial" w:hAnsi="Arial" w:cs="Arial"/>
          <w:color w:val="auto"/>
          <w:sz w:val="24"/>
          <w:szCs w:val="24"/>
        </w:rPr>
        <w:t xml:space="preserve">Gráfico 6 - Passivos*, </w:t>
      </w:r>
      <w:r>
        <w:rPr>
          <w:rFonts w:ascii="Arial" w:hAnsi="Arial" w:cs="Arial"/>
          <w:color w:val="auto"/>
          <w:sz w:val="24"/>
          <w:szCs w:val="24"/>
        </w:rPr>
        <w:t>2000 - 2016</w:t>
      </w:r>
    </w:p>
    <w:p w:rsidR="00821A1B" w:rsidRPr="00B77B33" w:rsidRDefault="00D84CB2" w:rsidP="00821A1B">
      <w:pPr>
        <w:spacing w:line="240" w:lineRule="auto"/>
        <w:rPr>
          <w:rFonts w:ascii="Arial" w:hAnsi="Arial" w:cs="Arial"/>
          <w:b/>
          <w:color w:val="000000" w:themeColor="text1"/>
          <w:sz w:val="20"/>
          <w:szCs w:val="24"/>
        </w:rPr>
      </w:pPr>
      <w:r>
        <w:rPr>
          <w:noProof/>
          <w:lang w:eastAsia="pt-BR"/>
        </w:rPr>
        <w:drawing>
          <wp:inline distT="0" distB="0" distL="0" distR="0" wp14:anchorId="6E2B66C5" wp14:editId="12129858">
            <wp:extent cx="5753100" cy="3076575"/>
            <wp:effectExtent l="0" t="0" r="1905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7703D3">
        <w:rPr>
          <w:rFonts w:ascii="Arial" w:hAnsi="Arial" w:cs="Arial"/>
          <w:b/>
          <w:color w:val="000000" w:themeColor="text1"/>
          <w:sz w:val="20"/>
          <w:szCs w:val="24"/>
        </w:rPr>
        <w:t>Fonte: Banco Central, elaboração própria.</w:t>
      </w:r>
      <w:r>
        <w:rPr>
          <w:rFonts w:ascii="Arial" w:hAnsi="Arial" w:cs="Arial"/>
          <w:b/>
          <w:color w:val="000000" w:themeColor="text1"/>
          <w:sz w:val="20"/>
          <w:szCs w:val="24"/>
        </w:rPr>
        <w:br/>
        <w:t>*Valores referentes à média pond</w:t>
      </w:r>
      <w:r w:rsidR="00B77B33">
        <w:rPr>
          <w:rFonts w:ascii="Arial" w:hAnsi="Arial" w:cs="Arial"/>
          <w:b/>
          <w:color w:val="000000" w:themeColor="text1"/>
          <w:sz w:val="20"/>
          <w:szCs w:val="24"/>
        </w:rPr>
        <w:t>erada dos cinco maiores bancos.</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Quando segregado por instituições, a relação dos depósitos a prazo como proporção do passivo exigível demonstra um comportamento similar entre as instituições, com destaque ape</w:t>
      </w:r>
      <w:r w:rsidR="00891C0B">
        <w:rPr>
          <w:rFonts w:ascii="Arial" w:hAnsi="Arial" w:cs="Arial"/>
          <w:sz w:val="24"/>
          <w:szCs w:val="24"/>
        </w:rPr>
        <w:t>nas para o</w:t>
      </w:r>
      <w:r>
        <w:rPr>
          <w:rFonts w:ascii="Arial" w:hAnsi="Arial" w:cs="Arial"/>
          <w:sz w:val="24"/>
          <w:szCs w:val="24"/>
        </w:rPr>
        <w:t xml:space="preserve"> banco Itaú que no período da crise (2008), alavancou substancialmente a relação de depósitos a prazo</w:t>
      </w:r>
      <w:r w:rsidR="00891C0B">
        <w:rPr>
          <w:rFonts w:ascii="Arial" w:hAnsi="Arial" w:cs="Arial"/>
          <w:sz w:val="24"/>
          <w:szCs w:val="24"/>
        </w:rPr>
        <w:t>, revelando uma corrida à</w:t>
      </w:r>
      <w:r>
        <w:rPr>
          <w:rFonts w:ascii="Arial" w:hAnsi="Arial" w:cs="Arial"/>
          <w:sz w:val="24"/>
          <w:szCs w:val="24"/>
        </w:rPr>
        <w:t xml:space="preserve"> segurança</w:t>
      </w:r>
      <w:r w:rsidR="00B7579B">
        <w:rPr>
          <w:rFonts w:ascii="Arial" w:hAnsi="Arial" w:cs="Arial"/>
          <w:sz w:val="24"/>
          <w:szCs w:val="24"/>
        </w:rPr>
        <w:t>,</w:t>
      </w:r>
      <w:r>
        <w:rPr>
          <w:rFonts w:ascii="Arial" w:hAnsi="Arial" w:cs="Arial"/>
          <w:sz w:val="24"/>
          <w:szCs w:val="24"/>
        </w:rPr>
        <w:t xml:space="preserve"> alongando suas obrigações. </w:t>
      </w:r>
      <w:r w:rsidR="00B7579B">
        <w:rPr>
          <w:rFonts w:ascii="Arial" w:hAnsi="Arial" w:cs="Arial"/>
          <w:sz w:val="24"/>
          <w:szCs w:val="24"/>
        </w:rPr>
        <w:t xml:space="preserve">Infere-se que esse </w:t>
      </w:r>
      <w:r>
        <w:rPr>
          <w:rFonts w:ascii="Arial" w:hAnsi="Arial" w:cs="Arial"/>
          <w:sz w:val="24"/>
          <w:szCs w:val="24"/>
        </w:rPr>
        <w:t xml:space="preserve">comportamento </w:t>
      </w:r>
      <w:r w:rsidR="00B7579B">
        <w:rPr>
          <w:rFonts w:ascii="Arial" w:hAnsi="Arial" w:cs="Arial"/>
          <w:sz w:val="24"/>
          <w:szCs w:val="24"/>
        </w:rPr>
        <w:t xml:space="preserve">é devido </w:t>
      </w:r>
      <w:r w:rsidR="00FD2ED4">
        <w:rPr>
          <w:rFonts w:ascii="Arial" w:hAnsi="Arial" w:cs="Arial"/>
          <w:sz w:val="24"/>
          <w:szCs w:val="24"/>
        </w:rPr>
        <w:t>à</w:t>
      </w:r>
      <w:r w:rsidR="00B7579B">
        <w:rPr>
          <w:rFonts w:ascii="Arial" w:hAnsi="Arial" w:cs="Arial"/>
          <w:sz w:val="24"/>
          <w:szCs w:val="24"/>
        </w:rPr>
        <w:t xml:space="preserve"> crise,</w:t>
      </w:r>
      <w:r>
        <w:rPr>
          <w:rFonts w:ascii="Arial" w:hAnsi="Arial" w:cs="Arial"/>
          <w:sz w:val="24"/>
          <w:szCs w:val="24"/>
        </w:rPr>
        <w:t xml:space="preserve"> pois</w:t>
      </w:r>
      <w:r w:rsidR="00B7579B">
        <w:rPr>
          <w:rFonts w:ascii="Arial" w:hAnsi="Arial" w:cs="Arial"/>
          <w:sz w:val="24"/>
          <w:szCs w:val="24"/>
        </w:rPr>
        <w:t>, a partir dela,</w:t>
      </w:r>
      <w:r>
        <w:rPr>
          <w:rFonts w:ascii="Arial" w:hAnsi="Arial" w:cs="Arial"/>
          <w:sz w:val="24"/>
          <w:szCs w:val="24"/>
        </w:rPr>
        <w:t xml:space="preserve"> a relação </w:t>
      </w:r>
      <w:r w:rsidR="00B7579B">
        <w:rPr>
          <w:rFonts w:ascii="Arial" w:hAnsi="Arial" w:cs="Arial"/>
          <w:sz w:val="24"/>
          <w:szCs w:val="24"/>
        </w:rPr>
        <w:t>diminui, voltando a patamares iniciais.</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lastRenderedPageBreak/>
        <w:t xml:space="preserve">Percebe-se pelo comportamento segregado por bancos, que a preferência pela liquidez demonstrada pela corrida aos depósitos a prazo se torna relevante </w:t>
      </w:r>
      <w:r w:rsidR="00B7579B">
        <w:rPr>
          <w:rFonts w:ascii="Arial" w:hAnsi="Arial" w:cs="Arial"/>
          <w:sz w:val="24"/>
          <w:szCs w:val="24"/>
        </w:rPr>
        <w:t>durante a crise de 2008,</w:t>
      </w:r>
      <w:r>
        <w:rPr>
          <w:rFonts w:ascii="Arial" w:hAnsi="Arial" w:cs="Arial"/>
          <w:sz w:val="24"/>
          <w:szCs w:val="24"/>
        </w:rPr>
        <w:t xml:space="preserve"> </w:t>
      </w:r>
      <w:r w:rsidR="00B7579B">
        <w:rPr>
          <w:rFonts w:ascii="Arial" w:hAnsi="Arial" w:cs="Arial"/>
          <w:sz w:val="24"/>
          <w:szCs w:val="24"/>
        </w:rPr>
        <w:t>pois não foi o primeiro momento conturbado</w:t>
      </w:r>
      <w:r w:rsidR="00ED161D">
        <w:rPr>
          <w:rFonts w:ascii="Arial" w:hAnsi="Arial" w:cs="Arial"/>
          <w:sz w:val="24"/>
          <w:szCs w:val="24"/>
        </w:rPr>
        <w:t xml:space="preserve"> que país</w:t>
      </w:r>
      <w:r w:rsidR="00B7579B">
        <w:rPr>
          <w:rFonts w:ascii="Arial" w:hAnsi="Arial" w:cs="Arial"/>
          <w:sz w:val="24"/>
          <w:szCs w:val="24"/>
        </w:rPr>
        <w:t xml:space="preserve"> </w:t>
      </w:r>
      <w:r w:rsidR="00ED161D">
        <w:rPr>
          <w:rFonts w:ascii="Arial" w:hAnsi="Arial" w:cs="Arial"/>
          <w:sz w:val="24"/>
          <w:szCs w:val="24"/>
        </w:rPr>
        <w:t>atravessou. E</w:t>
      </w:r>
      <w:r>
        <w:rPr>
          <w:rFonts w:ascii="Arial" w:hAnsi="Arial" w:cs="Arial"/>
          <w:sz w:val="24"/>
          <w:szCs w:val="24"/>
        </w:rPr>
        <w:t>ntretanto,</w:t>
      </w:r>
      <w:r w:rsidR="00ED161D">
        <w:rPr>
          <w:rFonts w:ascii="Arial" w:hAnsi="Arial" w:cs="Arial"/>
          <w:sz w:val="24"/>
          <w:szCs w:val="24"/>
        </w:rPr>
        <w:t xml:space="preserve"> foi apenas durante ela que praticamen</w:t>
      </w:r>
      <w:r w:rsidR="00891C0B">
        <w:rPr>
          <w:rFonts w:ascii="Arial" w:hAnsi="Arial" w:cs="Arial"/>
          <w:sz w:val="24"/>
          <w:szCs w:val="24"/>
        </w:rPr>
        <w:t>te todos os bancos, exceção da C</w:t>
      </w:r>
      <w:r w:rsidR="00ED161D">
        <w:rPr>
          <w:rFonts w:ascii="Arial" w:hAnsi="Arial" w:cs="Arial"/>
          <w:sz w:val="24"/>
          <w:szCs w:val="24"/>
        </w:rPr>
        <w:t>aixa, elevaram substancialmente suas proporções de depósitos prazo. Tal fato pode se</w:t>
      </w:r>
      <w:r w:rsidR="00891C0B">
        <w:rPr>
          <w:rFonts w:ascii="Arial" w:hAnsi="Arial" w:cs="Arial"/>
          <w:sz w:val="24"/>
          <w:szCs w:val="24"/>
        </w:rPr>
        <w:t>r explicado devido à conjuntura;</w:t>
      </w:r>
      <w:r w:rsidR="00ED161D">
        <w:rPr>
          <w:rFonts w:ascii="Arial" w:hAnsi="Arial" w:cs="Arial"/>
          <w:sz w:val="24"/>
          <w:szCs w:val="24"/>
        </w:rPr>
        <w:t xml:space="preserve"> </w:t>
      </w:r>
      <w:r w:rsidR="00891C0B">
        <w:rPr>
          <w:rFonts w:ascii="Arial" w:hAnsi="Arial" w:cs="Arial"/>
          <w:sz w:val="24"/>
          <w:szCs w:val="24"/>
        </w:rPr>
        <w:t>c</w:t>
      </w:r>
      <w:r w:rsidR="00B1636E">
        <w:rPr>
          <w:rFonts w:ascii="Arial" w:hAnsi="Arial" w:cs="Arial"/>
          <w:sz w:val="24"/>
          <w:szCs w:val="24"/>
        </w:rPr>
        <w:t xml:space="preserve">onforme demonstrado no gráfico </w:t>
      </w:r>
      <w:proofErr w:type="gramStart"/>
      <w:r w:rsidR="00B1636E">
        <w:rPr>
          <w:rFonts w:ascii="Arial" w:hAnsi="Arial" w:cs="Arial"/>
          <w:sz w:val="24"/>
          <w:szCs w:val="24"/>
        </w:rPr>
        <w:t>3</w:t>
      </w:r>
      <w:proofErr w:type="gramEnd"/>
      <w:r w:rsidR="00377C53">
        <w:rPr>
          <w:rFonts w:ascii="Arial" w:hAnsi="Arial" w:cs="Arial"/>
          <w:sz w:val="24"/>
          <w:szCs w:val="24"/>
        </w:rPr>
        <w:t>, o</w:t>
      </w:r>
      <w:r w:rsidR="00ED161D">
        <w:rPr>
          <w:rFonts w:ascii="Arial" w:hAnsi="Arial" w:cs="Arial"/>
          <w:sz w:val="24"/>
          <w:szCs w:val="24"/>
        </w:rPr>
        <w:t xml:space="preserve">s bancos </w:t>
      </w:r>
      <w:r>
        <w:rPr>
          <w:rFonts w:ascii="Arial" w:hAnsi="Arial" w:cs="Arial"/>
          <w:sz w:val="24"/>
          <w:szCs w:val="24"/>
        </w:rPr>
        <w:t>não possuíam grande exposição ao crédito</w:t>
      </w:r>
      <w:r w:rsidR="00ED161D">
        <w:rPr>
          <w:rFonts w:ascii="Arial" w:hAnsi="Arial" w:cs="Arial"/>
          <w:sz w:val="24"/>
          <w:szCs w:val="24"/>
        </w:rPr>
        <w:t>, tal exposição é recente</w:t>
      </w:r>
      <w:r>
        <w:rPr>
          <w:rFonts w:ascii="Arial" w:hAnsi="Arial" w:cs="Arial"/>
          <w:sz w:val="24"/>
          <w:szCs w:val="24"/>
        </w:rPr>
        <w:t>. Assim, não havia grandes necessidades de alongar seu passivo, pois seu ativo possuía bastante liquidez advinda dos títulos e valores mobiliários.</w:t>
      </w:r>
    </w:p>
    <w:p w:rsidR="009531B8" w:rsidRDefault="009531B8" w:rsidP="000A3253">
      <w:pPr>
        <w:spacing w:after="0" w:line="360" w:lineRule="auto"/>
        <w:ind w:firstLine="708"/>
        <w:jc w:val="both"/>
        <w:rPr>
          <w:rFonts w:ascii="Arial" w:hAnsi="Arial" w:cs="Arial"/>
          <w:sz w:val="24"/>
          <w:szCs w:val="24"/>
        </w:rPr>
      </w:pPr>
    </w:p>
    <w:p w:rsidR="00B21CC5" w:rsidRPr="00B21CC5" w:rsidRDefault="00B21CC5" w:rsidP="00B21CC5">
      <w:pPr>
        <w:pStyle w:val="Legenda"/>
        <w:keepNext/>
        <w:spacing w:after="0"/>
        <w:jc w:val="center"/>
        <w:rPr>
          <w:rFonts w:ascii="Arial" w:hAnsi="Arial" w:cs="Arial"/>
          <w:color w:val="auto"/>
          <w:sz w:val="24"/>
          <w:szCs w:val="24"/>
        </w:rPr>
      </w:pPr>
      <w:r w:rsidRPr="00B21CC5">
        <w:rPr>
          <w:rFonts w:ascii="Arial" w:hAnsi="Arial" w:cs="Arial"/>
          <w:color w:val="auto"/>
          <w:sz w:val="24"/>
          <w:szCs w:val="24"/>
        </w:rPr>
        <w:t xml:space="preserve">Gráfico 7 </w:t>
      </w:r>
      <w:r>
        <w:rPr>
          <w:rFonts w:ascii="Arial" w:hAnsi="Arial" w:cs="Arial"/>
          <w:color w:val="auto"/>
          <w:sz w:val="24"/>
          <w:szCs w:val="24"/>
        </w:rPr>
        <w:t>–</w:t>
      </w:r>
      <w:r w:rsidRPr="00B21CC5">
        <w:rPr>
          <w:rFonts w:ascii="Arial" w:hAnsi="Arial" w:cs="Arial"/>
          <w:color w:val="auto"/>
          <w:sz w:val="24"/>
          <w:szCs w:val="24"/>
        </w:rPr>
        <w:t xml:space="preserve"> </w:t>
      </w:r>
      <w:r>
        <w:rPr>
          <w:rFonts w:ascii="Arial" w:hAnsi="Arial" w:cs="Arial"/>
          <w:color w:val="auto"/>
          <w:sz w:val="24"/>
          <w:szCs w:val="24"/>
        </w:rPr>
        <w:t xml:space="preserve">Liquidez de longo prazo do passivo*, 2000 - </w:t>
      </w:r>
      <w:proofErr w:type="gramStart"/>
      <w:r>
        <w:rPr>
          <w:rFonts w:ascii="Arial" w:hAnsi="Arial" w:cs="Arial"/>
          <w:color w:val="auto"/>
          <w:sz w:val="24"/>
          <w:szCs w:val="24"/>
        </w:rPr>
        <w:t>2016</w:t>
      </w:r>
      <w:proofErr w:type="gramEnd"/>
    </w:p>
    <w:p w:rsidR="00821A1B" w:rsidRPr="00B21CC5" w:rsidRDefault="00D84CB2" w:rsidP="00B21CC5">
      <w:pPr>
        <w:spacing w:line="240" w:lineRule="auto"/>
        <w:rPr>
          <w:rFonts w:ascii="Arial" w:hAnsi="Arial" w:cs="Arial"/>
          <w:b/>
          <w:color w:val="000000" w:themeColor="text1"/>
          <w:sz w:val="20"/>
          <w:szCs w:val="24"/>
        </w:rPr>
      </w:pPr>
      <w:r>
        <w:rPr>
          <w:noProof/>
          <w:lang w:eastAsia="pt-BR"/>
        </w:rPr>
        <w:drawing>
          <wp:inline distT="0" distB="0" distL="0" distR="0" wp14:anchorId="6E6B1659" wp14:editId="1D453EE2">
            <wp:extent cx="5810250" cy="3038475"/>
            <wp:effectExtent l="0" t="0" r="19050"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7703D3">
        <w:rPr>
          <w:rFonts w:ascii="Arial" w:hAnsi="Arial" w:cs="Arial"/>
          <w:b/>
          <w:color w:val="000000" w:themeColor="text1"/>
          <w:sz w:val="20"/>
          <w:szCs w:val="24"/>
        </w:rPr>
        <w:t>Fonte: Banco Central, elaboração própria.</w:t>
      </w:r>
      <w:r w:rsidR="00B21CC5">
        <w:rPr>
          <w:rFonts w:ascii="Arial" w:hAnsi="Arial" w:cs="Arial"/>
          <w:b/>
          <w:color w:val="000000" w:themeColor="text1"/>
          <w:sz w:val="20"/>
          <w:szCs w:val="24"/>
        </w:rPr>
        <w:br/>
        <w:t>* Relação entre dep</w:t>
      </w:r>
      <w:r w:rsidR="00891C0B">
        <w:rPr>
          <w:rFonts w:ascii="Arial" w:hAnsi="Arial" w:cs="Arial"/>
          <w:b/>
          <w:color w:val="000000" w:themeColor="text1"/>
          <w:sz w:val="20"/>
          <w:szCs w:val="24"/>
        </w:rPr>
        <w:t xml:space="preserve">ósitos a prazo/passivo </w:t>
      </w:r>
      <w:proofErr w:type="gramStart"/>
      <w:r w:rsidR="00891C0B">
        <w:rPr>
          <w:rFonts w:ascii="Arial" w:hAnsi="Arial" w:cs="Arial"/>
          <w:b/>
          <w:color w:val="000000" w:themeColor="text1"/>
          <w:sz w:val="20"/>
          <w:szCs w:val="24"/>
        </w:rPr>
        <w:t>exigível</w:t>
      </w:r>
      <w:proofErr w:type="gramEnd"/>
    </w:p>
    <w:p w:rsidR="00D84CB2" w:rsidRDefault="00D84CB2" w:rsidP="00D84CB2">
      <w:pPr>
        <w:spacing w:line="360" w:lineRule="auto"/>
        <w:ind w:firstLine="708"/>
        <w:jc w:val="both"/>
        <w:rPr>
          <w:rFonts w:ascii="Arial" w:hAnsi="Arial" w:cs="Arial"/>
          <w:sz w:val="24"/>
          <w:szCs w:val="24"/>
        </w:rPr>
      </w:pPr>
      <w:r>
        <w:rPr>
          <w:rFonts w:ascii="Arial" w:hAnsi="Arial" w:cs="Arial"/>
          <w:sz w:val="24"/>
          <w:szCs w:val="24"/>
        </w:rPr>
        <w:t xml:space="preserve">No âmbito das receitas, os valores arrecadados com títulos e valores mobiliários e com operações de crédito até o início do ciclo de crédito no país se mostravam próximas. Depreende-se que a busca dos bancos por equilibrar a quantidade de TVM e operações de crédito em seu balanço (Gráfico </w:t>
      </w:r>
      <w:proofErr w:type="gramStart"/>
      <w:r w:rsidR="00F1259F">
        <w:rPr>
          <w:rFonts w:ascii="Arial" w:hAnsi="Arial" w:cs="Arial"/>
          <w:sz w:val="24"/>
          <w:szCs w:val="24"/>
        </w:rPr>
        <w:t>3</w:t>
      </w:r>
      <w:proofErr w:type="gramEnd"/>
      <w:r>
        <w:rPr>
          <w:rFonts w:ascii="Arial" w:hAnsi="Arial" w:cs="Arial"/>
          <w:sz w:val="24"/>
          <w:szCs w:val="24"/>
        </w:rPr>
        <w:t xml:space="preserve">) também resulta em um equilíbrio nas receitas (Gráfico </w:t>
      </w:r>
      <w:r w:rsidR="00F1259F">
        <w:rPr>
          <w:rFonts w:ascii="Arial" w:hAnsi="Arial" w:cs="Arial"/>
          <w:sz w:val="24"/>
          <w:szCs w:val="24"/>
        </w:rPr>
        <w:t>8</w:t>
      </w:r>
      <w:r>
        <w:rPr>
          <w:rFonts w:ascii="Arial" w:hAnsi="Arial" w:cs="Arial"/>
          <w:sz w:val="24"/>
          <w:szCs w:val="24"/>
        </w:rPr>
        <w:t xml:space="preserve">). Vale ressaltar que a proximidade entre os dois é um forte indicador de preferência pela liquidez, e que essa escolha por liquidez foi muito bem remunerada. No gráfico </w:t>
      </w:r>
      <w:proofErr w:type="gramStart"/>
      <w:r w:rsidR="00F1259F">
        <w:rPr>
          <w:rFonts w:ascii="Arial" w:hAnsi="Arial" w:cs="Arial"/>
          <w:sz w:val="24"/>
          <w:szCs w:val="24"/>
        </w:rPr>
        <w:t>8</w:t>
      </w:r>
      <w:proofErr w:type="gramEnd"/>
      <w:r w:rsidR="00B1636E">
        <w:rPr>
          <w:rFonts w:ascii="Arial" w:hAnsi="Arial" w:cs="Arial"/>
          <w:sz w:val="24"/>
          <w:szCs w:val="24"/>
        </w:rPr>
        <w:t>,</w:t>
      </w:r>
      <w:r>
        <w:rPr>
          <w:rFonts w:ascii="Arial" w:hAnsi="Arial" w:cs="Arial"/>
          <w:sz w:val="24"/>
          <w:szCs w:val="24"/>
        </w:rPr>
        <w:t xml:space="preserve"> percebe-se que o período em que as receitas ficaram mais próximas, foi também o período em que a taxa Selic apresentou seu maior patamar. Com a redução da taxa Selic, o custo de oportunidade de se manter a liquidez aumenta, acarretando em mudança de postura </w:t>
      </w:r>
      <w:r>
        <w:rPr>
          <w:rFonts w:ascii="Arial" w:hAnsi="Arial" w:cs="Arial"/>
          <w:sz w:val="24"/>
          <w:szCs w:val="24"/>
        </w:rPr>
        <w:lastRenderedPageBreak/>
        <w:t xml:space="preserve">por parte dos bancos, que passam a privilegiar o crédito. A partir de então, as receitas com operações de crédito passam a se sobrepor em relação </w:t>
      </w:r>
      <w:r w:rsidR="00B1636E">
        <w:rPr>
          <w:rFonts w:ascii="Arial" w:hAnsi="Arial" w:cs="Arial"/>
          <w:sz w:val="24"/>
          <w:szCs w:val="24"/>
        </w:rPr>
        <w:t>às</w:t>
      </w:r>
      <w:r>
        <w:rPr>
          <w:rFonts w:ascii="Arial" w:hAnsi="Arial" w:cs="Arial"/>
          <w:sz w:val="24"/>
          <w:szCs w:val="24"/>
        </w:rPr>
        <w:t xml:space="preserve"> receitas com TVM</w:t>
      </w:r>
      <w:r w:rsidR="00B1636E">
        <w:rPr>
          <w:rFonts w:ascii="Arial" w:hAnsi="Arial" w:cs="Arial"/>
          <w:sz w:val="24"/>
          <w:szCs w:val="24"/>
        </w:rPr>
        <w:t>,</w:t>
      </w:r>
      <w:r>
        <w:rPr>
          <w:rFonts w:ascii="Arial" w:hAnsi="Arial" w:cs="Arial"/>
          <w:sz w:val="24"/>
          <w:szCs w:val="24"/>
        </w:rPr>
        <w:t xml:space="preserve"> cuja relação em momentos de elevações nas taxas de juros se </w:t>
      </w:r>
      <w:proofErr w:type="gramStart"/>
      <w:r>
        <w:rPr>
          <w:rFonts w:ascii="Arial" w:hAnsi="Arial" w:cs="Arial"/>
          <w:sz w:val="24"/>
          <w:szCs w:val="24"/>
        </w:rPr>
        <w:t>tornam</w:t>
      </w:r>
      <w:proofErr w:type="gramEnd"/>
      <w:r>
        <w:rPr>
          <w:rFonts w:ascii="Arial" w:hAnsi="Arial" w:cs="Arial"/>
          <w:sz w:val="24"/>
          <w:szCs w:val="24"/>
        </w:rPr>
        <w:t xml:space="preserve"> visíveis. </w:t>
      </w:r>
    </w:p>
    <w:p w:rsidR="00B21CC5" w:rsidRPr="00B21CC5" w:rsidRDefault="00B21CC5" w:rsidP="00B21CC5">
      <w:pPr>
        <w:pStyle w:val="Legenda"/>
        <w:keepNext/>
        <w:spacing w:after="0"/>
        <w:jc w:val="center"/>
        <w:rPr>
          <w:rFonts w:ascii="Arial" w:hAnsi="Arial" w:cs="Arial"/>
          <w:color w:val="auto"/>
          <w:sz w:val="24"/>
          <w:szCs w:val="24"/>
        </w:rPr>
      </w:pPr>
      <w:r w:rsidRPr="00B21CC5">
        <w:rPr>
          <w:rFonts w:ascii="Arial" w:hAnsi="Arial" w:cs="Arial"/>
          <w:color w:val="auto"/>
          <w:sz w:val="24"/>
          <w:szCs w:val="24"/>
        </w:rPr>
        <w:t xml:space="preserve">Gráfico 8 - Receitas*, </w:t>
      </w:r>
      <w:r w:rsidR="00461E5F">
        <w:rPr>
          <w:rFonts w:ascii="Arial" w:hAnsi="Arial" w:cs="Arial"/>
          <w:color w:val="auto"/>
          <w:sz w:val="24"/>
          <w:szCs w:val="24"/>
        </w:rPr>
        <w:t>2000 - 2016</w:t>
      </w:r>
    </w:p>
    <w:p w:rsidR="00821A1B" w:rsidRPr="00B1636E" w:rsidRDefault="00D84CB2" w:rsidP="00D84CB2">
      <w:pPr>
        <w:spacing w:line="240" w:lineRule="auto"/>
        <w:rPr>
          <w:rFonts w:ascii="Arial" w:hAnsi="Arial" w:cs="Arial"/>
          <w:b/>
          <w:color w:val="000000" w:themeColor="text1"/>
          <w:sz w:val="20"/>
          <w:szCs w:val="24"/>
        </w:rPr>
      </w:pPr>
      <w:r>
        <w:rPr>
          <w:noProof/>
          <w:lang w:eastAsia="pt-BR"/>
        </w:rPr>
        <w:drawing>
          <wp:inline distT="0" distB="0" distL="0" distR="0" wp14:anchorId="048A22D2" wp14:editId="4266870A">
            <wp:extent cx="5781675" cy="24479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703D3">
        <w:rPr>
          <w:rFonts w:ascii="Arial" w:hAnsi="Arial" w:cs="Arial"/>
          <w:b/>
          <w:color w:val="000000" w:themeColor="text1"/>
          <w:sz w:val="20"/>
          <w:szCs w:val="24"/>
        </w:rPr>
        <w:t>Fonte: Banco Central, elaboração própria.</w:t>
      </w:r>
      <w:r>
        <w:rPr>
          <w:rFonts w:ascii="Arial" w:hAnsi="Arial" w:cs="Arial"/>
          <w:b/>
          <w:color w:val="000000" w:themeColor="text1"/>
          <w:sz w:val="20"/>
          <w:szCs w:val="24"/>
        </w:rPr>
        <w:br/>
        <w:t>*</w:t>
      </w:r>
      <w:r w:rsidR="00F1259F">
        <w:rPr>
          <w:rFonts w:ascii="Arial" w:hAnsi="Arial" w:cs="Arial"/>
          <w:b/>
          <w:color w:val="000000" w:themeColor="text1"/>
          <w:sz w:val="20"/>
          <w:szCs w:val="24"/>
        </w:rPr>
        <w:t>Receita</w:t>
      </w:r>
      <w:r w:rsidR="00821A1B">
        <w:rPr>
          <w:rFonts w:ascii="Arial" w:hAnsi="Arial" w:cs="Arial"/>
          <w:b/>
          <w:color w:val="000000" w:themeColor="text1"/>
          <w:sz w:val="20"/>
          <w:szCs w:val="24"/>
        </w:rPr>
        <w:t>s</w:t>
      </w:r>
      <w:r w:rsidR="00F1259F">
        <w:rPr>
          <w:rFonts w:ascii="Arial" w:hAnsi="Arial" w:cs="Arial"/>
          <w:b/>
          <w:color w:val="000000" w:themeColor="text1"/>
          <w:sz w:val="20"/>
          <w:szCs w:val="24"/>
        </w:rPr>
        <w:t xml:space="preserve"> deflacionada</w:t>
      </w:r>
      <w:r w:rsidR="00821A1B">
        <w:rPr>
          <w:rFonts w:ascii="Arial" w:hAnsi="Arial" w:cs="Arial"/>
          <w:b/>
          <w:color w:val="000000" w:themeColor="text1"/>
          <w:sz w:val="20"/>
          <w:szCs w:val="24"/>
        </w:rPr>
        <w:t>s</w:t>
      </w:r>
      <w:r w:rsidR="00F1259F">
        <w:rPr>
          <w:rFonts w:ascii="Arial" w:hAnsi="Arial" w:cs="Arial"/>
          <w:b/>
          <w:color w:val="000000" w:themeColor="text1"/>
          <w:sz w:val="20"/>
          <w:szCs w:val="24"/>
        </w:rPr>
        <w:t xml:space="preserve">. </w:t>
      </w:r>
      <w:r>
        <w:rPr>
          <w:rFonts w:ascii="Arial" w:hAnsi="Arial" w:cs="Arial"/>
          <w:b/>
          <w:color w:val="000000" w:themeColor="text1"/>
          <w:sz w:val="20"/>
          <w:szCs w:val="24"/>
        </w:rPr>
        <w:t>Valores referentes à média ponderada dos cinco maiores bancos.</w:t>
      </w:r>
    </w:p>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Ao se verificar a remuneração advinda do estoque de crédito, ou seja, a relação entre receita com operações de crédito versus o estoque percebe-se uma maior eficiência por parte dos bancos privados</w:t>
      </w:r>
      <w:r w:rsidR="00F1259F">
        <w:rPr>
          <w:rFonts w:ascii="Arial" w:hAnsi="Arial" w:cs="Arial"/>
          <w:sz w:val="24"/>
          <w:szCs w:val="24"/>
        </w:rPr>
        <w:t>,</w:t>
      </w:r>
      <w:r>
        <w:rPr>
          <w:rFonts w:ascii="Arial" w:hAnsi="Arial" w:cs="Arial"/>
          <w:sz w:val="24"/>
          <w:szCs w:val="24"/>
        </w:rPr>
        <w:t xml:space="preserve"> que durante a maior parte do período analisado conseguem um retorno acima dos bancos públicos. Tal situação pode ser explicada pelo fato dos bancos públicos serem usados como ferramenta anticíclica, ou seja, enquanto os demais bancos escolhem criteriosamente a quem fornecer o crédito, levando em conta o ambiente de incertezas, os bancos públicos podem adotar uma postura mais flexível, relaxando os critérios de seleção para o crédito, ou mesmo, uma busca por projetos socialmente interessantes, que produzem externalidades positivas, mas não necessariamente retornos financeiros positivos. (GUERREIRO, 2015)</w:t>
      </w:r>
    </w:p>
    <w:p w:rsidR="00D84CB2" w:rsidRDefault="00D84CB2" w:rsidP="000A3253">
      <w:pPr>
        <w:spacing w:after="0" w:line="360" w:lineRule="auto"/>
        <w:jc w:val="both"/>
        <w:rPr>
          <w:rFonts w:ascii="Arial" w:hAnsi="Arial" w:cs="Arial"/>
          <w:sz w:val="24"/>
          <w:szCs w:val="24"/>
        </w:rPr>
      </w:pPr>
      <w:r>
        <w:rPr>
          <w:rFonts w:ascii="Arial" w:hAnsi="Arial" w:cs="Arial"/>
          <w:sz w:val="24"/>
          <w:szCs w:val="24"/>
        </w:rPr>
        <w:tab/>
        <w:t xml:space="preserve">No gráfico </w:t>
      </w:r>
      <w:proofErr w:type="gramStart"/>
      <w:r>
        <w:rPr>
          <w:rFonts w:ascii="Arial" w:hAnsi="Arial" w:cs="Arial"/>
          <w:sz w:val="24"/>
          <w:szCs w:val="24"/>
        </w:rPr>
        <w:t>9</w:t>
      </w:r>
      <w:proofErr w:type="gramEnd"/>
      <w:r w:rsidR="009531B8">
        <w:rPr>
          <w:rFonts w:ascii="Arial" w:hAnsi="Arial" w:cs="Arial"/>
          <w:sz w:val="24"/>
          <w:szCs w:val="24"/>
        </w:rPr>
        <w:t>, a seguir,</w:t>
      </w:r>
      <w:r>
        <w:rPr>
          <w:rFonts w:ascii="Arial" w:hAnsi="Arial" w:cs="Arial"/>
          <w:sz w:val="24"/>
          <w:szCs w:val="24"/>
        </w:rPr>
        <w:t xml:space="preserve"> fica evidente a diferença no retorno das operações de crédito por parte dos bancos públicos. Ademais, verifica-se um retorno similar entre os bancos privados com destaque para o banco Itaú durante o período entre 2004 e 2008.</w:t>
      </w:r>
    </w:p>
    <w:p w:rsidR="00461E5F" w:rsidRPr="00461E5F" w:rsidRDefault="00461E5F" w:rsidP="00461E5F">
      <w:pPr>
        <w:pStyle w:val="Legenda"/>
        <w:keepNext/>
        <w:spacing w:after="0"/>
        <w:jc w:val="center"/>
        <w:rPr>
          <w:rFonts w:ascii="Arial" w:hAnsi="Arial" w:cs="Arial"/>
          <w:color w:val="auto"/>
          <w:sz w:val="24"/>
          <w:szCs w:val="24"/>
        </w:rPr>
      </w:pPr>
      <w:r w:rsidRPr="00461E5F">
        <w:rPr>
          <w:rFonts w:ascii="Arial" w:hAnsi="Arial" w:cs="Arial"/>
          <w:color w:val="auto"/>
          <w:sz w:val="24"/>
          <w:szCs w:val="24"/>
        </w:rPr>
        <w:lastRenderedPageBreak/>
        <w:t xml:space="preserve">Graf. 9 </w:t>
      </w:r>
      <w:r>
        <w:rPr>
          <w:rFonts w:ascii="Arial" w:hAnsi="Arial" w:cs="Arial"/>
          <w:color w:val="auto"/>
          <w:sz w:val="24"/>
          <w:szCs w:val="24"/>
        </w:rPr>
        <w:t>–</w:t>
      </w:r>
      <w:r w:rsidRPr="00461E5F">
        <w:rPr>
          <w:rFonts w:ascii="Arial" w:hAnsi="Arial" w:cs="Arial"/>
          <w:color w:val="auto"/>
          <w:sz w:val="24"/>
          <w:szCs w:val="24"/>
        </w:rPr>
        <w:t xml:space="preserve"> </w:t>
      </w:r>
      <w:r>
        <w:rPr>
          <w:rFonts w:ascii="Arial" w:hAnsi="Arial" w:cs="Arial"/>
          <w:color w:val="auto"/>
          <w:sz w:val="24"/>
          <w:szCs w:val="24"/>
        </w:rPr>
        <w:t xml:space="preserve">Ganhos com crédito*, 2000 – </w:t>
      </w:r>
      <w:proofErr w:type="gramStart"/>
      <w:r>
        <w:rPr>
          <w:rFonts w:ascii="Arial" w:hAnsi="Arial" w:cs="Arial"/>
          <w:color w:val="auto"/>
          <w:sz w:val="24"/>
          <w:szCs w:val="24"/>
        </w:rPr>
        <w:t>2016</w:t>
      </w:r>
      <w:proofErr w:type="gramEnd"/>
    </w:p>
    <w:p w:rsidR="00461E5F" w:rsidRPr="00C6338A" w:rsidRDefault="00D84CB2" w:rsidP="00B77B33">
      <w:pPr>
        <w:spacing w:line="240" w:lineRule="auto"/>
        <w:rPr>
          <w:rFonts w:ascii="Arial" w:hAnsi="Arial" w:cs="Arial"/>
          <w:b/>
          <w:color w:val="000000" w:themeColor="text1"/>
          <w:sz w:val="20"/>
          <w:szCs w:val="24"/>
        </w:rPr>
      </w:pPr>
      <w:r>
        <w:rPr>
          <w:noProof/>
          <w:lang w:eastAsia="pt-BR"/>
        </w:rPr>
        <w:drawing>
          <wp:inline distT="0" distB="0" distL="0" distR="0" wp14:anchorId="72575FAC" wp14:editId="1CFE4FE8">
            <wp:extent cx="5743575" cy="2619375"/>
            <wp:effectExtent l="0" t="0" r="9525" b="952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703D3">
        <w:rPr>
          <w:rFonts w:ascii="Arial" w:hAnsi="Arial" w:cs="Arial"/>
          <w:b/>
          <w:color w:val="000000" w:themeColor="text1"/>
          <w:sz w:val="20"/>
          <w:szCs w:val="24"/>
        </w:rPr>
        <w:t>Fonte: Banco Central, elaboração própria.</w:t>
      </w:r>
      <w:r w:rsidR="00461E5F">
        <w:rPr>
          <w:rFonts w:ascii="Arial" w:hAnsi="Arial" w:cs="Arial"/>
          <w:b/>
          <w:color w:val="000000" w:themeColor="text1"/>
          <w:sz w:val="20"/>
          <w:szCs w:val="24"/>
        </w:rPr>
        <w:br/>
        <w:t xml:space="preserve">* Relação entre receitas com crédito/crédito </w:t>
      </w:r>
      <w:proofErr w:type="gramStart"/>
      <w:r w:rsidR="00461E5F">
        <w:rPr>
          <w:rFonts w:ascii="Arial" w:hAnsi="Arial" w:cs="Arial"/>
          <w:b/>
          <w:color w:val="000000" w:themeColor="text1"/>
          <w:sz w:val="20"/>
          <w:szCs w:val="24"/>
        </w:rPr>
        <w:t>total</w:t>
      </w:r>
      <w:proofErr w:type="gramEnd"/>
    </w:p>
    <w:p w:rsidR="00D84CB2" w:rsidRDefault="00D84CB2" w:rsidP="00821A1B">
      <w:pPr>
        <w:spacing w:line="360" w:lineRule="auto"/>
        <w:ind w:firstLine="708"/>
        <w:jc w:val="both"/>
        <w:rPr>
          <w:rFonts w:ascii="Arial" w:hAnsi="Arial" w:cs="Arial"/>
          <w:sz w:val="24"/>
          <w:szCs w:val="24"/>
        </w:rPr>
      </w:pPr>
      <w:r>
        <w:rPr>
          <w:rFonts w:ascii="Arial" w:hAnsi="Arial" w:cs="Arial"/>
          <w:sz w:val="24"/>
          <w:szCs w:val="24"/>
        </w:rPr>
        <w:t xml:space="preserve">Na relação entre receitas com TVM e quantidade TVM, </w:t>
      </w:r>
      <w:r w:rsidR="00891C0B">
        <w:rPr>
          <w:rFonts w:ascii="Arial" w:hAnsi="Arial" w:cs="Arial"/>
          <w:sz w:val="24"/>
          <w:szCs w:val="24"/>
        </w:rPr>
        <w:t xml:space="preserve">apresentada no </w:t>
      </w:r>
      <w:r>
        <w:rPr>
          <w:rFonts w:ascii="Arial" w:hAnsi="Arial" w:cs="Arial"/>
          <w:sz w:val="24"/>
          <w:szCs w:val="24"/>
        </w:rPr>
        <w:t xml:space="preserve">gráfico </w:t>
      </w:r>
      <w:r w:rsidR="00356913">
        <w:rPr>
          <w:rFonts w:ascii="Arial" w:hAnsi="Arial" w:cs="Arial"/>
          <w:sz w:val="24"/>
          <w:szCs w:val="24"/>
        </w:rPr>
        <w:t>10</w:t>
      </w:r>
      <w:r>
        <w:rPr>
          <w:rFonts w:ascii="Arial" w:hAnsi="Arial" w:cs="Arial"/>
          <w:sz w:val="24"/>
          <w:szCs w:val="24"/>
        </w:rPr>
        <w:t>, percebe-se um retorno similar entre as instituições durante o período analisado,</w:t>
      </w:r>
      <w:r w:rsidR="00B1636E">
        <w:rPr>
          <w:rFonts w:ascii="Arial" w:hAnsi="Arial" w:cs="Arial"/>
          <w:sz w:val="24"/>
          <w:szCs w:val="24"/>
        </w:rPr>
        <w:t xml:space="preserve"> salvo algumas exceções,</w:t>
      </w:r>
      <w:r>
        <w:rPr>
          <w:rFonts w:ascii="Arial" w:hAnsi="Arial" w:cs="Arial"/>
          <w:sz w:val="24"/>
          <w:szCs w:val="24"/>
        </w:rPr>
        <w:t xml:space="preserve"> o que demonstra de forma geral que, diferentemente das operações de crédito, não há muita margem para se </w:t>
      </w:r>
      <w:proofErr w:type="gramStart"/>
      <w:r>
        <w:rPr>
          <w:rFonts w:ascii="Arial" w:hAnsi="Arial" w:cs="Arial"/>
          <w:sz w:val="24"/>
          <w:szCs w:val="24"/>
        </w:rPr>
        <w:t>obter</w:t>
      </w:r>
      <w:proofErr w:type="gramEnd"/>
      <w:r>
        <w:rPr>
          <w:rFonts w:ascii="Arial" w:hAnsi="Arial" w:cs="Arial"/>
          <w:sz w:val="24"/>
          <w:szCs w:val="24"/>
        </w:rPr>
        <w:t xml:space="preserve"> ganhos diferenciados com títulos e valores mobiliários.</w:t>
      </w:r>
    </w:p>
    <w:p w:rsidR="00461E5F" w:rsidRPr="00461E5F" w:rsidRDefault="00461E5F" w:rsidP="00461E5F">
      <w:pPr>
        <w:pStyle w:val="Legenda"/>
        <w:keepNext/>
        <w:spacing w:after="0"/>
        <w:jc w:val="center"/>
        <w:rPr>
          <w:rFonts w:ascii="Arial" w:hAnsi="Arial" w:cs="Arial"/>
          <w:color w:val="auto"/>
          <w:sz w:val="24"/>
          <w:szCs w:val="24"/>
        </w:rPr>
      </w:pPr>
      <w:r w:rsidRPr="00461E5F">
        <w:rPr>
          <w:rFonts w:ascii="Arial" w:hAnsi="Arial" w:cs="Arial"/>
          <w:color w:val="auto"/>
          <w:sz w:val="24"/>
          <w:szCs w:val="24"/>
        </w:rPr>
        <w:t xml:space="preserve">Gráfico 10 </w:t>
      </w:r>
      <w:r>
        <w:rPr>
          <w:rFonts w:ascii="Arial" w:hAnsi="Arial" w:cs="Arial"/>
          <w:color w:val="auto"/>
          <w:sz w:val="24"/>
          <w:szCs w:val="24"/>
        </w:rPr>
        <w:t>–</w:t>
      </w:r>
      <w:r w:rsidRPr="00461E5F">
        <w:rPr>
          <w:rFonts w:ascii="Arial" w:hAnsi="Arial" w:cs="Arial"/>
          <w:color w:val="auto"/>
          <w:sz w:val="24"/>
          <w:szCs w:val="24"/>
        </w:rPr>
        <w:t xml:space="preserve"> </w:t>
      </w:r>
      <w:r>
        <w:rPr>
          <w:rFonts w:ascii="Arial" w:hAnsi="Arial" w:cs="Arial"/>
          <w:color w:val="auto"/>
          <w:sz w:val="24"/>
          <w:szCs w:val="24"/>
        </w:rPr>
        <w:t xml:space="preserve">Ganhos com liquidez*, 2000 - </w:t>
      </w:r>
      <w:proofErr w:type="gramStart"/>
      <w:r>
        <w:rPr>
          <w:rFonts w:ascii="Arial" w:hAnsi="Arial" w:cs="Arial"/>
          <w:color w:val="auto"/>
          <w:sz w:val="24"/>
          <w:szCs w:val="24"/>
        </w:rPr>
        <w:t>2016</w:t>
      </w:r>
      <w:proofErr w:type="gramEnd"/>
    </w:p>
    <w:p w:rsidR="00461E5F" w:rsidRPr="00C6338A" w:rsidRDefault="00D84CB2" w:rsidP="00B77B33">
      <w:pPr>
        <w:spacing w:line="240" w:lineRule="auto"/>
        <w:rPr>
          <w:rFonts w:ascii="Arial" w:hAnsi="Arial" w:cs="Arial"/>
          <w:b/>
          <w:color w:val="000000" w:themeColor="text1"/>
          <w:sz w:val="20"/>
          <w:szCs w:val="24"/>
        </w:rPr>
      </w:pPr>
      <w:r>
        <w:rPr>
          <w:noProof/>
          <w:lang w:eastAsia="pt-BR"/>
        </w:rPr>
        <w:drawing>
          <wp:inline distT="0" distB="0" distL="0" distR="0" wp14:anchorId="634C4BE0" wp14:editId="0107ACFE">
            <wp:extent cx="5572125" cy="2324100"/>
            <wp:effectExtent l="0" t="0" r="9525"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703D3">
        <w:rPr>
          <w:rFonts w:ascii="Arial" w:hAnsi="Arial" w:cs="Arial"/>
          <w:b/>
          <w:color w:val="000000" w:themeColor="text1"/>
          <w:sz w:val="20"/>
          <w:szCs w:val="24"/>
        </w:rPr>
        <w:t>Fonte: Banco Central, elaboração própria.</w:t>
      </w:r>
      <w:r w:rsidR="00461E5F">
        <w:rPr>
          <w:rFonts w:ascii="Arial" w:hAnsi="Arial" w:cs="Arial"/>
          <w:b/>
          <w:color w:val="000000" w:themeColor="text1"/>
          <w:sz w:val="20"/>
          <w:szCs w:val="24"/>
        </w:rPr>
        <w:br/>
        <w:t>* Rela</w:t>
      </w:r>
      <w:r w:rsidR="00B77B33">
        <w:rPr>
          <w:rFonts w:ascii="Arial" w:hAnsi="Arial" w:cs="Arial"/>
          <w:b/>
          <w:color w:val="000000" w:themeColor="text1"/>
          <w:sz w:val="20"/>
          <w:szCs w:val="24"/>
        </w:rPr>
        <w:t xml:space="preserve">ção entre receitas com </w:t>
      </w:r>
      <w:proofErr w:type="spellStart"/>
      <w:r w:rsidR="00B77B33">
        <w:rPr>
          <w:rFonts w:ascii="Arial" w:hAnsi="Arial" w:cs="Arial"/>
          <w:b/>
          <w:color w:val="000000" w:themeColor="text1"/>
          <w:sz w:val="20"/>
          <w:szCs w:val="24"/>
        </w:rPr>
        <w:t>tvm</w:t>
      </w:r>
      <w:proofErr w:type="spellEnd"/>
      <w:r w:rsidR="00B77B33">
        <w:rPr>
          <w:rFonts w:ascii="Arial" w:hAnsi="Arial" w:cs="Arial"/>
          <w:b/>
          <w:color w:val="000000" w:themeColor="text1"/>
          <w:sz w:val="20"/>
          <w:szCs w:val="24"/>
        </w:rPr>
        <w:t>/</w:t>
      </w:r>
      <w:proofErr w:type="spellStart"/>
      <w:r w:rsidR="00B77B33">
        <w:rPr>
          <w:rFonts w:ascii="Arial" w:hAnsi="Arial" w:cs="Arial"/>
          <w:b/>
          <w:color w:val="000000" w:themeColor="text1"/>
          <w:sz w:val="20"/>
          <w:szCs w:val="24"/>
        </w:rPr>
        <w:t>tvm</w:t>
      </w:r>
      <w:proofErr w:type="spellEnd"/>
      <w:r w:rsidR="00B77B33">
        <w:rPr>
          <w:rFonts w:ascii="Arial" w:hAnsi="Arial" w:cs="Arial"/>
          <w:b/>
          <w:color w:val="000000" w:themeColor="text1"/>
          <w:sz w:val="20"/>
          <w:szCs w:val="24"/>
        </w:rPr>
        <w:t>.</w:t>
      </w:r>
    </w:p>
    <w:p w:rsidR="00461E5F" w:rsidRDefault="00D84CB2" w:rsidP="000A3253">
      <w:pPr>
        <w:spacing w:line="360" w:lineRule="auto"/>
        <w:ind w:firstLine="708"/>
        <w:jc w:val="both"/>
        <w:rPr>
          <w:rFonts w:ascii="Arial" w:hAnsi="Arial" w:cs="Arial"/>
          <w:sz w:val="24"/>
          <w:szCs w:val="24"/>
        </w:rPr>
      </w:pPr>
      <w:r>
        <w:rPr>
          <w:rFonts w:ascii="Arial" w:hAnsi="Arial" w:cs="Arial"/>
          <w:sz w:val="24"/>
          <w:szCs w:val="24"/>
        </w:rPr>
        <w:t xml:space="preserve">Vale ressaltar o desempenho do banco do Brasil, que </w:t>
      </w:r>
      <w:r w:rsidR="00891C0B">
        <w:rPr>
          <w:rFonts w:ascii="Arial" w:hAnsi="Arial" w:cs="Arial"/>
          <w:sz w:val="24"/>
          <w:szCs w:val="24"/>
        </w:rPr>
        <w:t>destoou</w:t>
      </w:r>
      <w:r>
        <w:rPr>
          <w:rFonts w:ascii="Arial" w:hAnsi="Arial" w:cs="Arial"/>
          <w:sz w:val="24"/>
          <w:szCs w:val="24"/>
        </w:rPr>
        <w:t xml:space="preserve"> dos demais a partir de 2011. Esse destaque pode ser explicado como forma de aperfeiçoar os resultados econômico-financeiros, compensando as menores receitas advindas das operações de crédito com melhores resultados dos TVM. Não se </w:t>
      </w:r>
      <w:proofErr w:type="gramStart"/>
      <w:r>
        <w:rPr>
          <w:rFonts w:ascii="Arial" w:hAnsi="Arial" w:cs="Arial"/>
          <w:sz w:val="24"/>
          <w:szCs w:val="24"/>
        </w:rPr>
        <w:t>pode</w:t>
      </w:r>
      <w:proofErr w:type="gramEnd"/>
      <w:r>
        <w:rPr>
          <w:rFonts w:ascii="Arial" w:hAnsi="Arial" w:cs="Arial"/>
          <w:sz w:val="24"/>
          <w:szCs w:val="24"/>
        </w:rPr>
        <w:t xml:space="preserve"> diferenciar, </w:t>
      </w:r>
      <w:r>
        <w:rPr>
          <w:rFonts w:ascii="Arial" w:hAnsi="Arial" w:cs="Arial"/>
          <w:sz w:val="24"/>
          <w:szCs w:val="24"/>
        </w:rPr>
        <w:lastRenderedPageBreak/>
        <w:t>neste caso, os bancos público</w:t>
      </w:r>
      <w:r w:rsidR="00356913">
        <w:rPr>
          <w:rFonts w:ascii="Arial" w:hAnsi="Arial" w:cs="Arial"/>
          <w:sz w:val="24"/>
          <w:szCs w:val="24"/>
        </w:rPr>
        <w:t>s</w:t>
      </w:r>
      <w:r>
        <w:rPr>
          <w:rFonts w:ascii="Arial" w:hAnsi="Arial" w:cs="Arial"/>
          <w:sz w:val="24"/>
          <w:szCs w:val="24"/>
        </w:rPr>
        <w:t xml:space="preserve">, pois a CEF não consegue </w:t>
      </w:r>
      <w:r w:rsidR="00356913">
        <w:rPr>
          <w:rFonts w:ascii="Arial" w:hAnsi="Arial" w:cs="Arial"/>
          <w:sz w:val="24"/>
          <w:szCs w:val="24"/>
        </w:rPr>
        <w:t>o mesmo destaque que o Banco do Brasil.</w:t>
      </w:r>
    </w:p>
    <w:p w:rsidR="00D84CB2" w:rsidRDefault="00891C0B" w:rsidP="000A3253">
      <w:pPr>
        <w:pStyle w:val="Ttulo2"/>
      </w:pPr>
      <w:bookmarkStart w:id="15" w:name="_Toc484350744"/>
      <w:r>
        <w:t>O teste de c</w:t>
      </w:r>
      <w:r w:rsidR="00D84CB2" w:rsidRPr="00BE618E">
        <w:t>ausalidade Granger</w:t>
      </w:r>
      <w:bookmarkEnd w:id="15"/>
    </w:p>
    <w:p w:rsidR="000A3253" w:rsidRPr="000A3253" w:rsidRDefault="000A3253" w:rsidP="000A3253"/>
    <w:p w:rsidR="00D84CB2"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Com intuito de reforçar a analise deste estudo será utilizado um teste de causalidade de Granger </w:t>
      </w:r>
      <w:r w:rsidR="00B1636E">
        <w:rPr>
          <w:rFonts w:ascii="Arial" w:hAnsi="Arial" w:cs="Arial"/>
          <w:sz w:val="24"/>
          <w:szCs w:val="24"/>
        </w:rPr>
        <w:t>a fim de</w:t>
      </w:r>
      <w:r>
        <w:rPr>
          <w:rFonts w:ascii="Arial" w:hAnsi="Arial" w:cs="Arial"/>
          <w:sz w:val="24"/>
          <w:szCs w:val="24"/>
        </w:rPr>
        <w:t xml:space="preserve"> se verificar se há relação de causalidade</w:t>
      </w:r>
      <w:r w:rsidR="00F2080C">
        <w:rPr>
          <w:rFonts w:ascii="Arial" w:hAnsi="Arial" w:cs="Arial"/>
          <w:sz w:val="24"/>
          <w:szCs w:val="24"/>
        </w:rPr>
        <w:t xml:space="preserve"> Granger</w:t>
      </w:r>
      <w:r>
        <w:rPr>
          <w:rFonts w:ascii="Arial" w:hAnsi="Arial" w:cs="Arial"/>
          <w:sz w:val="24"/>
          <w:szCs w:val="24"/>
        </w:rPr>
        <w:t xml:space="preserve"> entre a taxa de juros Selic, que representa uma </w:t>
      </w:r>
      <w:proofErr w:type="gramStart"/>
      <w:r>
        <w:rPr>
          <w:rFonts w:ascii="Arial" w:hAnsi="Arial" w:cs="Arial"/>
          <w:sz w:val="24"/>
          <w:szCs w:val="24"/>
        </w:rPr>
        <w:t>proxy</w:t>
      </w:r>
      <w:proofErr w:type="gramEnd"/>
      <w:r>
        <w:rPr>
          <w:rFonts w:ascii="Arial" w:hAnsi="Arial" w:cs="Arial"/>
          <w:sz w:val="24"/>
          <w:szCs w:val="24"/>
        </w:rPr>
        <w:t xml:space="preserve"> de incertezas, e a quantidade de títulos e valores mobiliários (TVM), utilizado como proxy de preferência pela liquidez. Os dados referentes à quantidade de TVM foram retirados dos balanços trimestrais dos cinco maiores bancos do país, e é representado através de uma média ponderada</w:t>
      </w:r>
      <w:r w:rsidR="00356913">
        <w:rPr>
          <w:rFonts w:ascii="Arial" w:hAnsi="Arial" w:cs="Arial"/>
          <w:sz w:val="24"/>
          <w:szCs w:val="24"/>
        </w:rPr>
        <w:t xml:space="preserve"> desinflacionada pelo IPCA</w:t>
      </w:r>
      <w:r>
        <w:rPr>
          <w:rFonts w:ascii="Arial" w:hAnsi="Arial" w:cs="Arial"/>
          <w:sz w:val="24"/>
          <w:szCs w:val="24"/>
        </w:rPr>
        <w:t>. Levando-se em conta que os dados disponibilizados pelos bancos são trimestrais, utiliza-se uma média geométrica trimestral da taxa Selic para fins de padronização. Ambos dados foram disponibilizados pelo Banco Central, que vão do primeiro trimestre de 2000 ao quarto trimestre de 2016, portanto, 68 observações.</w:t>
      </w:r>
    </w:p>
    <w:p w:rsidR="00B77B33" w:rsidRDefault="00D84CB2" w:rsidP="000A3253">
      <w:pPr>
        <w:spacing w:after="0" w:line="360" w:lineRule="auto"/>
        <w:ind w:firstLine="708"/>
        <w:jc w:val="both"/>
        <w:rPr>
          <w:rFonts w:ascii="Arial" w:hAnsi="Arial" w:cs="Arial"/>
          <w:sz w:val="24"/>
          <w:szCs w:val="24"/>
        </w:rPr>
      </w:pPr>
      <w:r>
        <w:rPr>
          <w:rFonts w:ascii="Arial" w:hAnsi="Arial" w:cs="Arial"/>
          <w:sz w:val="24"/>
          <w:szCs w:val="24"/>
        </w:rPr>
        <w:t xml:space="preserve">Antes de se trabalhar com séries temporais, </w:t>
      </w:r>
      <w:r w:rsidR="00F2080C">
        <w:rPr>
          <w:rFonts w:ascii="Arial" w:hAnsi="Arial" w:cs="Arial"/>
          <w:sz w:val="24"/>
          <w:szCs w:val="24"/>
        </w:rPr>
        <w:t>é necessário</w:t>
      </w:r>
      <w:r>
        <w:rPr>
          <w:rFonts w:ascii="Arial" w:hAnsi="Arial" w:cs="Arial"/>
          <w:sz w:val="24"/>
          <w:szCs w:val="24"/>
        </w:rPr>
        <w:t xml:space="preserve"> verificar se esta é estacionária, ou seja, se possui média, variância e </w:t>
      </w:r>
      <w:proofErr w:type="spellStart"/>
      <w:r>
        <w:rPr>
          <w:rFonts w:ascii="Arial" w:hAnsi="Arial" w:cs="Arial"/>
          <w:sz w:val="24"/>
          <w:szCs w:val="24"/>
        </w:rPr>
        <w:t>autocorrelação</w:t>
      </w:r>
      <w:proofErr w:type="spellEnd"/>
      <w:r>
        <w:rPr>
          <w:rFonts w:ascii="Arial" w:hAnsi="Arial" w:cs="Arial"/>
          <w:sz w:val="24"/>
          <w:szCs w:val="24"/>
        </w:rPr>
        <w:t xml:space="preserve"> constantes ao longo do tempo. Para tal questão é necessário fazer um teste de raiz unitária. O teste utilizado foi o ADF, e os resultados estão </w:t>
      </w:r>
      <w:r w:rsidR="00F2080C">
        <w:rPr>
          <w:rFonts w:ascii="Arial" w:hAnsi="Arial" w:cs="Arial"/>
          <w:sz w:val="24"/>
          <w:szCs w:val="24"/>
        </w:rPr>
        <w:t>apresentados nas tabelas 1 e 2.</w:t>
      </w:r>
    </w:p>
    <w:p w:rsidR="009531B8" w:rsidRDefault="009531B8" w:rsidP="009531B8">
      <w:pPr>
        <w:spacing w:after="0" w:line="360" w:lineRule="auto"/>
        <w:ind w:firstLine="708"/>
        <w:jc w:val="center"/>
        <w:rPr>
          <w:rFonts w:ascii="Arial" w:hAnsi="Arial" w:cs="Arial"/>
          <w:sz w:val="24"/>
          <w:szCs w:val="24"/>
        </w:rPr>
      </w:pPr>
    </w:p>
    <w:p w:rsidR="00D84CB2" w:rsidRPr="0092501D" w:rsidRDefault="00D84CB2" w:rsidP="009531B8">
      <w:pPr>
        <w:spacing w:after="0" w:line="360" w:lineRule="auto"/>
        <w:ind w:firstLine="708"/>
        <w:jc w:val="center"/>
        <w:rPr>
          <w:rFonts w:ascii="Arial" w:hAnsi="Arial" w:cs="Arial"/>
          <w:sz w:val="24"/>
          <w:szCs w:val="24"/>
        </w:rPr>
      </w:pPr>
      <w:r w:rsidRPr="0092501D">
        <w:rPr>
          <w:rFonts w:ascii="Arial" w:hAnsi="Arial" w:cs="Arial"/>
          <w:b/>
          <w:sz w:val="24"/>
          <w:szCs w:val="24"/>
        </w:rPr>
        <w:t>Tabela 1</w:t>
      </w:r>
      <w:r>
        <w:rPr>
          <w:rFonts w:ascii="Arial" w:hAnsi="Arial" w:cs="Arial"/>
          <w:b/>
          <w:sz w:val="24"/>
          <w:szCs w:val="24"/>
        </w:rPr>
        <w:t xml:space="preserve"> </w:t>
      </w:r>
      <w:r>
        <w:rPr>
          <w:rFonts w:ascii="Arial" w:hAnsi="Arial" w:cs="Arial"/>
          <w:sz w:val="24"/>
          <w:szCs w:val="24"/>
        </w:rPr>
        <w:t xml:space="preserve">– Valores do teste </w:t>
      </w:r>
      <w:proofErr w:type="spellStart"/>
      <w:r>
        <w:rPr>
          <w:rFonts w:ascii="Arial" w:hAnsi="Arial" w:cs="Arial"/>
          <w:sz w:val="24"/>
          <w:szCs w:val="24"/>
        </w:rPr>
        <w:t>Dickey-Fuller</w:t>
      </w:r>
      <w:proofErr w:type="spellEnd"/>
      <w:r>
        <w:rPr>
          <w:rFonts w:ascii="Arial" w:hAnsi="Arial" w:cs="Arial"/>
          <w:sz w:val="24"/>
          <w:szCs w:val="24"/>
        </w:rPr>
        <w:t xml:space="preserve"> Aumentado (ADF), sem intercepto e tendência para títulos e valores mobiliários (TVM).</w:t>
      </w:r>
    </w:p>
    <w:p w:rsidR="009F5E14" w:rsidRPr="00B77B33" w:rsidRDefault="00D84CB2" w:rsidP="00B77B33">
      <w:pPr>
        <w:spacing w:line="360" w:lineRule="auto"/>
        <w:jc w:val="center"/>
        <w:rPr>
          <w:rFonts w:ascii="Arial" w:hAnsi="Arial" w:cs="Arial"/>
          <w:sz w:val="24"/>
          <w:szCs w:val="24"/>
        </w:rPr>
      </w:pPr>
      <w:r w:rsidRPr="00F8498E">
        <w:rPr>
          <w:noProof/>
          <w:lang w:eastAsia="pt-BR"/>
        </w:rPr>
        <w:drawing>
          <wp:inline distT="0" distB="0" distL="0" distR="0" wp14:anchorId="1E842CDF" wp14:editId="4FBA1B03">
            <wp:extent cx="5295900" cy="203688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2036885"/>
                    </a:xfrm>
                    <a:prstGeom prst="rect">
                      <a:avLst/>
                    </a:prstGeom>
                    <a:noFill/>
                    <a:ln>
                      <a:noFill/>
                    </a:ln>
                  </pic:spPr>
                </pic:pic>
              </a:graphicData>
            </a:graphic>
          </wp:inline>
        </w:drawing>
      </w:r>
    </w:p>
    <w:p w:rsidR="000A3253" w:rsidRDefault="000A3253" w:rsidP="00461E5F">
      <w:pPr>
        <w:spacing w:after="0" w:line="360" w:lineRule="auto"/>
        <w:ind w:firstLine="708"/>
        <w:jc w:val="center"/>
        <w:rPr>
          <w:rFonts w:ascii="Arial" w:hAnsi="Arial" w:cs="Arial"/>
          <w:b/>
          <w:sz w:val="24"/>
          <w:szCs w:val="24"/>
        </w:rPr>
      </w:pPr>
    </w:p>
    <w:p w:rsidR="000A3253" w:rsidRDefault="000A3253" w:rsidP="00461E5F">
      <w:pPr>
        <w:spacing w:after="0" w:line="360" w:lineRule="auto"/>
        <w:ind w:firstLine="708"/>
        <w:jc w:val="center"/>
        <w:rPr>
          <w:rFonts w:ascii="Arial" w:hAnsi="Arial" w:cs="Arial"/>
          <w:b/>
          <w:sz w:val="24"/>
          <w:szCs w:val="24"/>
        </w:rPr>
      </w:pPr>
    </w:p>
    <w:p w:rsidR="000A3253" w:rsidRDefault="000A3253" w:rsidP="00461E5F">
      <w:pPr>
        <w:spacing w:after="0" w:line="360" w:lineRule="auto"/>
        <w:ind w:firstLine="708"/>
        <w:jc w:val="center"/>
        <w:rPr>
          <w:rFonts w:ascii="Arial" w:hAnsi="Arial" w:cs="Arial"/>
          <w:b/>
          <w:sz w:val="24"/>
          <w:szCs w:val="24"/>
        </w:rPr>
      </w:pPr>
    </w:p>
    <w:p w:rsidR="00D84CB2" w:rsidRDefault="00D84CB2" w:rsidP="00461E5F">
      <w:pPr>
        <w:spacing w:after="0" w:line="360" w:lineRule="auto"/>
        <w:ind w:firstLine="708"/>
        <w:jc w:val="center"/>
        <w:rPr>
          <w:rFonts w:ascii="Arial" w:hAnsi="Arial" w:cs="Arial"/>
          <w:sz w:val="24"/>
          <w:szCs w:val="24"/>
        </w:rPr>
      </w:pPr>
      <w:r w:rsidRPr="0092501D">
        <w:rPr>
          <w:rFonts w:ascii="Arial" w:hAnsi="Arial" w:cs="Arial"/>
          <w:b/>
          <w:sz w:val="24"/>
          <w:szCs w:val="24"/>
        </w:rPr>
        <w:t>Tabela 2</w:t>
      </w:r>
      <w:r>
        <w:rPr>
          <w:rFonts w:ascii="Arial" w:hAnsi="Arial" w:cs="Arial"/>
          <w:sz w:val="24"/>
          <w:szCs w:val="24"/>
        </w:rPr>
        <w:t xml:space="preserve"> - Valores do teste </w:t>
      </w:r>
      <w:proofErr w:type="spellStart"/>
      <w:r>
        <w:rPr>
          <w:rFonts w:ascii="Arial" w:hAnsi="Arial" w:cs="Arial"/>
          <w:sz w:val="24"/>
          <w:szCs w:val="24"/>
        </w:rPr>
        <w:t>Dickey-Fuller</w:t>
      </w:r>
      <w:proofErr w:type="spellEnd"/>
      <w:r>
        <w:rPr>
          <w:rFonts w:ascii="Arial" w:hAnsi="Arial" w:cs="Arial"/>
          <w:sz w:val="24"/>
          <w:szCs w:val="24"/>
        </w:rPr>
        <w:t xml:space="preserve"> Aumentado (ADF), sem intercepto e tendência para taxa Selic.</w:t>
      </w:r>
    </w:p>
    <w:p w:rsidR="00D84CB2" w:rsidRDefault="00D84CB2" w:rsidP="00D84CB2">
      <w:pPr>
        <w:spacing w:line="360" w:lineRule="auto"/>
        <w:jc w:val="center"/>
        <w:rPr>
          <w:rFonts w:ascii="Arial" w:hAnsi="Arial" w:cs="Arial"/>
          <w:sz w:val="24"/>
          <w:szCs w:val="24"/>
        </w:rPr>
      </w:pPr>
      <w:r w:rsidRPr="00F8498E">
        <w:rPr>
          <w:noProof/>
          <w:lang w:eastAsia="pt-BR"/>
        </w:rPr>
        <w:drawing>
          <wp:inline distT="0" distB="0" distL="0" distR="0" wp14:anchorId="31AB29AE" wp14:editId="0E6AC371">
            <wp:extent cx="4619625" cy="1960934"/>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960934"/>
                    </a:xfrm>
                    <a:prstGeom prst="rect">
                      <a:avLst/>
                    </a:prstGeom>
                    <a:noFill/>
                    <a:ln>
                      <a:noFill/>
                    </a:ln>
                  </pic:spPr>
                </pic:pic>
              </a:graphicData>
            </a:graphic>
          </wp:inline>
        </w:drawing>
      </w:r>
    </w:p>
    <w:p w:rsidR="00461E5F" w:rsidRDefault="00D84CB2" w:rsidP="00D84CB2">
      <w:pPr>
        <w:spacing w:line="360" w:lineRule="auto"/>
        <w:jc w:val="both"/>
        <w:rPr>
          <w:rFonts w:ascii="Arial" w:hAnsi="Arial" w:cs="Arial"/>
          <w:sz w:val="24"/>
          <w:szCs w:val="24"/>
        </w:rPr>
      </w:pPr>
      <w:r>
        <w:rPr>
          <w:rFonts w:ascii="Arial" w:hAnsi="Arial" w:cs="Arial"/>
          <w:sz w:val="24"/>
          <w:szCs w:val="24"/>
        </w:rPr>
        <w:tab/>
        <w:t xml:space="preserve">Portanto, </w:t>
      </w:r>
      <w:r w:rsidR="00F2080C">
        <w:rPr>
          <w:rFonts w:ascii="Arial" w:hAnsi="Arial" w:cs="Arial"/>
          <w:sz w:val="24"/>
          <w:szCs w:val="24"/>
        </w:rPr>
        <w:t xml:space="preserve">de acordo com </w:t>
      </w:r>
      <w:proofErr w:type="gramStart"/>
      <w:r w:rsidR="00F2080C">
        <w:rPr>
          <w:rFonts w:ascii="Arial" w:hAnsi="Arial" w:cs="Arial"/>
          <w:sz w:val="24"/>
          <w:szCs w:val="24"/>
        </w:rPr>
        <w:t>os teste</w:t>
      </w:r>
      <w:r w:rsidR="00B1636E">
        <w:rPr>
          <w:rFonts w:ascii="Arial" w:hAnsi="Arial" w:cs="Arial"/>
          <w:sz w:val="24"/>
          <w:szCs w:val="24"/>
        </w:rPr>
        <w:t>s</w:t>
      </w:r>
      <w:r w:rsidR="00F2080C">
        <w:rPr>
          <w:rFonts w:ascii="Arial" w:hAnsi="Arial" w:cs="Arial"/>
          <w:sz w:val="24"/>
          <w:szCs w:val="24"/>
        </w:rPr>
        <w:t xml:space="preserve"> de raiz unitária</w:t>
      </w:r>
      <w:proofErr w:type="gramEnd"/>
      <w:r w:rsidR="00F2080C">
        <w:rPr>
          <w:rFonts w:ascii="Arial" w:hAnsi="Arial" w:cs="Arial"/>
          <w:sz w:val="24"/>
          <w:szCs w:val="24"/>
        </w:rPr>
        <w:t xml:space="preserve">, as séries utilizadas </w:t>
      </w:r>
      <w:r>
        <w:rPr>
          <w:rFonts w:ascii="Arial" w:hAnsi="Arial" w:cs="Arial"/>
          <w:sz w:val="24"/>
          <w:szCs w:val="24"/>
        </w:rPr>
        <w:t xml:space="preserve">para o teste de causalidade de Granger </w:t>
      </w:r>
      <w:r w:rsidR="00B1636E">
        <w:rPr>
          <w:rFonts w:ascii="Arial" w:hAnsi="Arial" w:cs="Arial"/>
          <w:sz w:val="24"/>
          <w:szCs w:val="24"/>
        </w:rPr>
        <w:t>se apresentarão</w:t>
      </w:r>
      <w:r w:rsidR="00F2080C">
        <w:rPr>
          <w:rFonts w:ascii="Arial" w:hAnsi="Arial" w:cs="Arial"/>
          <w:sz w:val="24"/>
          <w:szCs w:val="24"/>
        </w:rPr>
        <w:t xml:space="preserve"> da seguinte forma: </w:t>
      </w:r>
      <w:r>
        <w:rPr>
          <w:rFonts w:ascii="Arial" w:hAnsi="Arial" w:cs="Arial"/>
          <w:sz w:val="24"/>
          <w:szCs w:val="24"/>
        </w:rPr>
        <w:t xml:space="preserve">Selic em primeira diferença </w:t>
      </w:r>
      <w:proofErr w:type="spellStart"/>
      <w:r>
        <w:rPr>
          <w:rFonts w:ascii="Arial" w:hAnsi="Arial" w:cs="Arial"/>
          <w:sz w:val="24"/>
          <w:szCs w:val="24"/>
        </w:rPr>
        <w:t>logaritimizada</w:t>
      </w:r>
      <w:proofErr w:type="spellEnd"/>
      <w:r>
        <w:rPr>
          <w:rFonts w:ascii="Arial" w:hAnsi="Arial" w:cs="Arial"/>
          <w:sz w:val="24"/>
          <w:szCs w:val="24"/>
        </w:rPr>
        <w:t xml:space="preserve">, enquanto a série TVM será utilizada em segunda diferença </w:t>
      </w:r>
      <w:proofErr w:type="spellStart"/>
      <w:r>
        <w:rPr>
          <w:rFonts w:ascii="Arial" w:hAnsi="Arial" w:cs="Arial"/>
          <w:sz w:val="24"/>
          <w:szCs w:val="24"/>
        </w:rPr>
        <w:t>logaritimizada</w:t>
      </w:r>
      <w:proofErr w:type="spellEnd"/>
      <w:r>
        <w:rPr>
          <w:rFonts w:ascii="Arial" w:hAnsi="Arial" w:cs="Arial"/>
          <w:sz w:val="24"/>
          <w:szCs w:val="24"/>
        </w:rPr>
        <w:t xml:space="preserve">.  Os resultados </w:t>
      </w:r>
      <w:r w:rsidR="00F2080C">
        <w:rPr>
          <w:rFonts w:ascii="Arial" w:hAnsi="Arial" w:cs="Arial"/>
          <w:sz w:val="24"/>
          <w:szCs w:val="24"/>
        </w:rPr>
        <w:t xml:space="preserve">do teste de causalidade de Granger </w:t>
      </w:r>
      <w:r>
        <w:rPr>
          <w:rFonts w:ascii="Arial" w:hAnsi="Arial" w:cs="Arial"/>
          <w:sz w:val="24"/>
          <w:szCs w:val="24"/>
        </w:rPr>
        <w:t>são apresentados na tabela 3.</w:t>
      </w:r>
    </w:p>
    <w:p w:rsidR="00D84CB2" w:rsidRPr="00706DF3" w:rsidRDefault="00D84CB2" w:rsidP="00461E5F">
      <w:pPr>
        <w:spacing w:after="0" w:line="360" w:lineRule="auto"/>
        <w:jc w:val="center"/>
        <w:rPr>
          <w:rFonts w:ascii="Arial" w:hAnsi="Arial" w:cs="Arial"/>
          <w:sz w:val="24"/>
          <w:szCs w:val="24"/>
        </w:rPr>
      </w:pPr>
      <w:r w:rsidRPr="00706DF3">
        <w:rPr>
          <w:rFonts w:ascii="Arial" w:hAnsi="Arial" w:cs="Arial"/>
          <w:b/>
          <w:sz w:val="24"/>
          <w:szCs w:val="24"/>
        </w:rPr>
        <w:t>Tabela 3</w:t>
      </w:r>
      <w:r>
        <w:rPr>
          <w:rFonts w:ascii="Arial" w:hAnsi="Arial" w:cs="Arial"/>
          <w:b/>
          <w:sz w:val="24"/>
          <w:szCs w:val="24"/>
        </w:rPr>
        <w:t xml:space="preserve"> </w:t>
      </w:r>
      <w:r>
        <w:rPr>
          <w:rFonts w:ascii="Arial" w:hAnsi="Arial" w:cs="Arial"/>
          <w:sz w:val="24"/>
          <w:szCs w:val="24"/>
        </w:rPr>
        <w:t>– Teste de causalidade de Granger entre a taxa Selic e os títulos e valores mobiliários (TVM) entre o primeiro trimestre de 2000 e o quarto trimestre de 2016.</w:t>
      </w:r>
    </w:p>
    <w:p w:rsidR="00D84CB2" w:rsidRDefault="00D84CB2" w:rsidP="00D84CB2">
      <w:pPr>
        <w:spacing w:line="360" w:lineRule="auto"/>
        <w:jc w:val="center"/>
        <w:rPr>
          <w:rFonts w:ascii="Arial" w:hAnsi="Arial" w:cs="Arial"/>
          <w:sz w:val="24"/>
          <w:szCs w:val="24"/>
        </w:rPr>
      </w:pPr>
      <w:r w:rsidRPr="00706DF3">
        <w:rPr>
          <w:noProof/>
          <w:lang w:eastAsia="pt-BR"/>
        </w:rPr>
        <w:drawing>
          <wp:inline distT="0" distB="0" distL="0" distR="0" wp14:anchorId="30D8879D" wp14:editId="7DD76966">
            <wp:extent cx="4619625" cy="600075"/>
            <wp:effectExtent l="0" t="0" r="9525" b="952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9625" cy="600075"/>
                    </a:xfrm>
                    <a:prstGeom prst="rect">
                      <a:avLst/>
                    </a:prstGeom>
                    <a:noFill/>
                    <a:ln>
                      <a:noFill/>
                    </a:ln>
                  </pic:spPr>
                </pic:pic>
              </a:graphicData>
            </a:graphic>
          </wp:inline>
        </w:drawing>
      </w:r>
    </w:p>
    <w:p w:rsidR="00D84CB2" w:rsidRDefault="00D84CB2" w:rsidP="00D84CB2">
      <w:pPr>
        <w:autoSpaceDE w:val="0"/>
        <w:autoSpaceDN w:val="0"/>
        <w:adjustRightInd w:val="0"/>
        <w:spacing w:after="0" w:line="240" w:lineRule="auto"/>
        <w:rPr>
          <w:rFonts w:ascii="Arial" w:hAnsi="Arial" w:cs="Arial"/>
          <w:sz w:val="24"/>
          <w:szCs w:val="18"/>
        </w:rPr>
      </w:pPr>
      <w:r>
        <w:rPr>
          <w:rFonts w:ascii="Arial" w:hAnsi="Arial" w:cs="Arial"/>
          <w:sz w:val="24"/>
          <w:szCs w:val="18"/>
        </w:rPr>
        <w:tab/>
      </w:r>
    </w:p>
    <w:p w:rsidR="00D84CB2" w:rsidRDefault="00D84CB2" w:rsidP="00D84CB2">
      <w:pPr>
        <w:autoSpaceDE w:val="0"/>
        <w:autoSpaceDN w:val="0"/>
        <w:adjustRightInd w:val="0"/>
        <w:spacing w:after="0" w:line="360" w:lineRule="auto"/>
        <w:ind w:firstLine="708"/>
        <w:jc w:val="both"/>
        <w:rPr>
          <w:rFonts w:ascii="Arial" w:hAnsi="Arial" w:cs="Arial"/>
          <w:sz w:val="24"/>
          <w:szCs w:val="18"/>
        </w:rPr>
      </w:pPr>
      <w:r>
        <w:rPr>
          <w:rFonts w:ascii="Arial" w:hAnsi="Arial" w:cs="Arial"/>
          <w:sz w:val="24"/>
          <w:szCs w:val="18"/>
        </w:rPr>
        <w:t>Segundo o resultado do teste, rejeita-se a hipótese nula de que a taxa Selic não causa alterações na quantidade de Títulos e valores mobiliários a um nível de confiança de 99%. Já a relação inversa, Títulos e valores mobiliários causa</w:t>
      </w:r>
      <w:r w:rsidR="00F2080C">
        <w:rPr>
          <w:rFonts w:ascii="Arial" w:hAnsi="Arial" w:cs="Arial"/>
          <w:sz w:val="24"/>
          <w:szCs w:val="18"/>
        </w:rPr>
        <w:t>m</w:t>
      </w:r>
      <w:r>
        <w:rPr>
          <w:rFonts w:ascii="Arial" w:hAnsi="Arial" w:cs="Arial"/>
          <w:sz w:val="24"/>
          <w:szCs w:val="18"/>
        </w:rPr>
        <w:t xml:space="preserve"> alterações na taxa Selic</w:t>
      </w:r>
      <w:r w:rsidR="00B1636E">
        <w:rPr>
          <w:rFonts w:ascii="Arial" w:hAnsi="Arial" w:cs="Arial"/>
          <w:sz w:val="24"/>
          <w:szCs w:val="18"/>
        </w:rPr>
        <w:t>,</w:t>
      </w:r>
      <w:r>
        <w:rPr>
          <w:rFonts w:ascii="Arial" w:hAnsi="Arial" w:cs="Arial"/>
          <w:sz w:val="24"/>
          <w:szCs w:val="18"/>
        </w:rPr>
        <w:t xml:space="preserve"> não pode ser rejeitada a um nível de confiança de 99%. </w:t>
      </w:r>
    </w:p>
    <w:p w:rsidR="000A1153" w:rsidRDefault="00D84CB2" w:rsidP="009F5E14">
      <w:pPr>
        <w:autoSpaceDE w:val="0"/>
        <w:autoSpaceDN w:val="0"/>
        <w:adjustRightInd w:val="0"/>
        <w:spacing w:after="0" w:line="360" w:lineRule="auto"/>
        <w:ind w:firstLine="708"/>
        <w:jc w:val="both"/>
        <w:rPr>
          <w:rFonts w:ascii="Arial" w:hAnsi="Arial" w:cs="Arial"/>
          <w:sz w:val="24"/>
          <w:szCs w:val="18"/>
        </w:rPr>
      </w:pPr>
      <w:r>
        <w:rPr>
          <w:rFonts w:ascii="Arial" w:hAnsi="Arial" w:cs="Arial"/>
          <w:sz w:val="24"/>
          <w:szCs w:val="18"/>
        </w:rPr>
        <w:t>O resultado do teste de causalidade reforça a ideia pós-</w:t>
      </w:r>
      <w:proofErr w:type="spellStart"/>
      <w:r>
        <w:rPr>
          <w:rFonts w:ascii="Arial" w:hAnsi="Arial" w:cs="Arial"/>
          <w:sz w:val="24"/>
          <w:szCs w:val="18"/>
        </w:rPr>
        <w:t>keynesiana</w:t>
      </w:r>
      <w:proofErr w:type="spellEnd"/>
      <w:r>
        <w:rPr>
          <w:rFonts w:ascii="Arial" w:hAnsi="Arial" w:cs="Arial"/>
          <w:sz w:val="24"/>
          <w:szCs w:val="18"/>
        </w:rPr>
        <w:t xml:space="preserve"> d</w:t>
      </w:r>
      <w:r w:rsidR="00F2080C">
        <w:rPr>
          <w:rFonts w:ascii="Arial" w:hAnsi="Arial" w:cs="Arial"/>
          <w:sz w:val="24"/>
          <w:szCs w:val="18"/>
        </w:rPr>
        <w:t>e que em momentos de incerteza,</w:t>
      </w:r>
      <w:r>
        <w:rPr>
          <w:rFonts w:ascii="Arial" w:hAnsi="Arial" w:cs="Arial"/>
          <w:sz w:val="24"/>
          <w:szCs w:val="18"/>
        </w:rPr>
        <w:t xml:space="preserve"> represen</w:t>
      </w:r>
      <w:r w:rsidR="00F2080C">
        <w:rPr>
          <w:rFonts w:ascii="Arial" w:hAnsi="Arial" w:cs="Arial"/>
          <w:sz w:val="24"/>
          <w:szCs w:val="18"/>
        </w:rPr>
        <w:t>tada pelo patamar da taxa Selic</w:t>
      </w:r>
      <w:r>
        <w:rPr>
          <w:rFonts w:ascii="Arial" w:hAnsi="Arial" w:cs="Arial"/>
          <w:sz w:val="24"/>
          <w:szCs w:val="18"/>
        </w:rPr>
        <w:t xml:space="preserve">, os bancos tendem a procurar segurança dos títulos, ou seja, alterações na taxa Selic influenciam a quantidade de </w:t>
      </w:r>
      <w:r w:rsidR="00F2080C">
        <w:rPr>
          <w:rFonts w:ascii="Arial" w:hAnsi="Arial" w:cs="Arial"/>
          <w:sz w:val="24"/>
          <w:szCs w:val="18"/>
        </w:rPr>
        <w:t>títulos e valores mobiliários na composição</w:t>
      </w:r>
      <w:r w:rsidR="00CA0837">
        <w:rPr>
          <w:rFonts w:ascii="Arial" w:hAnsi="Arial" w:cs="Arial"/>
          <w:sz w:val="24"/>
          <w:szCs w:val="18"/>
        </w:rPr>
        <w:t xml:space="preserve"> dos</w:t>
      </w:r>
      <w:r>
        <w:rPr>
          <w:rFonts w:ascii="Arial" w:hAnsi="Arial" w:cs="Arial"/>
          <w:sz w:val="24"/>
          <w:szCs w:val="18"/>
        </w:rPr>
        <w:t xml:space="preserve"> ativo</w:t>
      </w:r>
      <w:r w:rsidR="00CA0837">
        <w:rPr>
          <w:rFonts w:ascii="Arial" w:hAnsi="Arial" w:cs="Arial"/>
          <w:sz w:val="24"/>
          <w:szCs w:val="18"/>
        </w:rPr>
        <w:t>s</w:t>
      </w:r>
      <w:r>
        <w:rPr>
          <w:rFonts w:ascii="Arial" w:hAnsi="Arial" w:cs="Arial"/>
          <w:sz w:val="24"/>
          <w:szCs w:val="18"/>
        </w:rPr>
        <w:t xml:space="preserve"> </w:t>
      </w:r>
      <w:r w:rsidR="00CA0837">
        <w:rPr>
          <w:rFonts w:ascii="Arial" w:hAnsi="Arial" w:cs="Arial"/>
          <w:sz w:val="24"/>
          <w:szCs w:val="18"/>
        </w:rPr>
        <w:t>do grupo dos bancos aqui analisados.</w:t>
      </w:r>
      <w:r>
        <w:rPr>
          <w:rFonts w:ascii="Arial" w:hAnsi="Arial" w:cs="Arial"/>
          <w:sz w:val="24"/>
          <w:szCs w:val="18"/>
        </w:rPr>
        <w:t xml:space="preserve"> </w:t>
      </w:r>
    </w:p>
    <w:p w:rsidR="00B77B33" w:rsidRDefault="00B77B33" w:rsidP="009F5E14">
      <w:pPr>
        <w:autoSpaceDE w:val="0"/>
        <w:autoSpaceDN w:val="0"/>
        <w:adjustRightInd w:val="0"/>
        <w:spacing w:after="0" w:line="360" w:lineRule="auto"/>
        <w:ind w:firstLine="708"/>
        <w:jc w:val="both"/>
        <w:rPr>
          <w:rFonts w:ascii="Arial" w:hAnsi="Arial" w:cs="Arial"/>
          <w:sz w:val="24"/>
          <w:szCs w:val="18"/>
        </w:rPr>
      </w:pPr>
    </w:p>
    <w:p w:rsidR="000A1153" w:rsidRPr="00B644D5" w:rsidRDefault="000D28D3" w:rsidP="000A1153">
      <w:pPr>
        <w:pStyle w:val="Ttulo1"/>
      </w:pPr>
      <w:bookmarkStart w:id="16" w:name="_Toc484350745"/>
      <w:r>
        <w:lastRenderedPageBreak/>
        <w:t>CONSIDEÇÕES FINAIS</w:t>
      </w:r>
      <w:bookmarkEnd w:id="16"/>
    </w:p>
    <w:p w:rsidR="000A1153" w:rsidRDefault="000A1153" w:rsidP="000A1153">
      <w:pPr>
        <w:spacing w:line="360" w:lineRule="auto"/>
        <w:jc w:val="both"/>
        <w:rPr>
          <w:rFonts w:ascii="Arial" w:hAnsi="Arial" w:cs="Arial"/>
          <w:color w:val="000000" w:themeColor="text1"/>
          <w:sz w:val="24"/>
          <w:szCs w:val="24"/>
        </w:rPr>
      </w:pPr>
    </w:p>
    <w:p w:rsidR="000A1153" w:rsidRDefault="000A1153"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Este capítulo tem como objetivo demonstrar as análises conclusivas a partir dos dados e argumentos verificados ao longo do trabalho. Ademais, foi possível analisar o comportamento bancário sob a ótica da preferência pela liquidez, reconhecendo que alterações na taxa Selic, modificam o </w:t>
      </w:r>
      <w:r w:rsidR="00AC7282">
        <w:rPr>
          <w:rFonts w:ascii="Arial" w:hAnsi="Arial" w:cs="Arial"/>
          <w:color w:val="000000" w:themeColor="text1"/>
          <w:sz w:val="24"/>
          <w:szCs w:val="24"/>
        </w:rPr>
        <w:t>interesse</w:t>
      </w:r>
      <w:r>
        <w:rPr>
          <w:rFonts w:ascii="Arial" w:hAnsi="Arial" w:cs="Arial"/>
          <w:color w:val="000000" w:themeColor="text1"/>
          <w:sz w:val="24"/>
          <w:szCs w:val="24"/>
        </w:rPr>
        <w:t xml:space="preserve"> dos bancos por títulos e valores mobiliários, ou seja, liquidez.</w:t>
      </w:r>
    </w:p>
    <w:p w:rsidR="000A1153" w:rsidRDefault="000A1153"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É preciso levar em consideração, para </w:t>
      </w:r>
      <w:proofErr w:type="gramStart"/>
      <w:r>
        <w:rPr>
          <w:rFonts w:ascii="Arial" w:hAnsi="Arial" w:cs="Arial"/>
          <w:color w:val="000000" w:themeColor="text1"/>
          <w:sz w:val="24"/>
          <w:szCs w:val="24"/>
        </w:rPr>
        <w:t>analise aqui proposta, que o Brasil passou por diversas mudanças estruturais,</w:t>
      </w:r>
      <w:proofErr w:type="gramEnd"/>
      <w:r>
        <w:rPr>
          <w:rFonts w:ascii="Arial" w:hAnsi="Arial" w:cs="Arial"/>
          <w:color w:val="000000" w:themeColor="text1"/>
          <w:sz w:val="24"/>
          <w:szCs w:val="24"/>
        </w:rPr>
        <w:t xml:space="preserve"> e que, de certa forma, essas mudanças carregam consigo vestígios do passado. Do início do regime de metas de inflação até meados de 2006, os cinco bancos aqui estudados, possuíam, em média, a mesma proporção de títulos e valores mobiliários e operações de crédito na composição de seu ativo. Até meados de 2003 a receita advinda dessas duas formas de aplicação dos ativos era similar. Isso demonstra que o receio dos bancos em cumprir sua principal função, emprestar recursos, foi longa e que sua opção pela liquidez foi muito bem remunerada. </w:t>
      </w:r>
    </w:p>
    <w:p w:rsidR="000A1153" w:rsidRDefault="000A1153"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 xml:space="preserve">Pari passu à enorme preferência pela liquidez dos bancos, a taxa de juros Selic encontrava-se em seu maior patamar, chegando a alcançar 45%a.a no início do regime de metas demonstrando que fortes incertezas permeavam a economia brasileira. Com a redução das incertezas, refletida na redução da </w:t>
      </w:r>
      <w:r w:rsidR="00D83884">
        <w:rPr>
          <w:rFonts w:ascii="Arial" w:hAnsi="Arial" w:cs="Arial"/>
          <w:color w:val="000000" w:themeColor="text1"/>
          <w:sz w:val="24"/>
          <w:szCs w:val="24"/>
        </w:rPr>
        <w:t xml:space="preserve">taxa Selic, os bancos mudam sua busca </w:t>
      </w:r>
      <w:r>
        <w:rPr>
          <w:rFonts w:ascii="Arial" w:hAnsi="Arial" w:cs="Arial"/>
          <w:color w:val="000000" w:themeColor="text1"/>
          <w:sz w:val="24"/>
          <w:szCs w:val="24"/>
        </w:rPr>
        <w:t>por liquidez direcionando seus esforços ao crédito.</w:t>
      </w:r>
    </w:p>
    <w:p w:rsidR="000A1153" w:rsidRDefault="000A1153"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Sob uma perspectiva da firma bancária pós-</w:t>
      </w:r>
      <w:proofErr w:type="spellStart"/>
      <w:r>
        <w:rPr>
          <w:rFonts w:ascii="Arial" w:hAnsi="Arial" w:cs="Arial"/>
          <w:color w:val="000000" w:themeColor="text1"/>
          <w:sz w:val="24"/>
          <w:szCs w:val="24"/>
        </w:rPr>
        <w:t>keynesiana</w:t>
      </w:r>
      <w:proofErr w:type="spellEnd"/>
      <w:r>
        <w:rPr>
          <w:rFonts w:ascii="Arial" w:hAnsi="Arial" w:cs="Arial"/>
          <w:color w:val="000000" w:themeColor="text1"/>
          <w:sz w:val="24"/>
          <w:szCs w:val="24"/>
        </w:rPr>
        <w:t xml:space="preserve">, que traz como diferencial a possibilidade dos bancos alterarem a composição de seu passivo de forma a </w:t>
      </w:r>
      <w:proofErr w:type="gramStart"/>
      <w:r>
        <w:rPr>
          <w:rFonts w:ascii="Arial" w:hAnsi="Arial" w:cs="Arial"/>
          <w:color w:val="000000" w:themeColor="text1"/>
          <w:sz w:val="24"/>
          <w:szCs w:val="24"/>
        </w:rPr>
        <w:t>otimizar</w:t>
      </w:r>
      <w:proofErr w:type="gramEnd"/>
      <w:r>
        <w:rPr>
          <w:rFonts w:ascii="Arial" w:hAnsi="Arial" w:cs="Arial"/>
          <w:color w:val="000000" w:themeColor="text1"/>
          <w:sz w:val="24"/>
          <w:szCs w:val="24"/>
        </w:rPr>
        <w:t xml:space="preserve"> seus ganhos, percebe-se uma forte alteração durante a crise de 2008 nos depósitos a prazo o que vai de encontro à teoria, já que, a busca de alongar suas obrigações traz segurança e liquidez a seu balanço. Conforme discutido durante o trabalho, o Brasil passou por vários momentos turbulentos, entretanto somente em 2008 percebe-se uma alteração consistente nos depósitos a prazo. Isso pode ser explicado, em grande parte, devido à baixa exposição dos bancos ao crédito, movimento que muda a partir de 2004. Dessa forma, a crise de 2008 foi primeiro grande evento em que os bancos necessitaram mudar</w:t>
      </w:r>
      <w:r w:rsidR="0020301B">
        <w:rPr>
          <w:rFonts w:ascii="Arial" w:hAnsi="Arial" w:cs="Arial"/>
          <w:color w:val="000000" w:themeColor="text1"/>
          <w:sz w:val="24"/>
          <w:szCs w:val="24"/>
        </w:rPr>
        <w:t>,</w:t>
      </w:r>
      <w:r>
        <w:rPr>
          <w:rFonts w:ascii="Arial" w:hAnsi="Arial" w:cs="Arial"/>
          <w:color w:val="000000" w:themeColor="text1"/>
          <w:sz w:val="24"/>
          <w:szCs w:val="24"/>
        </w:rPr>
        <w:t xml:space="preserve"> bruscamente</w:t>
      </w:r>
      <w:r w:rsidR="0020301B">
        <w:rPr>
          <w:rFonts w:ascii="Arial" w:hAnsi="Arial" w:cs="Arial"/>
          <w:color w:val="000000" w:themeColor="text1"/>
          <w:sz w:val="24"/>
          <w:szCs w:val="24"/>
        </w:rPr>
        <w:t>,</w:t>
      </w:r>
      <w:r>
        <w:rPr>
          <w:rFonts w:ascii="Arial" w:hAnsi="Arial" w:cs="Arial"/>
          <w:color w:val="000000" w:themeColor="text1"/>
          <w:sz w:val="24"/>
          <w:szCs w:val="24"/>
        </w:rPr>
        <w:t xml:space="preserve"> sua</w:t>
      </w:r>
      <w:r w:rsidR="00AC7282">
        <w:rPr>
          <w:rFonts w:ascii="Arial" w:hAnsi="Arial" w:cs="Arial"/>
          <w:color w:val="000000" w:themeColor="text1"/>
          <w:sz w:val="24"/>
          <w:szCs w:val="24"/>
        </w:rPr>
        <w:t>s relações</w:t>
      </w:r>
      <w:r>
        <w:rPr>
          <w:rFonts w:ascii="Arial" w:hAnsi="Arial" w:cs="Arial"/>
          <w:color w:val="000000" w:themeColor="text1"/>
          <w:sz w:val="24"/>
          <w:szCs w:val="24"/>
        </w:rPr>
        <w:t xml:space="preserve"> de depósitos a prazo.</w:t>
      </w:r>
    </w:p>
    <w:p w:rsidR="00AC7282" w:rsidRDefault="00AC7282"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lastRenderedPageBreak/>
        <w:t>Mesmo sem ser o objetivo pr</w:t>
      </w:r>
      <w:r w:rsidR="000C6A1B">
        <w:rPr>
          <w:rFonts w:ascii="Arial" w:hAnsi="Arial" w:cs="Arial"/>
          <w:color w:val="000000" w:themeColor="text1"/>
          <w:sz w:val="24"/>
          <w:szCs w:val="24"/>
        </w:rPr>
        <w:t>incipal deste trabalho, n</w:t>
      </w:r>
      <w:r>
        <w:rPr>
          <w:rFonts w:ascii="Arial" w:hAnsi="Arial" w:cs="Arial"/>
          <w:color w:val="000000" w:themeColor="text1"/>
          <w:sz w:val="24"/>
          <w:szCs w:val="24"/>
        </w:rPr>
        <w:t>o decorrer das analises ficou evidente a diferenciação de comportamento entre os bancos públicos</w:t>
      </w:r>
      <w:r w:rsidR="000C6A1B">
        <w:rPr>
          <w:rFonts w:ascii="Arial" w:hAnsi="Arial" w:cs="Arial"/>
          <w:color w:val="000000" w:themeColor="text1"/>
          <w:sz w:val="24"/>
          <w:szCs w:val="24"/>
        </w:rPr>
        <w:t xml:space="preserve"> e privados</w:t>
      </w:r>
      <w:r w:rsidR="002C1F32">
        <w:rPr>
          <w:rFonts w:ascii="Arial" w:hAnsi="Arial" w:cs="Arial"/>
          <w:color w:val="000000" w:themeColor="text1"/>
          <w:sz w:val="24"/>
          <w:szCs w:val="24"/>
        </w:rPr>
        <w:t>, principalmente após a crise de 2008</w:t>
      </w:r>
      <w:r w:rsidR="000C6A1B">
        <w:rPr>
          <w:rFonts w:ascii="Arial" w:hAnsi="Arial" w:cs="Arial"/>
          <w:color w:val="000000" w:themeColor="text1"/>
          <w:sz w:val="24"/>
          <w:szCs w:val="24"/>
        </w:rPr>
        <w:t>.</w:t>
      </w:r>
      <w:r w:rsidR="002C1F32">
        <w:rPr>
          <w:rFonts w:ascii="Arial" w:hAnsi="Arial" w:cs="Arial"/>
          <w:color w:val="000000" w:themeColor="text1"/>
          <w:sz w:val="24"/>
          <w:szCs w:val="24"/>
        </w:rPr>
        <w:t xml:space="preserve"> Nos indicadores preferência pela liquidez (gráfico </w:t>
      </w:r>
      <w:proofErr w:type="gramStart"/>
      <w:r w:rsidR="002C1F32">
        <w:rPr>
          <w:rFonts w:ascii="Arial" w:hAnsi="Arial" w:cs="Arial"/>
          <w:color w:val="000000" w:themeColor="text1"/>
          <w:sz w:val="24"/>
          <w:szCs w:val="24"/>
        </w:rPr>
        <w:t>4</w:t>
      </w:r>
      <w:proofErr w:type="gramEnd"/>
      <w:r w:rsidR="002C1F32">
        <w:rPr>
          <w:rFonts w:ascii="Arial" w:hAnsi="Arial" w:cs="Arial"/>
          <w:color w:val="000000" w:themeColor="text1"/>
          <w:sz w:val="24"/>
          <w:szCs w:val="24"/>
        </w:rPr>
        <w:t>), preferência pelo crédito (gráfico 5), ganhos com crédito (gráfico 9) o comportamento dos bancos públicos caminham em direção oposta ao dos bancos privados.</w:t>
      </w:r>
    </w:p>
    <w:p w:rsidR="00AC7282" w:rsidRDefault="000A1153"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Por fim, utilizou-se o teste de causalidade de Granger com o intuito de se reforçar a relação entre incerteza e liquidez. E o resultado apresentado foi que alterações na taxa Seli</w:t>
      </w:r>
      <w:r w:rsidR="00AC7282">
        <w:rPr>
          <w:rFonts w:ascii="Arial" w:hAnsi="Arial" w:cs="Arial"/>
          <w:color w:val="000000" w:themeColor="text1"/>
          <w:sz w:val="24"/>
          <w:szCs w:val="24"/>
        </w:rPr>
        <w:t>c (</w:t>
      </w:r>
      <w:proofErr w:type="gramStart"/>
      <w:r w:rsidR="00AC7282">
        <w:rPr>
          <w:rFonts w:ascii="Arial" w:hAnsi="Arial" w:cs="Arial"/>
          <w:color w:val="000000" w:themeColor="text1"/>
          <w:sz w:val="24"/>
          <w:szCs w:val="24"/>
        </w:rPr>
        <w:t>proxy</w:t>
      </w:r>
      <w:proofErr w:type="gramEnd"/>
      <w:r w:rsidR="00AC7282">
        <w:rPr>
          <w:rFonts w:ascii="Arial" w:hAnsi="Arial" w:cs="Arial"/>
          <w:color w:val="000000" w:themeColor="text1"/>
          <w:sz w:val="24"/>
          <w:szCs w:val="24"/>
        </w:rPr>
        <w:t xml:space="preserve"> de incerteza) altera a busca </w:t>
      </w:r>
      <w:r>
        <w:rPr>
          <w:rFonts w:ascii="Arial" w:hAnsi="Arial" w:cs="Arial"/>
          <w:color w:val="000000" w:themeColor="text1"/>
          <w:sz w:val="24"/>
          <w:szCs w:val="24"/>
        </w:rPr>
        <w:t>dos bancos por liquidez (quantidade de títulos e valores mobiliários).</w:t>
      </w:r>
    </w:p>
    <w:p w:rsidR="000A1153" w:rsidRDefault="000A1153" w:rsidP="000A3253">
      <w:pPr>
        <w:spacing w:after="0" w:line="360" w:lineRule="auto"/>
        <w:ind w:firstLine="708"/>
        <w:jc w:val="both"/>
        <w:rPr>
          <w:rFonts w:ascii="Arial" w:hAnsi="Arial" w:cs="Arial"/>
          <w:color w:val="000000" w:themeColor="text1"/>
          <w:sz w:val="24"/>
          <w:szCs w:val="24"/>
        </w:rPr>
      </w:pPr>
      <w:r>
        <w:rPr>
          <w:rFonts w:ascii="Arial" w:hAnsi="Arial" w:cs="Arial"/>
          <w:color w:val="000000" w:themeColor="text1"/>
          <w:sz w:val="24"/>
          <w:szCs w:val="24"/>
        </w:rPr>
        <w:t>Nesse contexto, a maior contribuição do trabalho foi ter analisado o comportamento dos cinco maiores bancos do país, sob uma ótica que leva em consideração as incertezas e as formas de mitiga-las, destacando a diferença de comportamento entre os bancos públicos e privados, que em vários períodos, apresentam relação inversa.</w:t>
      </w: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0A1153" w:rsidRDefault="000A1153" w:rsidP="00D84CB2">
      <w:pPr>
        <w:autoSpaceDE w:val="0"/>
        <w:autoSpaceDN w:val="0"/>
        <w:adjustRightInd w:val="0"/>
        <w:spacing w:after="0" w:line="360" w:lineRule="auto"/>
        <w:ind w:firstLine="708"/>
        <w:jc w:val="both"/>
        <w:rPr>
          <w:rFonts w:ascii="Arial" w:hAnsi="Arial" w:cs="Arial"/>
          <w:sz w:val="24"/>
          <w:szCs w:val="18"/>
        </w:rPr>
      </w:pPr>
    </w:p>
    <w:p w:rsidR="007806BF" w:rsidRDefault="007806BF" w:rsidP="00AE29FE">
      <w:pPr>
        <w:spacing w:line="360" w:lineRule="auto"/>
        <w:jc w:val="both"/>
        <w:rPr>
          <w:rFonts w:ascii="Arial" w:hAnsi="Arial" w:cs="Arial"/>
          <w:color w:val="000000" w:themeColor="text1"/>
          <w:sz w:val="24"/>
          <w:szCs w:val="24"/>
        </w:rPr>
      </w:pPr>
    </w:p>
    <w:p w:rsidR="000A3253" w:rsidRDefault="000A3253" w:rsidP="00AE29FE">
      <w:pPr>
        <w:spacing w:line="360" w:lineRule="auto"/>
        <w:jc w:val="both"/>
        <w:rPr>
          <w:rFonts w:ascii="Arial" w:hAnsi="Arial" w:cs="Arial"/>
          <w:color w:val="000000" w:themeColor="text1"/>
          <w:sz w:val="24"/>
          <w:szCs w:val="24"/>
        </w:rPr>
      </w:pPr>
    </w:p>
    <w:p w:rsidR="00543EA5" w:rsidRDefault="00543EA5" w:rsidP="00AE29FE">
      <w:pPr>
        <w:spacing w:line="360" w:lineRule="auto"/>
        <w:jc w:val="both"/>
        <w:rPr>
          <w:rFonts w:ascii="Arial" w:hAnsi="Arial" w:cs="Arial"/>
          <w:color w:val="000000" w:themeColor="text1"/>
          <w:sz w:val="24"/>
          <w:szCs w:val="24"/>
        </w:rPr>
      </w:pPr>
    </w:p>
    <w:p w:rsidR="00141D2E" w:rsidRDefault="00141D2E" w:rsidP="00141D2E">
      <w:pPr>
        <w:pStyle w:val="Ttulo1"/>
        <w:rPr>
          <w:rStyle w:val="Ttulo1Char"/>
          <w:b/>
        </w:rPr>
      </w:pPr>
      <w:bookmarkStart w:id="17" w:name="_Toc467681137"/>
      <w:bookmarkStart w:id="18" w:name="_Toc484350746"/>
      <w:r w:rsidRPr="00E141D2">
        <w:rPr>
          <w:rStyle w:val="Ttulo1Char"/>
          <w:b/>
        </w:rPr>
        <w:lastRenderedPageBreak/>
        <w:t>REFERÊNCIAS</w:t>
      </w:r>
      <w:bookmarkEnd w:id="17"/>
      <w:bookmarkEnd w:id="18"/>
    </w:p>
    <w:p w:rsidR="00141D2E" w:rsidRPr="00E141D2" w:rsidRDefault="00141D2E" w:rsidP="00141D2E"/>
    <w:p w:rsidR="00141D2E" w:rsidRDefault="00141D2E" w:rsidP="00141D2E">
      <w:pPr>
        <w:spacing w:line="240" w:lineRule="auto"/>
        <w:jc w:val="both"/>
        <w:rPr>
          <w:rFonts w:ascii="Arial" w:eastAsia="Times New Roman" w:hAnsi="Arial" w:cs="Arial"/>
          <w:color w:val="000000" w:themeColor="text1"/>
          <w:sz w:val="24"/>
          <w:szCs w:val="24"/>
          <w:lang w:eastAsia="pt-BR"/>
        </w:rPr>
      </w:pPr>
    </w:p>
    <w:p w:rsidR="00926EEE" w:rsidRPr="009D7906"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 xml:space="preserve">ALVARENGA, Darlan. Concentração aumenta e </w:t>
      </w:r>
      <w:proofErr w:type="gramStart"/>
      <w:r w:rsidRPr="009D7906">
        <w:rPr>
          <w:rFonts w:ascii="Arial" w:eastAsia="Times New Roman" w:hAnsi="Arial" w:cs="Arial"/>
          <w:color w:val="000000" w:themeColor="text1"/>
          <w:sz w:val="24"/>
          <w:szCs w:val="24"/>
          <w:lang w:eastAsia="pt-BR"/>
        </w:rPr>
        <w:t>5</w:t>
      </w:r>
      <w:proofErr w:type="gramEnd"/>
      <w:r w:rsidRPr="009D7906">
        <w:rPr>
          <w:rFonts w:ascii="Arial" w:eastAsia="Times New Roman" w:hAnsi="Arial" w:cs="Arial"/>
          <w:color w:val="000000" w:themeColor="text1"/>
          <w:sz w:val="24"/>
          <w:szCs w:val="24"/>
          <w:lang w:eastAsia="pt-BR"/>
        </w:rPr>
        <w:t xml:space="preserve"> bancos já detêm mais de 80% dos ativos no país. </w:t>
      </w:r>
      <w:r w:rsidRPr="009D7906">
        <w:rPr>
          <w:rFonts w:ascii="Arial" w:eastAsia="Times New Roman" w:hAnsi="Arial" w:cs="Arial"/>
          <w:b/>
          <w:color w:val="000000" w:themeColor="text1"/>
          <w:sz w:val="24"/>
          <w:szCs w:val="24"/>
          <w:lang w:eastAsia="pt-BR"/>
        </w:rPr>
        <w:t>G1</w:t>
      </w:r>
      <w:r w:rsidRPr="009D7906">
        <w:rPr>
          <w:rFonts w:ascii="Arial" w:eastAsia="Times New Roman" w:hAnsi="Arial" w:cs="Arial"/>
          <w:color w:val="000000" w:themeColor="text1"/>
          <w:sz w:val="24"/>
          <w:szCs w:val="24"/>
          <w:lang w:eastAsia="pt-BR"/>
        </w:rPr>
        <w:t>.</w:t>
      </w:r>
      <w:r>
        <w:rPr>
          <w:rFonts w:ascii="Arial" w:eastAsia="Times New Roman" w:hAnsi="Arial" w:cs="Arial"/>
          <w:color w:val="000000" w:themeColor="text1"/>
          <w:sz w:val="24"/>
          <w:szCs w:val="24"/>
          <w:lang w:eastAsia="pt-BR"/>
        </w:rPr>
        <w:t xml:space="preserve"> 03 ago. 2015. Disponível em:</w:t>
      </w:r>
      <w:r>
        <w:rPr>
          <w:rFonts w:ascii="Arial" w:eastAsia="Times New Roman" w:hAnsi="Arial" w:cs="Arial"/>
          <w:color w:val="000000" w:themeColor="text1"/>
          <w:sz w:val="24"/>
          <w:szCs w:val="24"/>
          <w:lang w:eastAsia="pt-BR"/>
        </w:rPr>
        <w:br/>
        <w:t xml:space="preserve"> </w:t>
      </w:r>
      <w:hyperlink r:id="rId25" w:history="1">
        <w:r w:rsidRPr="009D7906">
          <w:rPr>
            <w:rFonts w:ascii="Arial" w:eastAsia="Times New Roman" w:hAnsi="Arial" w:cs="Arial"/>
            <w:color w:val="000000" w:themeColor="text1"/>
            <w:sz w:val="24"/>
            <w:szCs w:val="24"/>
            <w:lang w:eastAsia="pt-BR"/>
          </w:rPr>
          <w:t>http://g1.globo.com/economia/noticia/2015/08/concentracao-aumenta-e-5-bancos-ja-detem-mais-de-80-dos-ativos-no-pais.html</w:t>
        </w:r>
      </w:hyperlink>
      <w:r>
        <w:rPr>
          <w:rFonts w:ascii="Arial" w:eastAsia="Times New Roman" w:hAnsi="Arial" w:cs="Arial"/>
          <w:color w:val="000000" w:themeColor="text1"/>
          <w:sz w:val="24"/>
          <w:szCs w:val="24"/>
          <w:lang w:eastAsia="pt-BR"/>
        </w:rPr>
        <w:t xml:space="preserve">. </w:t>
      </w:r>
      <w:r w:rsidRPr="009D7906">
        <w:rPr>
          <w:rFonts w:ascii="Arial" w:eastAsia="Times New Roman" w:hAnsi="Arial" w:cs="Arial"/>
          <w:color w:val="000000" w:themeColor="text1"/>
          <w:sz w:val="24"/>
          <w:szCs w:val="24"/>
          <w:lang w:eastAsia="pt-BR"/>
        </w:rPr>
        <w:t xml:space="preserve">Acesso em: 29 </w:t>
      </w:r>
      <w:r w:rsidR="00B07724">
        <w:rPr>
          <w:rFonts w:ascii="Arial" w:eastAsia="Times New Roman" w:hAnsi="Arial" w:cs="Arial"/>
          <w:color w:val="000000" w:themeColor="text1"/>
          <w:sz w:val="24"/>
          <w:szCs w:val="24"/>
          <w:lang w:eastAsia="pt-BR"/>
        </w:rPr>
        <w:t>abr</w:t>
      </w:r>
      <w:r w:rsidRPr="009D7906">
        <w:rPr>
          <w:rFonts w:ascii="Arial" w:eastAsia="Times New Roman" w:hAnsi="Arial" w:cs="Arial"/>
          <w:color w:val="000000" w:themeColor="text1"/>
          <w:sz w:val="24"/>
          <w:szCs w:val="24"/>
          <w:lang w:eastAsia="pt-BR"/>
        </w:rPr>
        <w:t>. 2016</w:t>
      </w:r>
    </w:p>
    <w:p w:rsidR="00926EEE" w:rsidRDefault="00926EEE" w:rsidP="00141D2E">
      <w:pPr>
        <w:spacing w:line="240" w:lineRule="auto"/>
        <w:jc w:val="both"/>
        <w:rPr>
          <w:rFonts w:ascii="Arial" w:hAnsi="Arial" w:cs="Arial"/>
          <w:color w:val="000000" w:themeColor="text1"/>
          <w:sz w:val="24"/>
          <w:szCs w:val="24"/>
          <w:shd w:val="clear" w:color="auto" w:fill="FFFFFF"/>
        </w:rPr>
      </w:pPr>
      <w:r w:rsidRPr="009D7906">
        <w:rPr>
          <w:rFonts w:ascii="Arial" w:hAnsi="Arial" w:cs="Arial"/>
          <w:color w:val="000000" w:themeColor="text1"/>
          <w:sz w:val="24"/>
          <w:szCs w:val="24"/>
          <w:shd w:val="clear" w:color="auto" w:fill="FFFFFF"/>
        </w:rPr>
        <w:t xml:space="preserve">AMADO, Adriana Moreira. Limites monetários ao crescimento: Keynes e a </w:t>
      </w:r>
      <w:proofErr w:type="gramStart"/>
      <w:r w:rsidRPr="009D7906">
        <w:rPr>
          <w:rFonts w:ascii="Arial" w:hAnsi="Arial" w:cs="Arial"/>
          <w:color w:val="000000" w:themeColor="text1"/>
          <w:sz w:val="24"/>
          <w:szCs w:val="24"/>
          <w:shd w:val="clear" w:color="auto" w:fill="FFFFFF"/>
        </w:rPr>
        <w:t>não-neutralidade</w:t>
      </w:r>
      <w:proofErr w:type="gramEnd"/>
      <w:r w:rsidRPr="009D7906">
        <w:rPr>
          <w:rFonts w:ascii="Arial" w:hAnsi="Arial" w:cs="Arial"/>
          <w:color w:val="000000" w:themeColor="text1"/>
          <w:sz w:val="24"/>
          <w:szCs w:val="24"/>
          <w:shd w:val="clear" w:color="auto" w:fill="FFFFFF"/>
        </w:rPr>
        <w:t xml:space="preserve"> da moeda. </w:t>
      </w:r>
      <w:r w:rsidRPr="009D7906">
        <w:rPr>
          <w:rFonts w:ascii="Arial" w:hAnsi="Arial" w:cs="Arial"/>
          <w:b/>
          <w:color w:val="000000" w:themeColor="text1"/>
          <w:sz w:val="24"/>
          <w:szCs w:val="24"/>
          <w:shd w:val="clear" w:color="auto" w:fill="FFFFFF"/>
        </w:rPr>
        <w:t>Ensaios FEE</w:t>
      </w:r>
      <w:r w:rsidRPr="009D7906">
        <w:rPr>
          <w:rFonts w:ascii="Arial" w:hAnsi="Arial" w:cs="Arial"/>
          <w:color w:val="000000" w:themeColor="text1"/>
          <w:sz w:val="24"/>
          <w:szCs w:val="24"/>
          <w:shd w:val="clear" w:color="auto" w:fill="FFFFFF"/>
        </w:rPr>
        <w:t>, v. 21, n. 1,</w:t>
      </w:r>
      <w:r>
        <w:rPr>
          <w:rFonts w:ascii="Arial" w:hAnsi="Arial" w:cs="Arial"/>
          <w:color w:val="000000" w:themeColor="text1"/>
          <w:sz w:val="24"/>
          <w:szCs w:val="24"/>
          <w:shd w:val="clear" w:color="auto" w:fill="FFFFFF"/>
        </w:rPr>
        <w:t xml:space="preserve"> p. 44-81, 2000. Disponível em: </w:t>
      </w:r>
      <w:hyperlink r:id="rId26" w:history="1">
        <w:r w:rsidRPr="004B602D">
          <w:rPr>
            <w:rStyle w:val="Hyperlink"/>
            <w:rFonts w:ascii="Arial" w:hAnsi="Arial" w:cs="Arial"/>
            <w:color w:val="auto"/>
            <w:sz w:val="24"/>
            <w:szCs w:val="24"/>
            <w:u w:color="FFFFFF" w:themeColor="background1"/>
            <w:shd w:val="clear" w:color="auto" w:fill="FFFFFF"/>
          </w:rPr>
          <w:t>http://revistas.fee.tche.br/index.php/ensaios/article/viewArticle/1960</w:t>
        </w:r>
      </w:hyperlink>
      <w:r w:rsidRPr="009D7906">
        <w:rPr>
          <w:rFonts w:ascii="Arial" w:hAnsi="Arial" w:cs="Arial"/>
          <w:color w:val="000000" w:themeColor="text1"/>
          <w:sz w:val="24"/>
          <w:szCs w:val="24"/>
          <w:shd w:val="clear" w:color="auto" w:fill="FFFFFF"/>
        </w:rPr>
        <w:t>. Acesso em 25 Jul. 2016</w:t>
      </w:r>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 xml:space="preserve">ARAUJO, Victor Leonardo de. </w:t>
      </w:r>
      <w:r w:rsidRPr="009D7906">
        <w:rPr>
          <w:rFonts w:ascii="Arial" w:eastAsia="Times New Roman" w:hAnsi="Arial" w:cs="Arial"/>
          <w:b/>
          <w:color w:val="000000" w:themeColor="text1"/>
          <w:sz w:val="24"/>
          <w:szCs w:val="24"/>
          <w:lang w:eastAsia="pt-BR"/>
        </w:rPr>
        <w:t>Preferência pela liquidez dos bancos públicos no ciclo de expansão do crédito no Brasil: 2003-2010</w:t>
      </w:r>
      <w:r w:rsidRPr="009D7906">
        <w:rPr>
          <w:rFonts w:ascii="Arial" w:eastAsia="Times New Roman" w:hAnsi="Arial" w:cs="Arial"/>
          <w:color w:val="000000" w:themeColor="text1"/>
          <w:sz w:val="24"/>
          <w:szCs w:val="24"/>
          <w:lang w:eastAsia="pt-BR"/>
        </w:rPr>
        <w:t>. 2012.</w:t>
      </w:r>
      <w:r>
        <w:rPr>
          <w:rFonts w:ascii="Arial" w:eastAsia="Times New Roman" w:hAnsi="Arial" w:cs="Arial"/>
          <w:color w:val="000000" w:themeColor="text1"/>
          <w:sz w:val="24"/>
          <w:szCs w:val="24"/>
          <w:lang w:eastAsia="pt-BR"/>
        </w:rPr>
        <w:t xml:space="preserve"> Disponível em: </w:t>
      </w:r>
      <w:r w:rsidRPr="003D72CA">
        <w:t xml:space="preserve"> </w:t>
      </w:r>
      <w:hyperlink r:id="rId27" w:history="1">
        <w:r w:rsidRPr="004B602D">
          <w:rPr>
            <w:rStyle w:val="Hyperlink"/>
            <w:rFonts w:ascii="Arial" w:eastAsia="Times New Roman" w:hAnsi="Arial" w:cs="Arial"/>
            <w:color w:val="auto"/>
            <w:sz w:val="24"/>
            <w:szCs w:val="24"/>
            <w:u w:color="FFFFFF" w:themeColor="background1"/>
            <w:lang w:eastAsia="pt-BR"/>
          </w:rPr>
          <w:t>http://repositorio.ipea.gov.br/handle/11058/1235</w:t>
        </w:r>
      </w:hyperlink>
      <w:r>
        <w:rPr>
          <w:rFonts w:ascii="Arial" w:eastAsia="Times New Roman" w:hAnsi="Arial" w:cs="Arial"/>
          <w:color w:val="000000" w:themeColor="text1"/>
          <w:sz w:val="24"/>
          <w:szCs w:val="24"/>
          <w:lang w:eastAsia="pt-BR"/>
        </w:rPr>
        <w:t>. Acesso em 01 set. 2016</w:t>
      </w:r>
    </w:p>
    <w:p w:rsidR="000420C1" w:rsidRPr="000420C1" w:rsidRDefault="000420C1" w:rsidP="00141D2E">
      <w:pPr>
        <w:spacing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 xml:space="preserve">BELLUZZO, Luiz Gonzaga; </w:t>
      </w:r>
      <w:r>
        <w:rPr>
          <w:rFonts w:ascii="Arial" w:eastAsia="Times New Roman" w:hAnsi="Arial" w:cs="Arial"/>
          <w:b/>
          <w:color w:val="000000" w:themeColor="text1"/>
          <w:sz w:val="24"/>
          <w:szCs w:val="24"/>
          <w:lang w:eastAsia="pt-BR"/>
        </w:rPr>
        <w:t>O tempo de Keynes nos tempos do capitalismo</w:t>
      </w:r>
      <w:r>
        <w:rPr>
          <w:rFonts w:ascii="Arial" w:eastAsia="Times New Roman" w:hAnsi="Arial" w:cs="Arial"/>
          <w:color w:val="000000" w:themeColor="text1"/>
          <w:sz w:val="24"/>
          <w:szCs w:val="24"/>
          <w:lang w:eastAsia="pt-BR"/>
        </w:rPr>
        <w:t xml:space="preserve">. São Paulo: Contracorrente, 2016. </w:t>
      </w:r>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C236A1">
        <w:rPr>
          <w:rFonts w:ascii="Arial" w:eastAsia="Times New Roman" w:hAnsi="Arial" w:cs="Arial"/>
          <w:color w:val="000000" w:themeColor="text1"/>
          <w:sz w:val="24"/>
          <w:szCs w:val="24"/>
          <w:lang w:eastAsia="pt-BR"/>
        </w:rPr>
        <w:t xml:space="preserve">BOGDANSKI, Joel; TOMBINI, Alexandre </w:t>
      </w:r>
      <w:proofErr w:type="spellStart"/>
      <w:r w:rsidRPr="00C236A1">
        <w:rPr>
          <w:rFonts w:ascii="Arial" w:eastAsia="Times New Roman" w:hAnsi="Arial" w:cs="Arial"/>
          <w:color w:val="000000" w:themeColor="text1"/>
          <w:sz w:val="24"/>
          <w:szCs w:val="24"/>
          <w:lang w:eastAsia="pt-BR"/>
        </w:rPr>
        <w:t>Antonio</w:t>
      </w:r>
      <w:proofErr w:type="spellEnd"/>
      <w:r w:rsidRPr="00C236A1">
        <w:rPr>
          <w:rFonts w:ascii="Arial" w:eastAsia="Times New Roman" w:hAnsi="Arial" w:cs="Arial"/>
          <w:color w:val="000000" w:themeColor="text1"/>
          <w:sz w:val="24"/>
          <w:szCs w:val="24"/>
          <w:lang w:eastAsia="pt-BR"/>
        </w:rPr>
        <w:t xml:space="preserve">; WERLANG, Sergio Ribeiro CA. </w:t>
      </w:r>
      <w:r w:rsidRPr="00C236A1">
        <w:rPr>
          <w:rFonts w:ascii="Arial" w:eastAsia="Times New Roman" w:hAnsi="Arial" w:cs="Arial"/>
          <w:b/>
          <w:color w:val="000000" w:themeColor="text1"/>
          <w:sz w:val="24"/>
          <w:szCs w:val="24"/>
          <w:lang w:eastAsia="pt-BR"/>
        </w:rPr>
        <w:t xml:space="preserve">A </w:t>
      </w:r>
      <w:proofErr w:type="gramStart"/>
      <w:r w:rsidRPr="00C236A1">
        <w:rPr>
          <w:rFonts w:ascii="Arial" w:eastAsia="Times New Roman" w:hAnsi="Arial" w:cs="Arial"/>
          <w:b/>
          <w:color w:val="000000" w:themeColor="text1"/>
          <w:sz w:val="24"/>
          <w:szCs w:val="24"/>
          <w:lang w:eastAsia="pt-BR"/>
        </w:rPr>
        <w:t>Implementação</w:t>
      </w:r>
      <w:proofErr w:type="gramEnd"/>
      <w:r w:rsidRPr="00C236A1">
        <w:rPr>
          <w:rFonts w:ascii="Arial" w:eastAsia="Times New Roman" w:hAnsi="Arial" w:cs="Arial"/>
          <w:b/>
          <w:color w:val="000000" w:themeColor="text1"/>
          <w:sz w:val="24"/>
          <w:szCs w:val="24"/>
          <w:lang w:eastAsia="pt-BR"/>
        </w:rPr>
        <w:t xml:space="preserve"> do Regime de Metas para a Inflação no Brasil</w:t>
      </w:r>
      <w:r w:rsidRPr="00C236A1">
        <w:rPr>
          <w:rFonts w:ascii="Arial" w:eastAsia="Times New Roman" w:hAnsi="Arial" w:cs="Arial"/>
          <w:color w:val="000000" w:themeColor="text1"/>
          <w:sz w:val="24"/>
          <w:szCs w:val="24"/>
          <w:lang w:eastAsia="pt-BR"/>
        </w:rPr>
        <w:t xml:space="preserve">. </w:t>
      </w:r>
      <w:proofErr w:type="spellStart"/>
      <w:r w:rsidRPr="00C236A1">
        <w:rPr>
          <w:rFonts w:ascii="Arial" w:eastAsia="Times New Roman" w:hAnsi="Arial" w:cs="Arial"/>
          <w:color w:val="000000" w:themeColor="text1"/>
          <w:sz w:val="24"/>
          <w:szCs w:val="24"/>
          <w:lang w:eastAsia="pt-BR"/>
        </w:rPr>
        <w:t>Working</w:t>
      </w:r>
      <w:proofErr w:type="spellEnd"/>
      <w:r w:rsidRPr="00C236A1">
        <w:rPr>
          <w:rFonts w:ascii="Arial" w:eastAsia="Times New Roman" w:hAnsi="Arial" w:cs="Arial"/>
          <w:color w:val="000000" w:themeColor="text1"/>
          <w:sz w:val="24"/>
          <w:szCs w:val="24"/>
          <w:lang w:eastAsia="pt-BR"/>
        </w:rPr>
        <w:t xml:space="preserve"> </w:t>
      </w:r>
      <w:proofErr w:type="spellStart"/>
      <w:r w:rsidRPr="00C236A1">
        <w:rPr>
          <w:rFonts w:ascii="Arial" w:eastAsia="Times New Roman" w:hAnsi="Arial" w:cs="Arial"/>
          <w:color w:val="000000" w:themeColor="text1"/>
          <w:sz w:val="24"/>
          <w:szCs w:val="24"/>
          <w:lang w:eastAsia="pt-BR"/>
        </w:rPr>
        <w:t>Papers</w:t>
      </w:r>
      <w:proofErr w:type="spellEnd"/>
      <w:r w:rsidRPr="00C236A1">
        <w:rPr>
          <w:rFonts w:ascii="Arial" w:eastAsia="Times New Roman" w:hAnsi="Arial" w:cs="Arial"/>
          <w:color w:val="000000" w:themeColor="text1"/>
          <w:sz w:val="24"/>
          <w:szCs w:val="24"/>
          <w:lang w:eastAsia="pt-BR"/>
        </w:rPr>
        <w:t>, BCB, J</w:t>
      </w:r>
      <w:r>
        <w:rPr>
          <w:rFonts w:ascii="Arial" w:eastAsia="Times New Roman" w:hAnsi="Arial" w:cs="Arial"/>
          <w:color w:val="000000" w:themeColor="text1"/>
          <w:sz w:val="24"/>
          <w:szCs w:val="24"/>
          <w:lang w:eastAsia="pt-BR"/>
        </w:rPr>
        <w:t>ulho, 2000. Disponível em: www.bcb.gov.</w:t>
      </w:r>
      <w:r w:rsidRPr="00C236A1">
        <w:rPr>
          <w:rFonts w:ascii="Arial" w:eastAsia="Times New Roman" w:hAnsi="Arial" w:cs="Arial"/>
          <w:color w:val="000000" w:themeColor="text1"/>
          <w:sz w:val="24"/>
          <w:szCs w:val="24"/>
          <w:lang w:eastAsia="pt-BR"/>
        </w:rPr>
        <w:t>br/</w:t>
      </w:r>
      <w:proofErr w:type="spellStart"/>
      <w:r w:rsidRPr="00C236A1">
        <w:rPr>
          <w:rFonts w:ascii="Arial" w:eastAsia="Times New Roman" w:hAnsi="Arial" w:cs="Arial"/>
          <w:color w:val="000000" w:themeColor="text1"/>
          <w:sz w:val="24"/>
          <w:szCs w:val="24"/>
          <w:lang w:eastAsia="pt-BR"/>
        </w:rPr>
        <w:t>pec</w:t>
      </w:r>
      <w:proofErr w:type="spellEnd"/>
      <w:r w:rsidRPr="00C236A1">
        <w:rPr>
          <w:rFonts w:ascii="Arial" w:eastAsia="Times New Roman" w:hAnsi="Arial" w:cs="Arial"/>
          <w:color w:val="000000" w:themeColor="text1"/>
          <w:sz w:val="24"/>
          <w:szCs w:val="24"/>
          <w:lang w:eastAsia="pt-BR"/>
        </w:rPr>
        <w:t>/</w:t>
      </w:r>
      <w:proofErr w:type="spellStart"/>
      <w:r w:rsidRPr="00C236A1">
        <w:rPr>
          <w:rFonts w:ascii="Arial" w:eastAsia="Times New Roman" w:hAnsi="Arial" w:cs="Arial"/>
          <w:color w:val="000000" w:themeColor="text1"/>
          <w:sz w:val="24"/>
          <w:szCs w:val="24"/>
          <w:lang w:eastAsia="pt-BR"/>
        </w:rPr>
        <w:t>wps</w:t>
      </w:r>
      <w:proofErr w:type="spellEnd"/>
      <w:r w:rsidRPr="00C236A1">
        <w:rPr>
          <w:rFonts w:ascii="Arial" w:eastAsia="Times New Roman" w:hAnsi="Arial" w:cs="Arial"/>
          <w:color w:val="000000" w:themeColor="text1"/>
          <w:sz w:val="24"/>
          <w:szCs w:val="24"/>
          <w:lang w:eastAsia="pt-BR"/>
        </w:rPr>
        <w:t>/</w:t>
      </w:r>
      <w:proofErr w:type="spellStart"/>
      <w:r w:rsidRPr="00C236A1">
        <w:rPr>
          <w:rFonts w:ascii="Arial" w:eastAsia="Times New Roman" w:hAnsi="Arial" w:cs="Arial"/>
          <w:color w:val="000000" w:themeColor="text1"/>
          <w:sz w:val="24"/>
          <w:szCs w:val="24"/>
          <w:lang w:eastAsia="pt-BR"/>
        </w:rPr>
        <w:t>port</w:t>
      </w:r>
      <w:proofErr w:type="spellEnd"/>
      <w:r w:rsidRPr="00C236A1">
        <w:rPr>
          <w:rFonts w:ascii="Arial" w:eastAsia="Times New Roman" w:hAnsi="Arial" w:cs="Arial"/>
          <w:color w:val="000000" w:themeColor="text1"/>
          <w:sz w:val="24"/>
          <w:szCs w:val="24"/>
          <w:lang w:eastAsia="pt-BR"/>
        </w:rPr>
        <w:t xml:space="preserve">/default. </w:t>
      </w:r>
      <w:proofErr w:type="gramStart"/>
      <w:r w:rsidRPr="00C236A1">
        <w:rPr>
          <w:rFonts w:ascii="Arial" w:eastAsia="Times New Roman" w:hAnsi="Arial" w:cs="Arial"/>
          <w:color w:val="000000" w:themeColor="text1"/>
          <w:sz w:val="24"/>
          <w:szCs w:val="24"/>
          <w:lang w:eastAsia="pt-BR"/>
        </w:rPr>
        <w:t>asp</w:t>
      </w:r>
      <w:proofErr w:type="gramEnd"/>
      <w:r w:rsidRPr="00C236A1">
        <w:rPr>
          <w:rFonts w:ascii="Arial" w:eastAsia="Times New Roman" w:hAnsi="Arial" w:cs="Arial"/>
          <w:color w:val="000000" w:themeColor="text1"/>
          <w:sz w:val="24"/>
          <w:szCs w:val="24"/>
          <w:lang w:eastAsia="pt-BR"/>
        </w:rPr>
        <w:t xml:space="preserve">. Acesso em: </w:t>
      </w:r>
      <w:proofErr w:type="gramStart"/>
      <w:r>
        <w:rPr>
          <w:rFonts w:ascii="Arial" w:eastAsia="Times New Roman" w:hAnsi="Arial" w:cs="Arial"/>
          <w:color w:val="000000" w:themeColor="text1"/>
          <w:sz w:val="24"/>
          <w:szCs w:val="24"/>
          <w:lang w:eastAsia="pt-BR"/>
        </w:rPr>
        <w:t>25 abril 2016</w:t>
      </w:r>
      <w:proofErr w:type="gramEnd"/>
    </w:p>
    <w:p w:rsidR="008A6357" w:rsidRDefault="008A6357" w:rsidP="00141D2E">
      <w:pPr>
        <w:spacing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BUSCARIOLLI, Bruno;</w:t>
      </w:r>
      <w:r w:rsidRPr="008A6357">
        <w:rPr>
          <w:rFonts w:ascii="Arial" w:eastAsia="Times New Roman" w:hAnsi="Arial" w:cs="Arial"/>
          <w:color w:val="000000" w:themeColor="text1"/>
          <w:sz w:val="24"/>
          <w:szCs w:val="24"/>
          <w:lang w:eastAsia="pt-BR"/>
        </w:rPr>
        <w:t xml:space="preserve"> </w:t>
      </w:r>
      <w:r>
        <w:rPr>
          <w:rFonts w:ascii="Arial" w:eastAsia="Times New Roman" w:hAnsi="Arial" w:cs="Arial"/>
          <w:color w:val="000000" w:themeColor="text1"/>
          <w:sz w:val="24"/>
          <w:szCs w:val="24"/>
          <w:lang w:eastAsia="pt-BR"/>
        </w:rPr>
        <w:t xml:space="preserve">EMERICK, </w:t>
      </w:r>
      <w:proofErr w:type="spellStart"/>
      <w:r>
        <w:rPr>
          <w:rFonts w:ascii="Arial" w:eastAsia="Times New Roman" w:hAnsi="Arial" w:cs="Arial"/>
          <w:color w:val="000000" w:themeColor="text1"/>
          <w:sz w:val="24"/>
          <w:szCs w:val="24"/>
          <w:lang w:eastAsia="pt-BR"/>
        </w:rPr>
        <w:t>Jhonata</w:t>
      </w:r>
      <w:proofErr w:type="spellEnd"/>
      <w:r>
        <w:rPr>
          <w:rFonts w:ascii="Arial" w:eastAsia="Times New Roman" w:hAnsi="Arial" w:cs="Arial"/>
          <w:color w:val="000000" w:themeColor="text1"/>
          <w:sz w:val="24"/>
          <w:szCs w:val="24"/>
          <w:lang w:eastAsia="pt-BR"/>
        </w:rPr>
        <w:t xml:space="preserve">. </w:t>
      </w:r>
      <w:r w:rsidRPr="008A6357">
        <w:rPr>
          <w:rFonts w:ascii="Arial" w:eastAsia="Times New Roman" w:hAnsi="Arial" w:cs="Arial"/>
          <w:b/>
          <w:color w:val="000000" w:themeColor="text1"/>
          <w:sz w:val="24"/>
          <w:szCs w:val="24"/>
          <w:lang w:eastAsia="pt-BR"/>
        </w:rPr>
        <w:t xml:space="preserve">Econometria com </w:t>
      </w:r>
      <w:proofErr w:type="spellStart"/>
      <w:r w:rsidRPr="008A6357">
        <w:rPr>
          <w:rFonts w:ascii="Arial" w:eastAsia="Times New Roman" w:hAnsi="Arial" w:cs="Arial"/>
          <w:b/>
          <w:color w:val="000000" w:themeColor="text1"/>
          <w:sz w:val="24"/>
          <w:szCs w:val="24"/>
          <w:lang w:eastAsia="pt-BR"/>
        </w:rPr>
        <w:t>Eviews</w:t>
      </w:r>
      <w:proofErr w:type="spellEnd"/>
      <w:r w:rsidRPr="008A6357">
        <w:rPr>
          <w:rFonts w:ascii="Arial" w:eastAsia="Times New Roman" w:hAnsi="Arial" w:cs="Arial"/>
          <w:b/>
          <w:color w:val="000000" w:themeColor="text1"/>
          <w:sz w:val="24"/>
          <w:szCs w:val="24"/>
          <w:lang w:eastAsia="pt-BR"/>
        </w:rPr>
        <w:t>: guia essen</w:t>
      </w:r>
      <w:r w:rsidRPr="008A6357">
        <w:rPr>
          <w:rFonts w:ascii="Arial" w:eastAsia="Times New Roman" w:hAnsi="Arial" w:cs="Arial"/>
          <w:b/>
          <w:color w:val="000000" w:themeColor="text1"/>
          <w:sz w:val="24"/>
          <w:szCs w:val="24"/>
          <w:lang w:eastAsia="pt-BR"/>
        </w:rPr>
        <w:t>cial de conceitos e aplicações</w:t>
      </w:r>
      <w:r>
        <w:rPr>
          <w:rFonts w:ascii="Arial" w:eastAsia="Times New Roman" w:hAnsi="Arial" w:cs="Arial"/>
          <w:color w:val="000000" w:themeColor="text1"/>
          <w:sz w:val="24"/>
          <w:szCs w:val="24"/>
          <w:lang w:eastAsia="pt-BR"/>
        </w:rPr>
        <w:t>.</w:t>
      </w:r>
      <w:r w:rsidRPr="008A6357">
        <w:rPr>
          <w:rFonts w:eastAsia="Times New Roman"/>
          <w:color w:val="000000" w:themeColor="text1"/>
          <w:sz w:val="24"/>
          <w:szCs w:val="24"/>
          <w:lang w:eastAsia="pt-BR"/>
        </w:rPr>
        <w:t> </w:t>
      </w:r>
      <w:r w:rsidRPr="008A6357">
        <w:rPr>
          <w:rFonts w:ascii="Arial" w:eastAsia="Times New Roman" w:hAnsi="Arial" w:cs="Arial"/>
          <w:color w:val="000000" w:themeColor="text1"/>
          <w:sz w:val="24"/>
          <w:szCs w:val="24"/>
          <w:lang w:eastAsia="pt-BR"/>
        </w:rPr>
        <w:t>São Paulo: Saint Paul Editora</w:t>
      </w:r>
      <w:r w:rsidRPr="008A6357">
        <w:rPr>
          <w:rFonts w:eastAsia="Times New Roman"/>
          <w:color w:val="000000" w:themeColor="text1"/>
          <w:sz w:val="24"/>
          <w:szCs w:val="24"/>
          <w:lang w:eastAsia="pt-BR"/>
        </w:rPr>
        <w:t> </w:t>
      </w:r>
      <w:r w:rsidRPr="008A6357">
        <w:rPr>
          <w:rFonts w:ascii="Arial" w:eastAsia="Times New Roman" w:hAnsi="Arial" w:cs="Arial"/>
          <w:color w:val="000000" w:themeColor="text1"/>
          <w:sz w:val="24"/>
          <w:szCs w:val="24"/>
          <w:lang w:eastAsia="pt-BR"/>
        </w:rPr>
        <w:t>(2011).</w:t>
      </w:r>
    </w:p>
    <w:p w:rsidR="00E2235D" w:rsidRDefault="00E2235D" w:rsidP="00141D2E">
      <w:pPr>
        <w:spacing w:line="240" w:lineRule="auto"/>
        <w:jc w:val="both"/>
        <w:rPr>
          <w:rFonts w:ascii="Arial" w:eastAsia="Times New Roman" w:hAnsi="Arial" w:cs="Arial"/>
          <w:color w:val="000000" w:themeColor="text1"/>
          <w:sz w:val="24"/>
          <w:szCs w:val="24"/>
          <w:lang w:eastAsia="pt-BR"/>
        </w:rPr>
      </w:pPr>
      <w:r>
        <w:rPr>
          <w:rFonts w:ascii="Arial" w:eastAsia="Times New Roman" w:hAnsi="Arial" w:cs="Arial"/>
          <w:color w:val="000000" w:themeColor="text1"/>
          <w:sz w:val="24"/>
          <w:szCs w:val="24"/>
          <w:lang w:eastAsia="pt-BR"/>
        </w:rPr>
        <w:t xml:space="preserve">CARNEIRO, Francisco </w:t>
      </w:r>
      <w:proofErr w:type="spellStart"/>
      <w:r>
        <w:rPr>
          <w:rFonts w:ascii="Arial" w:eastAsia="Times New Roman" w:hAnsi="Arial" w:cs="Arial"/>
          <w:color w:val="000000" w:themeColor="text1"/>
          <w:sz w:val="24"/>
          <w:szCs w:val="24"/>
          <w:lang w:eastAsia="pt-BR"/>
        </w:rPr>
        <w:t>Galrão</w:t>
      </w:r>
      <w:proofErr w:type="spellEnd"/>
      <w:r>
        <w:rPr>
          <w:rFonts w:ascii="Arial" w:eastAsia="Times New Roman" w:hAnsi="Arial" w:cs="Arial"/>
          <w:color w:val="000000" w:themeColor="text1"/>
          <w:sz w:val="24"/>
          <w:szCs w:val="24"/>
          <w:lang w:eastAsia="pt-BR"/>
        </w:rPr>
        <w:t xml:space="preserve">. A metodologia dos testes de causalidade em economia. Brasília: Departamento de Economia, Universidade de Brasília. Texto didático, 1997. Disponível em: </w:t>
      </w:r>
      <w:hyperlink r:id="rId28" w:history="1">
        <w:r w:rsidRPr="00E2235D">
          <w:rPr>
            <w:rFonts w:ascii="Arial" w:hAnsi="Arial" w:cs="Arial"/>
            <w:color w:val="000000" w:themeColor="text1"/>
            <w:sz w:val="24"/>
            <w:szCs w:val="24"/>
            <w:lang w:eastAsia="pt-BR"/>
          </w:rPr>
          <w:t>www.angelfire.com/id/SergioDaSilva/causal.pdf</w:t>
        </w:r>
      </w:hyperlink>
      <w:r w:rsidRPr="00E2235D">
        <w:rPr>
          <w:rFonts w:ascii="Arial" w:eastAsia="Times New Roman" w:hAnsi="Arial" w:cs="Arial"/>
          <w:color w:val="000000" w:themeColor="text1"/>
          <w:sz w:val="24"/>
          <w:szCs w:val="24"/>
          <w:lang w:eastAsia="pt-BR"/>
        </w:rPr>
        <w:t>.</w:t>
      </w:r>
      <w:r>
        <w:rPr>
          <w:rFonts w:ascii="Arial" w:eastAsia="Times New Roman" w:hAnsi="Arial" w:cs="Arial"/>
          <w:color w:val="000000" w:themeColor="text1"/>
          <w:sz w:val="24"/>
          <w:szCs w:val="24"/>
          <w:lang w:eastAsia="pt-BR"/>
        </w:rPr>
        <w:t xml:space="preserve"> Acesso em: 25 out. 2016</w:t>
      </w:r>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C236A1">
        <w:rPr>
          <w:rFonts w:ascii="Arial" w:eastAsia="Times New Roman" w:hAnsi="Arial" w:cs="Arial"/>
          <w:color w:val="000000" w:themeColor="text1"/>
          <w:sz w:val="24"/>
          <w:szCs w:val="24"/>
          <w:lang w:eastAsia="pt-BR"/>
        </w:rPr>
        <w:t>CARRARA, Aniela Fagundes; CORREA, André Luiz. O regime de metas de inflação no Brasil: uma análise empírica do IPCA.</w:t>
      </w:r>
      <w:r w:rsidRPr="00C236A1">
        <w:rPr>
          <w:rFonts w:ascii="Arial" w:eastAsia="Times New Roman" w:hAnsi="Arial" w:cs="Arial"/>
          <w:b/>
          <w:color w:val="000000" w:themeColor="text1"/>
          <w:sz w:val="24"/>
          <w:szCs w:val="24"/>
          <w:lang w:eastAsia="pt-BR"/>
        </w:rPr>
        <w:t xml:space="preserve"> Revista de Economia Contemporânea</w:t>
      </w:r>
      <w:r w:rsidRPr="00C236A1">
        <w:rPr>
          <w:rFonts w:ascii="Arial" w:eastAsia="Times New Roman" w:hAnsi="Arial" w:cs="Arial"/>
          <w:color w:val="000000" w:themeColor="text1"/>
          <w:sz w:val="24"/>
          <w:szCs w:val="24"/>
          <w:lang w:eastAsia="pt-BR"/>
        </w:rPr>
        <w:t>, p. 441-462, 2012.</w:t>
      </w:r>
    </w:p>
    <w:p w:rsidR="00926EEE" w:rsidRPr="009D7906"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CARVALHO, Fernando J</w:t>
      </w:r>
      <w:proofErr w:type="gramStart"/>
      <w:r w:rsidRPr="009D7906">
        <w:rPr>
          <w:rFonts w:ascii="Arial" w:eastAsia="Times New Roman" w:hAnsi="Arial" w:cs="Arial"/>
          <w:color w:val="000000" w:themeColor="text1"/>
          <w:sz w:val="24"/>
          <w:szCs w:val="24"/>
          <w:lang w:eastAsia="pt-BR"/>
        </w:rPr>
        <w:t>.,</w:t>
      </w:r>
      <w:proofErr w:type="gramEnd"/>
      <w:r w:rsidRPr="009D7906">
        <w:rPr>
          <w:rFonts w:ascii="Arial" w:eastAsia="Times New Roman" w:hAnsi="Arial" w:cs="Arial"/>
          <w:color w:val="000000" w:themeColor="text1"/>
          <w:sz w:val="24"/>
          <w:szCs w:val="24"/>
          <w:lang w:eastAsia="pt-BR"/>
        </w:rPr>
        <w:t xml:space="preserve"> SOUZA, Francisco Eduardo, SICSÚ, João, PAULA, Luiz Fernando, STUDART, Rogério; </w:t>
      </w:r>
      <w:r w:rsidRPr="009D7906">
        <w:rPr>
          <w:rFonts w:ascii="Arial" w:eastAsia="Times New Roman" w:hAnsi="Arial" w:cs="Arial"/>
          <w:b/>
          <w:color w:val="000000" w:themeColor="text1"/>
          <w:sz w:val="24"/>
          <w:szCs w:val="24"/>
          <w:lang w:eastAsia="pt-BR"/>
        </w:rPr>
        <w:t>Economia Monetária e Financeira.</w:t>
      </w:r>
      <w:r w:rsidRPr="009D7906">
        <w:rPr>
          <w:rFonts w:ascii="Arial" w:eastAsia="Times New Roman" w:hAnsi="Arial" w:cs="Arial"/>
          <w:color w:val="000000" w:themeColor="text1"/>
          <w:sz w:val="24"/>
          <w:szCs w:val="24"/>
          <w:lang w:eastAsia="pt-BR"/>
        </w:rPr>
        <w:t xml:space="preserve"> Rio de Janeiro: Campus, 2007.</w:t>
      </w:r>
    </w:p>
    <w:p w:rsidR="00926EEE" w:rsidRDefault="00926EEE" w:rsidP="00141D2E">
      <w:pPr>
        <w:spacing w:line="240" w:lineRule="auto"/>
        <w:jc w:val="both"/>
        <w:rPr>
          <w:rFonts w:ascii="Arial" w:hAnsi="Arial" w:cs="Arial"/>
          <w:color w:val="000000" w:themeColor="text1"/>
          <w:sz w:val="24"/>
          <w:szCs w:val="24"/>
          <w:shd w:val="clear" w:color="auto" w:fill="FFFFFF"/>
        </w:rPr>
      </w:pPr>
      <w:r w:rsidRPr="009D7906">
        <w:rPr>
          <w:rFonts w:ascii="Arial" w:hAnsi="Arial" w:cs="Arial"/>
          <w:color w:val="000000" w:themeColor="text1"/>
          <w:sz w:val="24"/>
          <w:szCs w:val="24"/>
          <w:shd w:val="clear" w:color="auto" w:fill="FFFFFF"/>
        </w:rPr>
        <w:t xml:space="preserve">CRUZ, André Camargo. </w:t>
      </w:r>
      <w:r w:rsidRPr="009D7906">
        <w:rPr>
          <w:rFonts w:ascii="Arial" w:hAnsi="Arial" w:cs="Arial"/>
          <w:b/>
          <w:color w:val="000000" w:themeColor="text1"/>
          <w:sz w:val="24"/>
          <w:szCs w:val="24"/>
          <w:shd w:val="clear" w:color="auto" w:fill="FFFFFF"/>
        </w:rPr>
        <w:t>Análise da evolução do câmbio sobre a taxa de inflação no Brasil no regime de metas de inflação.</w:t>
      </w:r>
      <w:r w:rsidRPr="009D7906">
        <w:rPr>
          <w:rFonts w:ascii="Arial" w:hAnsi="Arial" w:cs="Arial"/>
          <w:color w:val="000000" w:themeColor="text1"/>
          <w:sz w:val="24"/>
          <w:szCs w:val="24"/>
          <w:shd w:val="clear" w:color="auto" w:fill="FFFFFF"/>
        </w:rPr>
        <w:t xml:space="preserve"> 2009. 57 f. Monografia (Conclusão do curso de economia) – Universidade Estadual de Campinas, Curso de Economia, Campinas. Disponível em: </w:t>
      </w:r>
      <w:hyperlink r:id="rId29" w:history="1">
        <w:r w:rsidRPr="003A1AA8">
          <w:rPr>
            <w:rStyle w:val="Hyperlink"/>
            <w:rFonts w:ascii="Arial" w:hAnsi="Arial" w:cs="Arial"/>
            <w:color w:val="000000" w:themeColor="text1"/>
            <w:sz w:val="24"/>
            <w:szCs w:val="24"/>
            <w:u w:color="FFFFFF" w:themeColor="background1"/>
            <w:shd w:val="clear" w:color="auto" w:fill="FFFFFF"/>
          </w:rPr>
          <w:t>http://www.bibliotecadigital.unicamp.br/cgi-bin</w:t>
        </w:r>
      </w:hyperlink>
      <w:r w:rsidRPr="009D7906">
        <w:rPr>
          <w:rFonts w:ascii="Arial" w:hAnsi="Arial" w:cs="Arial"/>
          <w:color w:val="000000" w:themeColor="text1"/>
          <w:sz w:val="24"/>
          <w:szCs w:val="24"/>
          <w:shd w:val="clear" w:color="auto" w:fill="FFFFFF"/>
        </w:rPr>
        <w:t>. Acesso em: 27 fev. 2016.</w:t>
      </w:r>
    </w:p>
    <w:p w:rsidR="00926EEE" w:rsidRPr="008115FA" w:rsidRDefault="00926EEE" w:rsidP="00141D2E">
      <w:pPr>
        <w:spacing w:line="240" w:lineRule="auto"/>
        <w:jc w:val="both"/>
        <w:rPr>
          <w:rFonts w:ascii="Arial" w:hAnsi="Arial" w:cs="Arial"/>
          <w:color w:val="000000" w:themeColor="text1"/>
          <w:sz w:val="24"/>
          <w:szCs w:val="24"/>
          <w:shd w:val="clear" w:color="auto" w:fill="FFFFFF"/>
        </w:rPr>
      </w:pPr>
      <w:r w:rsidRPr="00EF6166">
        <w:rPr>
          <w:rFonts w:ascii="Arial" w:hAnsi="Arial" w:cs="Arial"/>
          <w:bCs/>
          <w:color w:val="000000" w:themeColor="text1"/>
          <w:sz w:val="24"/>
          <w:szCs w:val="24"/>
          <w:shd w:val="clear" w:color="auto" w:fill="FFFFFF"/>
        </w:rPr>
        <w:t xml:space="preserve">Departamento Intersindical de Estatísticas e Estudos </w:t>
      </w:r>
      <w:proofErr w:type="spellStart"/>
      <w:r w:rsidRPr="00EF6166">
        <w:rPr>
          <w:rFonts w:ascii="Arial" w:hAnsi="Arial" w:cs="Arial"/>
          <w:bCs/>
          <w:color w:val="000000" w:themeColor="text1"/>
          <w:sz w:val="24"/>
          <w:szCs w:val="24"/>
          <w:shd w:val="clear" w:color="auto" w:fill="FFFFFF"/>
        </w:rPr>
        <w:t>Sócio-Econômicos</w:t>
      </w:r>
      <w:proofErr w:type="spellEnd"/>
      <w:r w:rsidRPr="00CA1349">
        <w:rPr>
          <w:rFonts w:ascii="Arial" w:hAnsi="Arial" w:cs="Arial"/>
          <w:color w:val="000000" w:themeColor="text1"/>
          <w:sz w:val="24"/>
          <w:szCs w:val="24"/>
          <w:shd w:val="clear" w:color="auto" w:fill="FFFFFF"/>
        </w:rPr>
        <w:t xml:space="preserve">. </w:t>
      </w:r>
      <w:r w:rsidRPr="003A1AA8">
        <w:rPr>
          <w:rFonts w:ascii="Arial" w:hAnsi="Arial" w:cs="Arial"/>
          <w:b/>
          <w:color w:val="000000" w:themeColor="text1"/>
          <w:sz w:val="24"/>
          <w:szCs w:val="24"/>
          <w:shd w:val="clear" w:color="auto" w:fill="FFFFFF"/>
        </w:rPr>
        <w:t>Desempenho dos bancos</w:t>
      </w:r>
      <w:r w:rsidRPr="00CA1349">
        <w:rPr>
          <w:rFonts w:ascii="Arial" w:hAnsi="Arial" w:cs="Arial"/>
          <w:color w:val="000000" w:themeColor="text1"/>
          <w:sz w:val="24"/>
          <w:szCs w:val="24"/>
          <w:shd w:val="clear" w:color="auto" w:fill="FFFFFF"/>
        </w:rPr>
        <w:t>.</w:t>
      </w:r>
      <w:r>
        <w:rPr>
          <w:rFonts w:ascii="Arial" w:hAnsi="Arial" w:cs="Arial"/>
          <w:color w:val="000000" w:themeColor="text1"/>
          <w:sz w:val="24"/>
          <w:szCs w:val="24"/>
          <w:shd w:val="clear" w:color="auto" w:fill="FFFFFF"/>
        </w:rPr>
        <w:t xml:space="preserve"> </w:t>
      </w:r>
      <w:proofErr w:type="gramStart"/>
      <w:r>
        <w:rPr>
          <w:rFonts w:ascii="Arial" w:hAnsi="Arial" w:cs="Arial"/>
          <w:color w:val="000000" w:themeColor="text1"/>
          <w:sz w:val="24"/>
          <w:szCs w:val="24"/>
          <w:shd w:val="clear" w:color="auto" w:fill="FFFFFF"/>
        </w:rPr>
        <w:t>DIEESE</w:t>
      </w:r>
      <w:r w:rsidRPr="00CA1349">
        <w:rPr>
          <w:rStyle w:val="apple-converted-space"/>
          <w:rFonts w:ascii="Arial" w:hAnsi="Arial" w:cs="Arial"/>
          <w:color w:val="000000" w:themeColor="text1"/>
          <w:sz w:val="24"/>
          <w:szCs w:val="24"/>
          <w:shd w:val="clear" w:color="auto" w:fill="FFFFFF"/>
        </w:rPr>
        <w:t> </w:t>
      </w:r>
      <w:r w:rsidRPr="00CA1349">
        <w:rPr>
          <w:rFonts w:ascii="Arial" w:hAnsi="Arial" w:cs="Arial"/>
          <w:b/>
          <w:bCs/>
          <w:color w:val="000000" w:themeColor="text1"/>
          <w:sz w:val="24"/>
          <w:szCs w:val="24"/>
          <w:shd w:val="clear" w:color="auto" w:fill="FFFFFF"/>
        </w:rPr>
        <w:t>,</w:t>
      </w:r>
      <w:proofErr w:type="gramEnd"/>
      <w:r w:rsidRPr="00CA1349">
        <w:rPr>
          <w:rFonts w:ascii="Arial" w:hAnsi="Arial" w:cs="Arial"/>
          <w:b/>
          <w:bCs/>
          <w:color w:val="000000" w:themeColor="text1"/>
          <w:sz w:val="24"/>
          <w:szCs w:val="24"/>
          <w:shd w:val="clear" w:color="auto" w:fill="FFFFFF"/>
        </w:rPr>
        <w:t xml:space="preserve"> </w:t>
      </w:r>
      <w:r w:rsidRPr="003A1AA8">
        <w:rPr>
          <w:rFonts w:ascii="Arial" w:hAnsi="Arial" w:cs="Arial"/>
          <w:bCs/>
          <w:color w:val="000000" w:themeColor="text1"/>
          <w:sz w:val="24"/>
          <w:szCs w:val="24"/>
          <w:shd w:val="clear" w:color="auto" w:fill="FFFFFF"/>
        </w:rPr>
        <w:t>São Paulo</w:t>
      </w:r>
      <w:r w:rsidRPr="00CA1349">
        <w:rPr>
          <w:rFonts w:ascii="Arial" w:hAnsi="Arial" w:cs="Arial"/>
          <w:color w:val="000000" w:themeColor="text1"/>
          <w:sz w:val="24"/>
          <w:szCs w:val="24"/>
          <w:shd w:val="clear" w:color="auto" w:fill="FFFFFF"/>
        </w:rPr>
        <w:t xml:space="preserve">, 2015. Disponível em: </w:t>
      </w:r>
      <w:r w:rsidRPr="00CA1349">
        <w:rPr>
          <w:color w:val="000000" w:themeColor="text1"/>
        </w:rPr>
        <w:t xml:space="preserve"> </w:t>
      </w:r>
      <w:hyperlink r:id="rId30" w:history="1">
        <w:r w:rsidRPr="003A1AA8">
          <w:rPr>
            <w:rStyle w:val="Hyperlink"/>
            <w:rFonts w:ascii="Arial" w:hAnsi="Arial" w:cs="Arial"/>
            <w:color w:val="000000" w:themeColor="text1"/>
            <w:sz w:val="24"/>
            <w:szCs w:val="24"/>
            <w:u w:color="FFFFFF" w:themeColor="background1"/>
            <w:shd w:val="clear" w:color="auto" w:fill="FFFFFF"/>
          </w:rPr>
          <w:t>http://www.dieese.org.br/desempenhodosbancos/2015/desempenhoBancos2015.pdf</w:t>
        </w:r>
      </w:hyperlink>
      <w:r w:rsidRPr="003A1AA8">
        <w:rPr>
          <w:rFonts w:ascii="Arial" w:hAnsi="Arial" w:cs="Arial"/>
          <w:color w:val="000000" w:themeColor="text1"/>
          <w:sz w:val="24"/>
          <w:szCs w:val="24"/>
          <w:u w:color="FFFFFF" w:themeColor="background1"/>
          <w:shd w:val="clear" w:color="auto" w:fill="FFFFFF"/>
        </w:rPr>
        <w:t xml:space="preserve"> </w:t>
      </w:r>
      <w:r w:rsidRPr="00CA1349">
        <w:rPr>
          <w:rFonts w:ascii="Arial" w:hAnsi="Arial" w:cs="Arial"/>
          <w:color w:val="000000" w:themeColor="text1"/>
          <w:sz w:val="24"/>
          <w:szCs w:val="24"/>
          <w:shd w:val="clear" w:color="auto" w:fill="FFFFFF"/>
        </w:rPr>
        <w:t xml:space="preserve">Acesso em: </w:t>
      </w:r>
      <w:proofErr w:type="gramStart"/>
      <w:r w:rsidRPr="00CA1349">
        <w:rPr>
          <w:rFonts w:ascii="Arial" w:hAnsi="Arial" w:cs="Arial"/>
          <w:color w:val="000000" w:themeColor="text1"/>
          <w:sz w:val="24"/>
          <w:szCs w:val="24"/>
          <w:shd w:val="clear" w:color="auto" w:fill="FFFFFF"/>
        </w:rPr>
        <w:t>3</w:t>
      </w:r>
      <w:proofErr w:type="gramEnd"/>
      <w:r w:rsidRPr="00CA1349">
        <w:rPr>
          <w:rFonts w:ascii="Arial" w:hAnsi="Arial" w:cs="Arial"/>
          <w:color w:val="000000" w:themeColor="text1"/>
          <w:sz w:val="24"/>
          <w:szCs w:val="24"/>
          <w:shd w:val="clear" w:color="auto" w:fill="FFFFFF"/>
        </w:rPr>
        <w:t xml:space="preserve"> maio. 2016.</w:t>
      </w:r>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lastRenderedPageBreak/>
        <w:t>FRAGA, Jefferson Souza. Uma abordagem pós-</w:t>
      </w:r>
      <w:proofErr w:type="spellStart"/>
      <w:r w:rsidRPr="009D7906">
        <w:rPr>
          <w:rFonts w:ascii="Arial" w:eastAsia="Times New Roman" w:hAnsi="Arial" w:cs="Arial"/>
          <w:color w:val="000000" w:themeColor="text1"/>
          <w:sz w:val="24"/>
          <w:szCs w:val="24"/>
          <w:lang w:eastAsia="pt-BR"/>
        </w:rPr>
        <w:t>keynesiana</w:t>
      </w:r>
      <w:proofErr w:type="spellEnd"/>
      <w:r w:rsidRPr="009D7906">
        <w:rPr>
          <w:rFonts w:ascii="Arial" w:eastAsia="Times New Roman" w:hAnsi="Arial" w:cs="Arial"/>
          <w:color w:val="000000" w:themeColor="text1"/>
          <w:sz w:val="24"/>
          <w:szCs w:val="24"/>
          <w:lang w:eastAsia="pt-BR"/>
        </w:rPr>
        <w:t xml:space="preserve"> de preferência pela liquidez: o sistema bancário e a concessão de crédito. </w:t>
      </w:r>
      <w:proofErr w:type="spellStart"/>
      <w:r w:rsidRPr="009D7906">
        <w:rPr>
          <w:rFonts w:ascii="Arial" w:eastAsia="Times New Roman" w:hAnsi="Arial" w:cs="Arial"/>
          <w:b/>
          <w:color w:val="000000" w:themeColor="text1"/>
          <w:sz w:val="24"/>
          <w:szCs w:val="24"/>
          <w:lang w:eastAsia="pt-BR"/>
        </w:rPr>
        <w:t>Race</w:t>
      </w:r>
      <w:proofErr w:type="spellEnd"/>
      <w:r w:rsidRPr="009D7906">
        <w:rPr>
          <w:rFonts w:ascii="Arial" w:eastAsia="Times New Roman" w:hAnsi="Arial" w:cs="Arial"/>
          <w:b/>
          <w:color w:val="000000" w:themeColor="text1"/>
          <w:sz w:val="24"/>
          <w:szCs w:val="24"/>
          <w:lang w:eastAsia="pt-BR"/>
        </w:rPr>
        <w:t>: revista de administração, contabilidade e economia</w:t>
      </w:r>
      <w:r w:rsidRPr="009D7906">
        <w:rPr>
          <w:rFonts w:ascii="Arial" w:eastAsia="Times New Roman" w:hAnsi="Arial" w:cs="Arial"/>
          <w:color w:val="000000" w:themeColor="text1"/>
          <w:sz w:val="24"/>
          <w:szCs w:val="24"/>
          <w:lang w:eastAsia="pt-BR"/>
        </w:rPr>
        <w:t>, v. 8, n. 1, p. 155-174, 2009.</w:t>
      </w:r>
      <w:r>
        <w:rPr>
          <w:rFonts w:ascii="Arial" w:eastAsia="Times New Roman" w:hAnsi="Arial" w:cs="Arial"/>
          <w:color w:val="000000" w:themeColor="text1"/>
          <w:sz w:val="24"/>
          <w:szCs w:val="24"/>
          <w:lang w:eastAsia="pt-BR"/>
        </w:rPr>
        <w:t xml:space="preserve"> Disponível em: </w:t>
      </w:r>
      <w:r w:rsidRPr="003D72CA">
        <w:t xml:space="preserve"> </w:t>
      </w:r>
      <w:hyperlink r:id="rId31" w:history="1">
        <w:r w:rsidRPr="004B602D">
          <w:rPr>
            <w:rStyle w:val="Hyperlink"/>
            <w:rFonts w:ascii="Arial" w:eastAsia="Times New Roman" w:hAnsi="Arial" w:cs="Arial"/>
            <w:color w:val="auto"/>
            <w:sz w:val="24"/>
            <w:szCs w:val="24"/>
            <w:u w:color="FFFFFF" w:themeColor="background1"/>
            <w:lang w:eastAsia="pt-BR"/>
          </w:rPr>
          <w:t>www.dialnet.unirioja.es/servlet/articulo?codigo=5160926</w:t>
        </w:r>
      </w:hyperlink>
      <w:r>
        <w:rPr>
          <w:rFonts w:ascii="Arial" w:eastAsia="Times New Roman" w:hAnsi="Arial" w:cs="Arial"/>
          <w:color w:val="000000" w:themeColor="text1"/>
          <w:sz w:val="24"/>
          <w:szCs w:val="24"/>
          <w:lang w:eastAsia="pt-BR"/>
        </w:rPr>
        <w:t xml:space="preserve"> Acesso em: 17 Set. 2016</w:t>
      </w:r>
    </w:p>
    <w:p w:rsidR="00926EEE" w:rsidRPr="00391C5E" w:rsidRDefault="00926EEE" w:rsidP="00141D2E">
      <w:pPr>
        <w:spacing w:line="240" w:lineRule="auto"/>
        <w:jc w:val="both"/>
        <w:rPr>
          <w:rFonts w:ascii="Arial" w:eastAsia="Times New Roman" w:hAnsi="Arial" w:cs="Arial"/>
          <w:color w:val="000000" w:themeColor="text1"/>
          <w:sz w:val="24"/>
          <w:szCs w:val="24"/>
          <w:lang w:val="en-US" w:eastAsia="pt-BR"/>
        </w:rPr>
      </w:pPr>
      <w:r w:rsidRPr="00391C5E">
        <w:rPr>
          <w:rFonts w:ascii="Arial" w:eastAsia="Times New Roman" w:hAnsi="Arial" w:cs="Arial"/>
          <w:color w:val="000000" w:themeColor="text1"/>
          <w:sz w:val="24"/>
          <w:szCs w:val="24"/>
          <w:lang w:val="en-US" w:eastAsia="pt-BR"/>
        </w:rPr>
        <w:t>FROYEN, Richard T.</w:t>
      </w:r>
      <w:r w:rsidRPr="00391C5E">
        <w:rPr>
          <w:rFonts w:eastAsia="Times New Roman"/>
          <w:color w:val="000000" w:themeColor="text1"/>
          <w:sz w:val="24"/>
          <w:szCs w:val="24"/>
          <w:lang w:val="en-US" w:eastAsia="pt-BR"/>
        </w:rPr>
        <w:t> </w:t>
      </w:r>
      <w:proofErr w:type="spellStart"/>
      <w:r w:rsidRPr="00391C5E">
        <w:rPr>
          <w:rFonts w:ascii="Arial" w:eastAsia="Times New Roman" w:hAnsi="Arial" w:cs="Arial"/>
          <w:b/>
          <w:color w:val="000000" w:themeColor="text1"/>
          <w:sz w:val="24"/>
          <w:szCs w:val="24"/>
          <w:lang w:val="en-US" w:eastAsia="pt-BR"/>
        </w:rPr>
        <w:t>Macroeconomia</w:t>
      </w:r>
      <w:proofErr w:type="spellEnd"/>
      <w:r w:rsidRPr="00391C5E">
        <w:rPr>
          <w:rFonts w:ascii="Arial" w:eastAsia="Times New Roman" w:hAnsi="Arial" w:cs="Arial"/>
          <w:color w:val="000000" w:themeColor="text1"/>
          <w:sz w:val="24"/>
          <w:szCs w:val="24"/>
          <w:lang w:val="en-US" w:eastAsia="pt-BR"/>
        </w:rPr>
        <w:t xml:space="preserve">. </w:t>
      </w:r>
      <w:r w:rsidR="008B19B7">
        <w:rPr>
          <w:rFonts w:ascii="Arial" w:eastAsia="Times New Roman" w:hAnsi="Arial" w:cs="Arial"/>
          <w:color w:val="000000" w:themeColor="text1"/>
          <w:sz w:val="24"/>
          <w:szCs w:val="24"/>
          <w:lang w:val="en-US" w:eastAsia="pt-BR"/>
        </w:rPr>
        <w:t xml:space="preserve">São Paulo: </w:t>
      </w:r>
      <w:proofErr w:type="spellStart"/>
      <w:r w:rsidRPr="00391C5E">
        <w:rPr>
          <w:rFonts w:ascii="Arial" w:eastAsia="Times New Roman" w:hAnsi="Arial" w:cs="Arial"/>
          <w:color w:val="000000" w:themeColor="text1"/>
          <w:sz w:val="24"/>
          <w:szCs w:val="24"/>
          <w:lang w:val="en-US" w:eastAsia="pt-BR"/>
        </w:rPr>
        <w:t>Saraiva</w:t>
      </w:r>
      <w:proofErr w:type="spellEnd"/>
      <w:r w:rsidRPr="00391C5E">
        <w:rPr>
          <w:rFonts w:ascii="Arial" w:eastAsia="Times New Roman" w:hAnsi="Arial" w:cs="Arial"/>
          <w:color w:val="000000" w:themeColor="text1"/>
          <w:sz w:val="24"/>
          <w:szCs w:val="24"/>
          <w:lang w:val="en-US" w:eastAsia="pt-BR"/>
        </w:rPr>
        <w:t>, 2002.</w:t>
      </w:r>
    </w:p>
    <w:p w:rsidR="00926EEE" w:rsidRDefault="00926EEE" w:rsidP="00141D2E">
      <w:pPr>
        <w:spacing w:line="240" w:lineRule="auto"/>
        <w:jc w:val="both"/>
        <w:rPr>
          <w:rFonts w:ascii="Arial" w:hAnsi="Arial" w:cs="Arial"/>
          <w:color w:val="000000" w:themeColor="text1"/>
          <w:sz w:val="24"/>
          <w:szCs w:val="24"/>
          <w:shd w:val="clear" w:color="auto" w:fill="FFFFFF"/>
        </w:rPr>
      </w:pPr>
      <w:r>
        <w:rPr>
          <w:rFonts w:ascii="Arial" w:eastAsia="Times New Roman" w:hAnsi="Arial" w:cs="Arial"/>
          <w:color w:val="000000" w:themeColor="text1"/>
          <w:sz w:val="24"/>
          <w:szCs w:val="24"/>
          <w:lang w:eastAsia="pt-BR"/>
        </w:rPr>
        <w:t>GUERREIRO</w:t>
      </w:r>
      <w:r w:rsidRPr="009D7906">
        <w:rPr>
          <w:rFonts w:ascii="Arial" w:eastAsia="Times New Roman" w:hAnsi="Arial" w:cs="Arial"/>
          <w:color w:val="000000" w:themeColor="text1"/>
          <w:sz w:val="24"/>
          <w:szCs w:val="24"/>
          <w:lang w:eastAsia="pt-BR"/>
        </w:rPr>
        <w:t xml:space="preserve">, Edson. </w:t>
      </w:r>
      <w:r w:rsidRPr="009D7906">
        <w:rPr>
          <w:rFonts w:ascii="Arial" w:eastAsia="Times New Roman" w:hAnsi="Arial" w:cs="Arial"/>
          <w:b/>
          <w:color w:val="000000" w:themeColor="text1"/>
          <w:sz w:val="24"/>
          <w:szCs w:val="24"/>
          <w:lang w:eastAsia="pt-BR"/>
        </w:rPr>
        <w:t>Taxas de juros e spreads bancários: a atuação dos bancos públicos brasileiros no segmento de recursos livres do mercado de crédito em 2012.</w:t>
      </w:r>
      <w:r w:rsidRPr="009D7906">
        <w:rPr>
          <w:rFonts w:ascii="Arial" w:eastAsia="Times New Roman" w:hAnsi="Arial" w:cs="Arial"/>
          <w:color w:val="000000" w:themeColor="text1"/>
          <w:sz w:val="24"/>
          <w:szCs w:val="24"/>
          <w:lang w:eastAsia="pt-BR"/>
        </w:rPr>
        <w:t xml:space="preserve"> (2015). 158f. Tese de mestrado </w:t>
      </w:r>
      <w:r w:rsidRPr="009D7906">
        <w:rPr>
          <w:rFonts w:ascii="Arial" w:hAnsi="Arial" w:cs="Arial"/>
          <w:color w:val="000000" w:themeColor="text1"/>
          <w:sz w:val="24"/>
          <w:szCs w:val="24"/>
          <w:shd w:val="clear" w:color="auto" w:fill="FFFFFF"/>
        </w:rPr>
        <w:t xml:space="preserve">(Conclusão do curso de economia) – Universidade Estadual de Campinas, Curso de Economia, Campinas. Disponível em: </w:t>
      </w:r>
      <w:hyperlink r:id="rId32" w:history="1">
        <w:r w:rsidRPr="004B602D">
          <w:rPr>
            <w:rStyle w:val="Hyperlink"/>
            <w:rFonts w:ascii="Arial" w:eastAsia="Times New Roman" w:hAnsi="Arial" w:cs="Arial"/>
            <w:color w:val="auto"/>
            <w:sz w:val="24"/>
            <w:szCs w:val="24"/>
            <w:u w:color="FFFFFF" w:themeColor="background1"/>
            <w:lang w:eastAsia="pt-BR"/>
          </w:rPr>
          <w:t>http://www.bibliotecadigital.unicamp.br/cgi-bin</w:t>
        </w:r>
      </w:hyperlink>
      <w:r w:rsidRPr="004B602D">
        <w:rPr>
          <w:rStyle w:val="Hyperlink"/>
          <w:rFonts w:eastAsia="Times New Roman"/>
          <w:color w:val="auto"/>
          <w:lang w:eastAsia="pt-BR"/>
        </w:rPr>
        <w:t>.</w:t>
      </w:r>
      <w:r w:rsidRPr="009D7906">
        <w:rPr>
          <w:rFonts w:ascii="Arial" w:hAnsi="Arial" w:cs="Arial"/>
          <w:color w:val="000000" w:themeColor="text1"/>
          <w:sz w:val="24"/>
          <w:szCs w:val="24"/>
          <w:shd w:val="clear" w:color="auto" w:fill="FFFFFF"/>
        </w:rPr>
        <w:t xml:space="preserve"> Acesso em: 27 ago. 2016.</w:t>
      </w:r>
    </w:p>
    <w:p w:rsidR="00717D45" w:rsidRPr="00717D45" w:rsidRDefault="00717D45" w:rsidP="00141D2E">
      <w:pPr>
        <w:spacing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GUJARATI, </w:t>
      </w:r>
      <w:proofErr w:type="spellStart"/>
      <w:r>
        <w:rPr>
          <w:rFonts w:ascii="Arial" w:hAnsi="Arial" w:cs="Arial"/>
          <w:color w:val="000000" w:themeColor="text1"/>
          <w:sz w:val="24"/>
          <w:szCs w:val="24"/>
          <w:shd w:val="clear" w:color="auto" w:fill="FFFFFF"/>
        </w:rPr>
        <w:t>Damodar</w:t>
      </w:r>
      <w:proofErr w:type="spellEnd"/>
      <w:r>
        <w:rPr>
          <w:rFonts w:ascii="Arial" w:hAnsi="Arial" w:cs="Arial"/>
          <w:color w:val="000000" w:themeColor="text1"/>
          <w:sz w:val="24"/>
          <w:szCs w:val="24"/>
          <w:shd w:val="clear" w:color="auto" w:fill="FFFFFF"/>
        </w:rPr>
        <w:t xml:space="preserve"> N.; PORTER, </w:t>
      </w:r>
      <w:proofErr w:type="spellStart"/>
      <w:r>
        <w:rPr>
          <w:rFonts w:ascii="Arial" w:hAnsi="Arial" w:cs="Arial"/>
          <w:color w:val="000000" w:themeColor="text1"/>
          <w:sz w:val="24"/>
          <w:szCs w:val="24"/>
          <w:shd w:val="clear" w:color="auto" w:fill="FFFFFF"/>
        </w:rPr>
        <w:t>Dawn</w:t>
      </w:r>
      <w:proofErr w:type="spellEnd"/>
      <w:r>
        <w:rPr>
          <w:rFonts w:ascii="Arial" w:hAnsi="Arial" w:cs="Arial"/>
          <w:color w:val="000000" w:themeColor="text1"/>
          <w:sz w:val="24"/>
          <w:szCs w:val="24"/>
          <w:shd w:val="clear" w:color="auto" w:fill="FFFFFF"/>
        </w:rPr>
        <w:t xml:space="preserve"> C, </w:t>
      </w:r>
      <w:r w:rsidRPr="00717D45">
        <w:rPr>
          <w:rFonts w:ascii="Arial" w:hAnsi="Arial" w:cs="Arial"/>
          <w:b/>
          <w:color w:val="000000" w:themeColor="text1"/>
          <w:sz w:val="24"/>
          <w:szCs w:val="24"/>
          <w:shd w:val="clear" w:color="auto" w:fill="FFFFFF"/>
        </w:rPr>
        <w:t>Econometria Básica</w:t>
      </w:r>
      <w:r>
        <w:rPr>
          <w:rFonts w:ascii="Arial" w:hAnsi="Arial" w:cs="Arial"/>
          <w:color w:val="000000" w:themeColor="text1"/>
          <w:sz w:val="24"/>
          <w:szCs w:val="24"/>
          <w:shd w:val="clear" w:color="auto" w:fill="FFFFFF"/>
        </w:rPr>
        <w:t xml:space="preserve">. Porto Alegre: AMGH, </w:t>
      </w:r>
      <w:proofErr w:type="gramStart"/>
      <w:r>
        <w:rPr>
          <w:rFonts w:ascii="Arial" w:hAnsi="Arial" w:cs="Arial"/>
          <w:color w:val="000000" w:themeColor="text1"/>
          <w:sz w:val="24"/>
          <w:szCs w:val="24"/>
          <w:shd w:val="clear" w:color="auto" w:fill="FFFFFF"/>
        </w:rPr>
        <w:t>2011</w:t>
      </w:r>
      <w:proofErr w:type="gramEnd"/>
    </w:p>
    <w:p w:rsidR="00926EEE" w:rsidRPr="00254C84" w:rsidRDefault="00926EEE" w:rsidP="00141D2E">
      <w:pPr>
        <w:spacing w:line="360" w:lineRule="auto"/>
        <w:jc w:val="both"/>
        <w:rPr>
          <w:rFonts w:ascii="Arial" w:eastAsia="Times New Roman" w:hAnsi="Arial" w:cs="Arial"/>
          <w:color w:val="000000" w:themeColor="text1"/>
          <w:sz w:val="24"/>
          <w:szCs w:val="24"/>
          <w:lang w:val="en-US" w:eastAsia="pt-BR"/>
        </w:rPr>
      </w:pPr>
      <w:r w:rsidRPr="003D72CA">
        <w:rPr>
          <w:rFonts w:ascii="Arial" w:eastAsia="Times New Roman" w:hAnsi="Arial" w:cs="Arial"/>
          <w:color w:val="000000" w:themeColor="text1"/>
          <w:sz w:val="24"/>
          <w:szCs w:val="24"/>
          <w:lang w:val="en-US" w:eastAsia="pt-BR"/>
        </w:rPr>
        <w:t>HANSEN, Alvin Harvey. </w:t>
      </w:r>
      <w:proofErr w:type="spellStart"/>
      <w:proofErr w:type="gramStart"/>
      <w:r w:rsidRPr="00254C84">
        <w:rPr>
          <w:rFonts w:ascii="Arial" w:eastAsia="Times New Roman" w:hAnsi="Arial" w:cs="Arial"/>
          <w:b/>
          <w:color w:val="000000" w:themeColor="text1"/>
          <w:sz w:val="24"/>
          <w:szCs w:val="24"/>
          <w:lang w:val="en-US" w:eastAsia="pt-BR"/>
        </w:rPr>
        <w:t>Guia</w:t>
      </w:r>
      <w:proofErr w:type="spellEnd"/>
      <w:r w:rsidRPr="00254C84">
        <w:rPr>
          <w:rFonts w:ascii="Arial" w:eastAsia="Times New Roman" w:hAnsi="Arial" w:cs="Arial"/>
          <w:b/>
          <w:color w:val="000000" w:themeColor="text1"/>
          <w:sz w:val="24"/>
          <w:szCs w:val="24"/>
          <w:lang w:val="en-US" w:eastAsia="pt-BR"/>
        </w:rPr>
        <w:t xml:space="preserve"> </w:t>
      </w:r>
      <w:proofErr w:type="spellStart"/>
      <w:r w:rsidRPr="00254C84">
        <w:rPr>
          <w:rFonts w:ascii="Arial" w:eastAsia="Times New Roman" w:hAnsi="Arial" w:cs="Arial"/>
          <w:b/>
          <w:color w:val="000000" w:themeColor="text1"/>
          <w:sz w:val="24"/>
          <w:szCs w:val="24"/>
          <w:lang w:val="en-US" w:eastAsia="pt-BR"/>
        </w:rPr>
        <w:t>para</w:t>
      </w:r>
      <w:proofErr w:type="spellEnd"/>
      <w:r w:rsidRPr="00254C84">
        <w:rPr>
          <w:rFonts w:ascii="Arial" w:eastAsia="Times New Roman" w:hAnsi="Arial" w:cs="Arial"/>
          <w:b/>
          <w:color w:val="000000" w:themeColor="text1"/>
          <w:sz w:val="24"/>
          <w:szCs w:val="24"/>
          <w:lang w:val="en-US" w:eastAsia="pt-BR"/>
        </w:rPr>
        <w:t xml:space="preserve"> Keynes</w:t>
      </w:r>
      <w:r w:rsidRPr="00254C84">
        <w:rPr>
          <w:rFonts w:ascii="Arial" w:eastAsia="Times New Roman" w:hAnsi="Arial" w:cs="Arial"/>
          <w:color w:val="000000" w:themeColor="text1"/>
          <w:sz w:val="24"/>
          <w:szCs w:val="24"/>
          <w:lang w:val="en-US" w:eastAsia="pt-BR"/>
        </w:rPr>
        <w:t>.</w:t>
      </w:r>
      <w:proofErr w:type="gramEnd"/>
      <w:r w:rsidRPr="00254C84">
        <w:rPr>
          <w:rFonts w:ascii="Arial" w:eastAsia="Times New Roman" w:hAnsi="Arial" w:cs="Arial"/>
          <w:color w:val="000000" w:themeColor="text1"/>
          <w:sz w:val="24"/>
          <w:szCs w:val="24"/>
          <w:lang w:val="en-US" w:eastAsia="pt-BR"/>
        </w:rPr>
        <w:t xml:space="preserve"> </w:t>
      </w:r>
      <w:proofErr w:type="spellStart"/>
      <w:proofErr w:type="gramStart"/>
      <w:r w:rsidRPr="00254C84">
        <w:rPr>
          <w:rFonts w:ascii="Arial" w:eastAsia="Times New Roman" w:hAnsi="Arial" w:cs="Arial"/>
          <w:color w:val="000000" w:themeColor="text1"/>
          <w:sz w:val="24"/>
          <w:szCs w:val="24"/>
          <w:lang w:val="en-US" w:eastAsia="pt-BR"/>
        </w:rPr>
        <w:t>Vértice</w:t>
      </w:r>
      <w:proofErr w:type="spellEnd"/>
      <w:r w:rsidRPr="00254C84">
        <w:rPr>
          <w:rFonts w:ascii="Arial" w:eastAsia="Times New Roman" w:hAnsi="Arial" w:cs="Arial"/>
          <w:color w:val="000000" w:themeColor="text1"/>
          <w:sz w:val="24"/>
          <w:szCs w:val="24"/>
          <w:lang w:val="en-US" w:eastAsia="pt-BR"/>
        </w:rPr>
        <w:t>, 1987.</w:t>
      </w:r>
      <w:proofErr w:type="gramEnd"/>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391C5E">
        <w:rPr>
          <w:rFonts w:ascii="Arial" w:eastAsia="Times New Roman" w:hAnsi="Arial" w:cs="Arial"/>
          <w:color w:val="000000" w:themeColor="text1"/>
          <w:sz w:val="24"/>
          <w:szCs w:val="24"/>
          <w:lang w:val="en-US" w:eastAsia="pt-BR"/>
        </w:rPr>
        <w:t xml:space="preserve">KEYNES, John Maynard. </w:t>
      </w:r>
      <w:r w:rsidRPr="009D7906">
        <w:rPr>
          <w:rFonts w:ascii="Arial" w:eastAsia="Times New Roman" w:hAnsi="Arial" w:cs="Arial"/>
          <w:b/>
          <w:color w:val="000000" w:themeColor="text1"/>
          <w:sz w:val="24"/>
          <w:szCs w:val="24"/>
          <w:lang w:eastAsia="pt-BR"/>
        </w:rPr>
        <w:t>Teoria geral do emprego, do juro e da moeda</w:t>
      </w:r>
      <w:r w:rsidRPr="009D7906">
        <w:rPr>
          <w:rFonts w:ascii="Arial" w:eastAsia="Times New Roman" w:hAnsi="Arial" w:cs="Arial"/>
          <w:color w:val="000000" w:themeColor="text1"/>
          <w:sz w:val="24"/>
          <w:szCs w:val="24"/>
          <w:lang w:eastAsia="pt-BR"/>
        </w:rPr>
        <w:t xml:space="preserve">. São Paulo: </w:t>
      </w:r>
      <w:proofErr w:type="gramStart"/>
      <w:r w:rsidRPr="009D7906">
        <w:rPr>
          <w:rFonts w:ascii="Arial" w:eastAsia="Times New Roman" w:hAnsi="Arial" w:cs="Arial"/>
          <w:color w:val="000000" w:themeColor="text1"/>
          <w:sz w:val="24"/>
          <w:szCs w:val="24"/>
          <w:lang w:eastAsia="pt-BR"/>
        </w:rPr>
        <w:t>Saraiva,</w:t>
      </w:r>
      <w:proofErr w:type="gramEnd"/>
      <w:r w:rsidRPr="009D7906">
        <w:rPr>
          <w:rFonts w:ascii="Arial" w:eastAsia="Times New Roman" w:hAnsi="Arial" w:cs="Arial"/>
          <w:color w:val="000000" w:themeColor="text1"/>
          <w:sz w:val="24"/>
          <w:szCs w:val="24"/>
          <w:lang w:eastAsia="pt-BR"/>
        </w:rPr>
        <w:t xml:space="preserve"> 2012</w:t>
      </w:r>
    </w:p>
    <w:p w:rsidR="00926EEE" w:rsidRDefault="00926EEE" w:rsidP="00C236A1">
      <w:pPr>
        <w:spacing w:line="240" w:lineRule="auto"/>
        <w:jc w:val="both"/>
        <w:rPr>
          <w:rFonts w:ascii="Arial" w:eastAsia="Times New Roman" w:hAnsi="Arial" w:cs="Arial"/>
          <w:color w:val="000000" w:themeColor="text1"/>
          <w:szCs w:val="24"/>
          <w:lang w:eastAsia="pt-BR"/>
        </w:rPr>
      </w:pPr>
      <w:r w:rsidRPr="009D7906">
        <w:rPr>
          <w:rFonts w:ascii="Arial" w:eastAsia="Times New Roman" w:hAnsi="Arial" w:cs="Arial"/>
          <w:color w:val="000000" w:themeColor="text1"/>
          <w:sz w:val="24"/>
          <w:szCs w:val="24"/>
          <w:lang w:eastAsia="pt-BR"/>
        </w:rPr>
        <w:t>MENDONÇA, Helder Ferreira de. Metas de inflação e taxa de juros no Brasil: uma análise do efeito dos preços livres e administrados. </w:t>
      </w:r>
      <w:r w:rsidRPr="009D7906">
        <w:rPr>
          <w:rFonts w:ascii="Arial" w:eastAsia="Times New Roman" w:hAnsi="Arial" w:cs="Arial"/>
          <w:b/>
          <w:color w:val="000000" w:themeColor="text1"/>
          <w:sz w:val="24"/>
          <w:szCs w:val="24"/>
          <w:lang w:eastAsia="pt-BR"/>
        </w:rPr>
        <w:t>Revista de Economia Política</w:t>
      </w:r>
      <w:r w:rsidRPr="009D7906">
        <w:rPr>
          <w:rFonts w:ascii="Arial" w:eastAsia="Times New Roman" w:hAnsi="Arial" w:cs="Arial"/>
          <w:color w:val="000000" w:themeColor="text1"/>
          <w:sz w:val="24"/>
          <w:szCs w:val="24"/>
          <w:lang w:eastAsia="pt-BR"/>
        </w:rPr>
        <w:t>, v. 27, n. 3, p. 107, 2007.</w:t>
      </w:r>
      <w:r>
        <w:rPr>
          <w:rFonts w:ascii="Arial" w:eastAsia="Times New Roman" w:hAnsi="Arial" w:cs="Arial"/>
          <w:color w:val="000000" w:themeColor="text1"/>
          <w:sz w:val="24"/>
          <w:szCs w:val="24"/>
          <w:lang w:eastAsia="pt-BR"/>
        </w:rPr>
        <w:t xml:space="preserve"> Disponível em: </w:t>
      </w:r>
      <w:hyperlink r:id="rId33" w:history="1">
        <w:r w:rsidRPr="00C236A1">
          <w:rPr>
            <w:rStyle w:val="Hyperlink"/>
            <w:rFonts w:ascii="Arial" w:eastAsia="Times New Roman" w:hAnsi="Arial" w:cs="Arial"/>
            <w:color w:val="auto"/>
            <w:sz w:val="24"/>
            <w:szCs w:val="24"/>
            <w:u w:color="FFFFFF" w:themeColor="background1"/>
            <w:lang w:eastAsia="pt-BR"/>
          </w:rPr>
          <w:t>www.scielo.br/pdf/rep/v27n3/v27n3a07</w:t>
        </w:r>
      </w:hyperlink>
      <w:r>
        <w:rPr>
          <w:rFonts w:ascii="Arial" w:eastAsia="Times New Roman" w:hAnsi="Arial" w:cs="Arial"/>
          <w:color w:val="000000" w:themeColor="text1"/>
          <w:sz w:val="24"/>
          <w:szCs w:val="24"/>
          <w:lang w:eastAsia="pt-BR"/>
        </w:rPr>
        <w:br/>
      </w:r>
      <w:r>
        <w:rPr>
          <w:rFonts w:ascii="Arial" w:eastAsia="Times New Roman" w:hAnsi="Arial" w:cs="Arial"/>
          <w:color w:val="000000" w:themeColor="text1"/>
          <w:szCs w:val="24"/>
          <w:lang w:eastAsia="pt-BR"/>
        </w:rPr>
        <w:t>Acesso em: 05 out. 2016</w:t>
      </w:r>
    </w:p>
    <w:p w:rsidR="00B07724" w:rsidRPr="00B07724" w:rsidRDefault="00B07724" w:rsidP="00C236A1">
      <w:pPr>
        <w:spacing w:line="240" w:lineRule="auto"/>
        <w:jc w:val="both"/>
        <w:rPr>
          <w:rFonts w:ascii="Arial" w:eastAsia="Times New Roman" w:hAnsi="Arial" w:cs="Arial"/>
          <w:color w:val="000000" w:themeColor="text1"/>
          <w:sz w:val="24"/>
          <w:szCs w:val="24"/>
          <w:lang w:eastAsia="pt-BR"/>
        </w:rPr>
      </w:pPr>
      <w:r w:rsidRPr="00B07724">
        <w:rPr>
          <w:rFonts w:ascii="Arial" w:eastAsia="Times New Roman" w:hAnsi="Arial" w:cs="Arial"/>
          <w:color w:val="000000" w:themeColor="text1"/>
          <w:sz w:val="24"/>
          <w:szCs w:val="24"/>
          <w:lang w:eastAsia="pt-BR"/>
        </w:rPr>
        <w:t xml:space="preserve">MODENESI, André de Melo; </w:t>
      </w:r>
      <w:r w:rsidRPr="00B07724">
        <w:rPr>
          <w:rFonts w:ascii="Arial" w:eastAsia="Times New Roman" w:hAnsi="Arial" w:cs="Arial"/>
          <w:b/>
          <w:color w:val="000000" w:themeColor="text1"/>
          <w:sz w:val="24"/>
          <w:szCs w:val="24"/>
          <w:lang w:eastAsia="pt-BR"/>
        </w:rPr>
        <w:t>Regime</w:t>
      </w:r>
      <w:r>
        <w:rPr>
          <w:rFonts w:ascii="Arial" w:eastAsia="Times New Roman" w:hAnsi="Arial" w:cs="Arial"/>
          <w:b/>
          <w:color w:val="000000" w:themeColor="text1"/>
          <w:sz w:val="24"/>
          <w:szCs w:val="24"/>
          <w:lang w:eastAsia="pt-BR"/>
        </w:rPr>
        <w:t>s</w:t>
      </w:r>
      <w:r w:rsidRPr="00B07724">
        <w:rPr>
          <w:rFonts w:ascii="Arial" w:eastAsia="Times New Roman" w:hAnsi="Arial" w:cs="Arial"/>
          <w:b/>
          <w:color w:val="000000" w:themeColor="text1"/>
          <w:sz w:val="24"/>
          <w:szCs w:val="24"/>
          <w:lang w:eastAsia="pt-BR"/>
        </w:rPr>
        <w:t xml:space="preserve"> monetários: Teoria e experiência do Real</w:t>
      </w:r>
      <w:r>
        <w:rPr>
          <w:rFonts w:ascii="Arial" w:eastAsia="Times New Roman" w:hAnsi="Arial" w:cs="Arial"/>
          <w:color w:val="000000" w:themeColor="text1"/>
          <w:sz w:val="24"/>
          <w:szCs w:val="24"/>
          <w:lang w:eastAsia="pt-BR"/>
        </w:rPr>
        <w:t>. São Paulo: Manole, 2005.</w:t>
      </w:r>
    </w:p>
    <w:p w:rsidR="00926EEE" w:rsidRPr="00254C84" w:rsidRDefault="00926EEE" w:rsidP="00141D2E">
      <w:pPr>
        <w:spacing w:line="240" w:lineRule="auto"/>
        <w:jc w:val="both"/>
        <w:rPr>
          <w:rFonts w:ascii="Arial" w:eastAsia="Times New Roman" w:hAnsi="Arial" w:cs="Arial"/>
          <w:color w:val="000000" w:themeColor="text1"/>
          <w:szCs w:val="24"/>
          <w:lang w:eastAsia="pt-BR"/>
        </w:rPr>
      </w:pPr>
      <w:r>
        <w:rPr>
          <w:rFonts w:ascii="Arial" w:eastAsia="Times New Roman" w:hAnsi="Arial" w:cs="Arial"/>
          <w:color w:val="000000" w:themeColor="text1"/>
          <w:szCs w:val="24"/>
          <w:lang w:eastAsia="pt-BR"/>
        </w:rPr>
        <w:t>MODENESI, André</w:t>
      </w:r>
      <w:r w:rsidRPr="009017B9">
        <w:rPr>
          <w:rFonts w:ascii="Arial" w:eastAsia="Times New Roman" w:hAnsi="Arial" w:cs="Arial"/>
          <w:color w:val="000000" w:themeColor="text1"/>
          <w:szCs w:val="24"/>
          <w:lang w:eastAsia="pt-BR"/>
        </w:rPr>
        <w:t xml:space="preserve"> de Melo; MODENESI, Rui </w:t>
      </w:r>
      <w:proofErr w:type="spellStart"/>
      <w:r w:rsidRPr="009017B9">
        <w:rPr>
          <w:rFonts w:ascii="Arial" w:eastAsia="Times New Roman" w:hAnsi="Arial" w:cs="Arial"/>
          <w:color w:val="000000" w:themeColor="text1"/>
          <w:szCs w:val="24"/>
          <w:lang w:eastAsia="pt-BR"/>
        </w:rPr>
        <w:t>Lyrio</w:t>
      </w:r>
      <w:proofErr w:type="spellEnd"/>
      <w:r w:rsidRPr="009017B9">
        <w:rPr>
          <w:rFonts w:ascii="Arial" w:eastAsia="Times New Roman" w:hAnsi="Arial" w:cs="Arial"/>
          <w:color w:val="000000" w:themeColor="text1"/>
          <w:szCs w:val="24"/>
          <w:lang w:eastAsia="pt-BR"/>
        </w:rPr>
        <w:t xml:space="preserve">. Quinze anos de rigidez monetária no Brasil pós-Plano Real: uma agenda de pesquisa. </w:t>
      </w:r>
      <w:r w:rsidRPr="009017B9">
        <w:rPr>
          <w:rFonts w:ascii="Arial" w:eastAsia="Times New Roman" w:hAnsi="Arial" w:cs="Arial"/>
          <w:b/>
          <w:color w:val="000000" w:themeColor="text1"/>
          <w:szCs w:val="24"/>
          <w:lang w:eastAsia="pt-BR"/>
        </w:rPr>
        <w:t>Revista de Economia Política</w:t>
      </w:r>
      <w:r w:rsidRPr="009017B9">
        <w:rPr>
          <w:rFonts w:ascii="Arial" w:eastAsia="Times New Roman" w:hAnsi="Arial" w:cs="Arial"/>
          <w:color w:val="000000" w:themeColor="text1"/>
          <w:szCs w:val="24"/>
          <w:lang w:eastAsia="pt-BR"/>
        </w:rPr>
        <w:t>, v. 32, n. 3, p. 389-411, 2012.</w:t>
      </w:r>
      <w:r>
        <w:rPr>
          <w:rFonts w:ascii="Arial" w:eastAsia="Times New Roman" w:hAnsi="Arial" w:cs="Arial"/>
          <w:color w:val="000000" w:themeColor="text1"/>
          <w:szCs w:val="24"/>
          <w:lang w:eastAsia="pt-BR"/>
        </w:rPr>
        <w:t xml:space="preserve"> Disponível em: </w:t>
      </w:r>
      <w:hyperlink r:id="rId34" w:history="1">
        <w:r w:rsidRPr="004B602D">
          <w:rPr>
            <w:rStyle w:val="Hyperlink"/>
            <w:rFonts w:ascii="Arial" w:eastAsia="Times New Roman" w:hAnsi="Arial" w:cs="Arial"/>
            <w:color w:val="auto"/>
            <w:sz w:val="24"/>
            <w:szCs w:val="24"/>
            <w:u w:color="FFFFFF" w:themeColor="background1"/>
            <w:lang w:eastAsia="pt-BR"/>
          </w:rPr>
          <w:t>http://www.scielo.br/scielo.php?pid=S0101-31572012000300003&amp;script=sci_arttext</w:t>
        </w:r>
      </w:hyperlink>
      <w:r>
        <w:rPr>
          <w:rStyle w:val="Hyperlink"/>
          <w:rFonts w:ascii="Arial" w:eastAsia="Times New Roman" w:hAnsi="Arial" w:cs="Arial"/>
          <w:sz w:val="24"/>
          <w:szCs w:val="24"/>
          <w:u w:color="FFFFFF" w:themeColor="background1"/>
          <w:lang w:eastAsia="pt-BR"/>
        </w:rPr>
        <w:t xml:space="preserve">. </w:t>
      </w:r>
      <w:r>
        <w:rPr>
          <w:rFonts w:ascii="Arial" w:eastAsia="Times New Roman" w:hAnsi="Arial" w:cs="Arial"/>
          <w:color w:val="000000" w:themeColor="text1"/>
          <w:szCs w:val="24"/>
          <w:lang w:eastAsia="pt-BR"/>
        </w:rPr>
        <w:t xml:space="preserve"> Acesso em: 03 out. 2016 </w:t>
      </w:r>
    </w:p>
    <w:p w:rsidR="00926EEE" w:rsidRPr="00F955D6" w:rsidRDefault="00926EEE" w:rsidP="00141D2E">
      <w:pPr>
        <w:spacing w:line="240" w:lineRule="auto"/>
        <w:jc w:val="both"/>
        <w:rPr>
          <w:rFonts w:ascii="Arial" w:hAnsi="Arial" w:cs="Arial"/>
          <w:color w:val="000000" w:themeColor="text1"/>
          <w:sz w:val="24"/>
          <w:szCs w:val="24"/>
          <w:shd w:val="clear" w:color="auto" w:fill="FFFFFF"/>
        </w:rPr>
      </w:pPr>
      <w:r w:rsidRPr="009D7906">
        <w:rPr>
          <w:rFonts w:ascii="Arial" w:hAnsi="Arial" w:cs="Arial"/>
          <w:color w:val="000000" w:themeColor="text1"/>
          <w:sz w:val="24"/>
          <w:szCs w:val="24"/>
          <w:shd w:val="clear" w:color="auto" w:fill="FFFFFF"/>
        </w:rPr>
        <w:t>NASSIF, ANDRÉ. As armadilhas do tripé da política macroeconômica brasileira.</w:t>
      </w:r>
      <w:r w:rsidRPr="009D7906">
        <w:rPr>
          <w:rStyle w:val="apple-converted-space"/>
          <w:rFonts w:ascii="Arial" w:hAnsi="Arial" w:cs="Arial"/>
          <w:color w:val="000000" w:themeColor="text1"/>
          <w:sz w:val="24"/>
          <w:szCs w:val="24"/>
          <w:shd w:val="clear" w:color="auto" w:fill="FFFFFF"/>
        </w:rPr>
        <w:t> </w:t>
      </w:r>
      <w:r w:rsidRPr="009D7906">
        <w:rPr>
          <w:rFonts w:ascii="Arial" w:hAnsi="Arial" w:cs="Arial"/>
          <w:b/>
          <w:bCs/>
          <w:color w:val="000000" w:themeColor="text1"/>
          <w:sz w:val="24"/>
          <w:szCs w:val="24"/>
          <w:shd w:val="clear" w:color="auto" w:fill="FFFFFF"/>
        </w:rPr>
        <w:t>Revista de Economia Política</w:t>
      </w:r>
      <w:r w:rsidRPr="009D7906">
        <w:rPr>
          <w:rFonts w:ascii="Arial" w:hAnsi="Arial" w:cs="Arial"/>
          <w:color w:val="000000" w:themeColor="text1"/>
          <w:sz w:val="24"/>
          <w:szCs w:val="24"/>
          <w:shd w:val="clear" w:color="auto" w:fill="FFFFFF"/>
        </w:rPr>
        <w:t xml:space="preserve">, v. 35, n. </w:t>
      </w:r>
      <w:r>
        <w:rPr>
          <w:rFonts w:ascii="Arial" w:hAnsi="Arial" w:cs="Arial"/>
          <w:color w:val="000000" w:themeColor="text1"/>
          <w:sz w:val="24"/>
          <w:szCs w:val="24"/>
          <w:shd w:val="clear" w:color="auto" w:fill="FFFFFF"/>
        </w:rPr>
        <w:t xml:space="preserve">3, p. 426-443, 2015. Disponível </w:t>
      </w:r>
      <w:r w:rsidRPr="009D7906">
        <w:rPr>
          <w:rFonts w:ascii="Arial" w:hAnsi="Arial" w:cs="Arial"/>
          <w:color w:val="000000" w:themeColor="text1"/>
          <w:sz w:val="24"/>
          <w:szCs w:val="24"/>
          <w:shd w:val="clear" w:color="auto" w:fill="FFFFFF"/>
        </w:rPr>
        <w:t>em:</w:t>
      </w:r>
      <w:r>
        <w:rPr>
          <w:rFonts w:ascii="Arial" w:hAnsi="Arial" w:cs="Arial"/>
          <w:color w:val="000000" w:themeColor="text1"/>
          <w:sz w:val="24"/>
          <w:szCs w:val="24"/>
          <w:shd w:val="clear" w:color="auto" w:fill="FFFFFF"/>
        </w:rPr>
        <w:t xml:space="preserve"> </w:t>
      </w:r>
      <w:proofErr w:type="gramStart"/>
      <w:r w:rsidRPr="003A1AA8">
        <w:rPr>
          <w:rStyle w:val="Hyperlink"/>
          <w:rFonts w:ascii="Arial" w:hAnsi="Arial" w:cs="Arial"/>
          <w:color w:val="000000" w:themeColor="text1"/>
          <w:sz w:val="24"/>
          <w:szCs w:val="24"/>
          <w:u w:color="FFFFFF" w:themeColor="background1"/>
        </w:rPr>
        <w:t>www.scielo.br/scielo.</w:t>
      </w:r>
      <w:proofErr w:type="gramEnd"/>
      <w:r w:rsidRPr="003A1AA8">
        <w:rPr>
          <w:rStyle w:val="Hyperlink"/>
          <w:rFonts w:ascii="Arial" w:hAnsi="Arial" w:cs="Arial"/>
          <w:color w:val="000000" w:themeColor="text1"/>
          <w:sz w:val="24"/>
          <w:szCs w:val="24"/>
          <w:u w:color="FFFFFF" w:themeColor="background1"/>
        </w:rPr>
        <w:t>php?</w:t>
      </w:r>
      <w:proofErr w:type="gramStart"/>
      <w:r w:rsidRPr="003A1AA8">
        <w:rPr>
          <w:rStyle w:val="Hyperlink"/>
          <w:rFonts w:ascii="Arial" w:hAnsi="Arial" w:cs="Arial"/>
          <w:color w:val="000000" w:themeColor="text1"/>
          <w:sz w:val="24"/>
          <w:szCs w:val="24"/>
          <w:u w:color="FFFFFF" w:themeColor="background1"/>
        </w:rPr>
        <w:t>pid</w:t>
      </w:r>
      <w:proofErr w:type="gramEnd"/>
      <w:r w:rsidRPr="003A1AA8">
        <w:rPr>
          <w:rStyle w:val="Hyperlink"/>
          <w:rFonts w:ascii="Arial" w:hAnsi="Arial" w:cs="Arial"/>
          <w:color w:val="000000" w:themeColor="text1"/>
          <w:sz w:val="24"/>
          <w:szCs w:val="24"/>
          <w:u w:color="FFFFFF" w:themeColor="background1"/>
        </w:rPr>
        <w:t xml:space="preserve">=S010131572015000300426&amp;script=sci_ </w:t>
      </w:r>
      <w:r w:rsidRPr="009D7906">
        <w:rPr>
          <w:rFonts w:ascii="Arial" w:hAnsi="Arial" w:cs="Arial"/>
          <w:color w:val="000000" w:themeColor="text1"/>
          <w:sz w:val="24"/>
          <w:szCs w:val="24"/>
          <w:shd w:val="clear" w:color="auto" w:fill="FFFFFF"/>
        </w:rPr>
        <w:t>Acesso em: 5 mar. 2016.</w:t>
      </w:r>
    </w:p>
    <w:p w:rsidR="00926EEE" w:rsidRPr="00254C84" w:rsidRDefault="00926EEE" w:rsidP="00141D2E">
      <w:pPr>
        <w:spacing w:line="240" w:lineRule="auto"/>
        <w:jc w:val="both"/>
        <w:rPr>
          <w:rFonts w:ascii="Arial" w:eastAsia="Times New Roman" w:hAnsi="Arial" w:cs="Arial"/>
          <w:color w:val="000000" w:themeColor="text1"/>
          <w:sz w:val="21"/>
          <w:szCs w:val="21"/>
          <w:lang w:eastAsia="pt-BR"/>
        </w:rPr>
      </w:pPr>
      <w:r w:rsidRPr="009D7906">
        <w:rPr>
          <w:rFonts w:ascii="Arial" w:eastAsia="Times New Roman" w:hAnsi="Arial" w:cs="Arial"/>
          <w:color w:val="000000" w:themeColor="text1"/>
          <w:sz w:val="24"/>
          <w:szCs w:val="24"/>
          <w:lang w:eastAsia="pt-BR"/>
        </w:rPr>
        <w:t xml:space="preserve">OREIRO, José Luís. </w:t>
      </w:r>
      <w:r w:rsidRPr="00F5525B">
        <w:rPr>
          <w:rFonts w:ascii="Arial" w:eastAsia="Times New Roman" w:hAnsi="Arial" w:cs="Arial"/>
          <w:color w:val="000000" w:themeColor="text1"/>
          <w:sz w:val="24"/>
          <w:szCs w:val="24"/>
          <w:lang w:eastAsia="pt-BR"/>
        </w:rPr>
        <w:t>Preferência pela liquidez, racionamento de crédito e concentração bancária uma nova teoria pós-</w:t>
      </w:r>
      <w:proofErr w:type="spellStart"/>
      <w:r w:rsidRPr="00F5525B">
        <w:rPr>
          <w:rFonts w:ascii="Arial" w:eastAsia="Times New Roman" w:hAnsi="Arial" w:cs="Arial"/>
          <w:color w:val="000000" w:themeColor="text1"/>
          <w:sz w:val="24"/>
          <w:szCs w:val="24"/>
          <w:lang w:eastAsia="pt-BR"/>
        </w:rPr>
        <w:t>keynesiana</w:t>
      </w:r>
      <w:proofErr w:type="spellEnd"/>
      <w:r w:rsidRPr="00F5525B">
        <w:rPr>
          <w:rFonts w:ascii="Arial" w:eastAsia="Times New Roman" w:hAnsi="Arial" w:cs="Arial"/>
          <w:color w:val="000000" w:themeColor="text1"/>
          <w:sz w:val="24"/>
          <w:szCs w:val="24"/>
          <w:lang w:eastAsia="pt-BR"/>
        </w:rPr>
        <w:t xml:space="preserve"> da firma bancária.</w:t>
      </w:r>
      <w:r w:rsidRPr="009D7906">
        <w:rPr>
          <w:rFonts w:ascii="Arial" w:eastAsia="Times New Roman" w:hAnsi="Arial" w:cs="Arial"/>
          <w:color w:val="000000" w:themeColor="text1"/>
          <w:sz w:val="24"/>
          <w:szCs w:val="24"/>
          <w:lang w:eastAsia="pt-BR"/>
        </w:rPr>
        <w:t xml:space="preserve"> </w:t>
      </w:r>
      <w:r w:rsidRPr="00F5525B">
        <w:rPr>
          <w:rFonts w:ascii="Arial" w:eastAsia="Times New Roman" w:hAnsi="Arial" w:cs="Arial"/>
          <w:b/>
          <w:color w:val="000000" w:themeColor="text1"/>
          <w:sz w:val="24"/>
          <w:szCs w:val="24"/>
          <w:lang w:eastAsia="pt-BR"/>
        </w:rPr>
        <w:t>Estudos Econômicos (São Paulo)</w:t>
      </w:r>
      <w:r w:rsidRPr="009D7906">
        <w:rPr>
          <w:rFonts w:ascii="Arial" w:eastAsia="Times New Roman" w:hAnsi="Arial" w:cs="Arial"/>
          <w:color w:val="000000" w:themeColor="text1"/>
          <w:sz w:val="24"/>
          <w:szCs w:val="24"/>
          <w:lang w:eastAsia="pt-BR"/>
        </w:rPr>
        <w:t>, v. 35, n. 1, p. 101-131, 2005.</w:t>
      </w:r>
      <w:r>
        <w:rPr>
          <w:rFonts w:ascii="Arial" w:eastAsia="Times New Roman" w:hAnsi="Arial" w:cs="Arial"/>
          <w:color w:val="000000" w:themeColor="text1"/>
          <w:sz w:val="24"/>
          <w:szCs w:val="24"/>
          <w:lang w:eastAsia="pt-BR"/>
        </w:rPr>
        <w:t xml:space="preserve"> Disponível em:</w:t>
      </w:r>
      <w:r w:rsidRPr="00254C84">
        <w:rPr>
          <w:rFonts w:ascii="Arial" w:eastAsia="Times New Roman" w:hAnsi="Arial" w:cs="Arial"/>
          <w:color w:val="000000" w:themeColor="text1"/>
          <w:lang w:eastAsia="pt-BR"/>
        </w:rPr>
        <w:t xml:space="preserve"> </w:t>
      </w:r>
      <w:hyperlink r:id="rId35" w:history="1">
        <w:r w:rsidRPr="004B602D">
          <w:rPr>
            <w:rStyle w:val="Hyperlink"/>
            <w:rFonts w:ascii="Arial" w:eastAsia="Times New Roman" w:hAnsi="Arial" w:cs="Arial"/>
            <w:color w:val="auto"/>
            <w:sz w:val="24"/>
            <w:szCs w:val="24"/>
            <w:u w:color="FFFFFF" w:themeColor="background1"/>
            <w:lang w:eastAsia="pt-BR"/>
          </w:rPr>
          <w:t>www.scielo.br/scielo.php?pid=S010141612005000100004&amp;script=sci_arttext&amp;tlng=pt</w:t>
        </w:r>
      </w:hyperlink>
      <w:r w:rsidRPr="003A1AA8">
        <w:rPr>
          <w:rFonts w:ascii="Arial" w:eastAsia="Times New Roman" w:hAnsi="Arial" w:cs="Arial"/>
          <w:color w:val="000000" w:themeColor="text1"/>
          <w:sz w:val="24"/>
          <w:szCs w:val="24"/>
          <w:u w:color="FFFFFF" w:themeColor="background1"/>
          <w:lang w:eastAsia="pt-BR"/>
        </w:rPr>
        <w:t xml:space="preserve"> </w:t>
      </w:r>
      <w:r>
        <w:rPr>
          <w:rFonts w:ascii="Arial" w:eastAsia="Times New Roman" w:hAnsi="Arial" w:cs="Arial"/>
          <w:color w:val="000000" w:themeColor="text1"/>
          <w:sz w:val="24"/>
          <w:szCs w:val="24"/>
          <w:lang w:eastAsia="pt-BR"/>
        </w:rPr>
        <w:t>Acesso em: 22 set. 2016</w:t>
      </w:r>
    </w:p>
    <w:p w:rsidR="00926EEE" w:rsidRPr="009D7906"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PAULA, Luiz Fernando</w:t>
      </w:r>
      <w:r>
        <w:rPr>
          <w:rFonts w:ascii="Arial" w:eastAsia="Times New Roman" w:hAnsi="Arial" w:cs="Arial"/>
          <w:color w:val="000000" w:themeColor="text1"/>
          <w:sz w:val="24"/>
          <w:szCs w:val="24"/>
          <w:lang w:eastAsia="pt-BR"/>
        </w:rPr>
        <w:t xml:space="preserve"> de</w:t>
      </w:r>
      <w:r w:rsidR="00F02357">
        <w:rPr>
          <w:rFonts w:ascii="Arial" w:eastAsia="Times New Roman" w:hAnsi="Arial" w:cs="Arial"/>
          <w:color w:val="000000" w:themeColor="text1"/>
          <w:sz w:val="24"/>
          <w:szCs w:val="24"/>
          <w:lang w:eastAsia="pt-BR"/>
        </w:rPr>
        <w:t>.</w:t>
      </w:r>
      <w:r w:rsidRPr="009D7906">
        <w:rPr>
          <w:rFonts w:ascii="Arial" w:eastAsia="Times New Roman" w:hAnsi="Arial" w:cs="Arial"/>
          <w:color w:val="000000" w:themeColor="text1"/>
          <w:sz w:val="24"/>
          <w:szCs w:val="24"/>
          <w:lang w:eastAsia="pt-BR"/>
        </w:rPr>
        <w:t xml:space="preserve"> Dinâmica da firma bancária: uma abordagem </w:t>
      </w:r>
      <w:proofErr w:type="gramStart"/>
      <w:r w:rsidRPr="009D7906">
        <w:rPr>
          <w:rFonts w:ascii="Arial" w:eastAsia="Times New Roman" w:hAnsi="Arial" w:cs="Arial"/>
          <w:color w:val="000000" w:themeColor="text1"/>
          <w:sz w:val="24"/>
          <w:szCs w:val="24"/>
          <w:lang w:eastAsia="pt-BR"/>
        </w:rPr>
        <w:t>não-convencional</w:t>
      </w:r>
      <w:proofErr w:type="gramEnd"/>
      <w:r w:rsidRPr="009D7906">
        <w:rPr>
          <w:rFonts w:ascii="Arial" w:eastAsia="Times New Roman" w:hAnsi="Arial" w:cs="Arial"/>
          <w:color w:val="000000" w:themeColor="text1"/>
          <w:sz w:val="24"/>
          <w:szCs w:val="24"/>
          <w:lang w:eastAsia="pt-BR"/>
        </w:rPr>
        <w:t>. </w:t>
      </w:r>
      <w:r w:rsidRPr="009D7906">
        <w:rPr>
          <w:rFonts w:ascii="Arial" w:eastAsia="Times New Roman" w:hAnsi="Arial" w:cs="Arial"/>
          <w:b/>
          <w:color w:val="000000" w:themeColor="text1"/>
          <w:sz w:val="24"/>
          <w:szCs w:val="24"/>
          <w:lang w:eastAsia="pt-BR"/>
        </w:rPr>
        <w:t>Revista Brasileira de Economia</w:t>
      </w:r>
      <w:r w:rsidRPr="009D7906">
        <w:rPr>
          <w:rFonts w:ascii="Arial" w:eastAsia="Times New Roman" w:hAnsi="Arial" w:cs="Arial"/>
          <w:color w:val="000000" w:themeColor="text1"/>
          <w:sz w:val="24"/>
          <w:szCs w:val="24"/>
          <w:lang w:eastAsia="pt-BR"/>
        </w:rPr>
        <w:t>, v. 53, n. 3, p. 323-356, 1999.</w:t>
      </w:r>
      <w:r>
        <w:rPr>
          <w:rFonts w:ascii="Arial" w:eastAsia="Times New Roman" w:hAnsi="Arial" w:cs="Arial"/>
          <w:color w:val="000000" w:themeColor="text1"/>
          <w:sz w:val="24"/>
          <w:szCs w:val="24"/>
          <w:lang w:eastAsia="pt-BR"/>
        </w:rPr>
        <w:t xml:space="preserve"> Disponível em: </w:t>
      </w:r>
      <w:hyperlink r:id="rId36" w:history="1">
        <w:r w:rsidRPr="004B602D">
          <w:rPr>
            <w:rStyle w:val="Hyperlink"/>
            <w:rFonts w:ascii="Arial" w:eastAsia="Times New Roman" w:hAnsi="Arial" w:cs="Arial"/>
            <w:color w:val="auto"/>
            <w:sz w:val="24"/>
            <w:szCs w:val="24"/>
            <w:u w:val="none"/>
            <w:lang w:eastAsia="pt-BR"/>
          </w:rPr>
          <w:t>http://luizfernandodepaula.com.br/ups/dinamica-firma-bancaria-uma-abordagem.pdf</w:t>
        </w:r>
      </w:hyperlink>
      <w:r w:rsidRPr="003A1AA8">
        <w:rPr>
          <w:rFonts w:ascii="Arial" w:eastAsia="Times New Roman" w:hAnsi="Arial" w:cs="Arial"/>
          <w:color w:val="000000" w:themeColor="text1"/>
          <w:sz w:val="24"/>
          <w:szCs w:val="24"/>
          <w:u w:val="single" w:color="FFFFFF" w:themeColor="background1"/>
          <w:lang w:eastAsia="pt-BR"/>
        </w:rPr>
        <w:t xml:space="preserve"> </w:t>
      </w:r>
      <w:r>
        <w:rPr>
          <w:rFonts w:ascii="Arial" w:eastAsia="Times New Roman" w:hAnsi="Arial" w:cs="Arial"/>
          <w:color w:val="000000" w:themeColor="text1"/>
          <w:sz w:val="24"/>
          <w:szCs w:val="24"/>
          <w:lang w:eastAsia="pt-BR"/>
        </w:rPr>
        <w:t>Acesso em: 15 out. 2016</w:t>
      </w:r>
    </w:p>
    <w:p w:rsidR="00926EEE" w:rsidRPr="009D7906" w:rsidRDefault="00926EEE" w:rsidP="00141D2E">
      <w:pPr>
        <w:spacing w:line="240" w:lineRule="auto"/>
        <w:jc w:val="both"/>
        <w:rPr>
          <w:rFonts w:ascii="Arial" w:hAnsi="Arial" w:cs="Arial"/>
          <w:color w:val="000000" w:themeColor="text1"/>
          <w:sz w:val="24"/>
          <w:szCs w:val="24"/>
          <w:shd w:val="clear" w:color="auto" w:fill="FFFFFF"/>
        </w:rPr>
      </w:pPr>
      <w:r w:rsidRPr="009D7906">
        <w:rPr>
          <w:rFonts w:ascii="Arial" w:hAnsi="Arial" w:cs="Arial"/>
          <w:color w:val="000000" w:themeColor="text1"/>
          <w:sz w:val="24"/>
          <w:szCs w:val="24"/>
          <w:shd w:val="clear" w:color="auto" w:fill="FFFFFF"/>
        </w:rPr>
        <w:lastRenderedPageBreak/>
        <w:t>PAULA, Luiz Fernando</w:t>
      </w:r>
      <w:r>
        <w:rPr>
          <w:rFonts w:ascii="Arial" w:hAnsi="Arial" w:cs="Arial"/>
          <w:color w:val="000000" w:themeColor="text1"/>
          <w:sz w:val="24"/>
          <w:szCs w:val="24"/>
          <w:shd w:val="clear" w:color="auto" w:fill="FFFFFF"/>
        </w:rPr>
        <w:t xml:space="preserve"> de</w:t>
      </w:r>
      <w:r w:rsidRPr="009D7906">
        <w:rPr>
          <w:rFonts w:ascii="Arial" w:hAnsi="Arial" w:cs="Arial"/>
          <w:color w:val="000000" w:themeColor="text1"/>
          <w:sz w:val="24"/>
          <w:szCs w:val="24"/>
          <w:shd w:val="clear" w:color="auto" w:fill="FFFFFF"/>
        </w:rPr>
        <w:t>. Bancos e crédito: a abordagem pós-</w:t>
      </w:r>
      <w:proofErr w:type="spellStart"/>
      <w:r w:rsidRPr="009D7906">
        <w:rPr>
          <w:rFonts w:ascii="Arial" w:hAnsi="Arial" w:cs="Arial"/>
          <w:color w:val="000000" w:themeColor="text1"/>
          <w:sz w:val="24"/>
          <w:szCs w:val="24"/>
          <w:shd w:val="clear" w:color="auto" w:fill="FFFFFF"/>
        </w:rPr>
        <w:t>keynesiana</w:t>
      </w:r>
      <w:proofErr w:type="spellEnd"/>
      <w:r w:rsidRPr="009D7906">
        <w:rPr>
          <w:rFonts w:ascii="Arial" w:hAnsi="Arial" w:cs="Arial"/>
          <w:color w:val="000000" w:themeColor="text1"/>
          <w:sz w:val="24"/>
          <w:szCs w:val="24"/>
          <w:shd w:val="clear" w:color="auto" w:fill="FFFFFF"/>
        </w:rPr>
        <w:t xml:space="preserve"> de preferência pela liquidez. </w:t>
      </w:r>
      <w:r w:rsidRPr="009D7906">
        <w:rPr>
          <w:rFonts w:ascii="Arial" w:hAnsi="Arial" w:cs="Arial"/>
          <w:b/>
          <w:color w:val="000000" w:themeColor="text1"/>
          <w:sz w:val="24"/>
          <w:szCs w:val="24"/>
          <w:shd w:val="clear" w:color="auto" w:fill="FFFFFF"/>
        </w:rPr>
        <w:t>Revista de Economia</w:t>
      </w:r>
      <w:r w:rsidRPr="009D7906">
        <w:rPr>
          <w:rFonts w:ascii="Arial" w:hAnsi="Arial" w:cs="Arial"/>
          <w:color w:val="000000" w:themeColor="text1"/>
          <w:sz w:val="24"/>
          <w:szCs w:val="24"/>
          <w:shd w:val="clear" w:color="auto" w:fill="FFFFFF"/>
        </w:rPr>
        <w:t>, v.</w:t>
      </w:r>
      <w:r>
        <w:rPr>
          <w:rFonts w:ascii="Arial" w:hAnsi="Arial" w:cs="Arial"/>
          <w:color w:val="000000" w:themeColor="text1"/>
          <w:sz w:val="24"/>
          <w:szCs w:val="24"/>
          <w:shd w:val="clear" w:color="auto" w:fill="FFFFFF"/>
        </w:rPr>
        <w:t xml:space="preserve"> 32, n. 2, 2006. Disponível em: </w:t>
      </w:r>
      <w:hyperlink r:id="rId37" w:history="1">
        <w:r w:rsidRPr="004B602D">
          <w:rPr>
            <w:rStyle w:val="Hyperlink"/>
            <w:rFonts w:ascii="Arial" w:hAnsi="Arial" w:cs="Arial"/>
            <w:color w:val="auto"/>
            <w:sz w:val="24"/>
            <w:szCs w:val="24"/>
            <w:u w:val="none"/>
            <w:shd w:val="clear" w:color="auto" w:fill="FFFFFF"/>
          </w:rPr>
          <w:t>https://www.researchgate.net/profile/Luiz_Paula/publication/273170949</w:t>
        </w:r>
      </w:hyperlink>
      <w:r w:rsidRPr="004B602D">
        <w:rPr>
          <w:rFonts w:ascii="Arial" w:hAnsi="Arial" w:cs="Arial"/>
          <w:sz w:val="24"/>
          <w:szCs w:val="24"/>
          <w:u w:val="single" w:color="FFFFFF" w:themeColor="background1"/>
          <w:shd w:val="clear" w:color="auto" w:fill="FFFFFF"/>
        </w:rPr>
        <w:t>.</w:t>
      </w:r>
      <w:r w:rsidRPr="009D7906">
        <w:rPr>
          <w:rFonts w:ascii="Arial" w:hAnsi="Arial" w:cs="Arial"/>
          <w:color w:val="000000" w:themeColor="text1"/>
          <w:sz w:val="24"/>
          <w:szCs w:val="24"/>
          <w:shd w:val="clear" w:color="auto" w:fill="FFFFFF"/>
        </w:rPr>
        <w:t xml:space="preserve"> Acesso em 15 Jul. 2016.</w:t>
      </w:r>
      <w:r>
        <w:rPr>
          <w:rFonts w:ascii="Arial" w:hAnsi="Arial" w:cs="Arial"/>
          <w:color w:val="000000" w:themeColor="text1"/>
          <w:sz w:val="24"/>
          <w:szCs w:val="24"/>
          <w:shd w:val="clear" w:color="auto" w:fill="FFFFFF"/>
        </w:rPr>
        <w:t xml:space="preserve"> </w:t>
      </w:r>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PAULA, Luiz Fernando</w:t>
      </w:r>
      <w:r>
        <w:rPr>
          <w:rFonts w:ascii="Arial" w:eastAsia="Times New Roman" w:hAnsi="Arial" w:cs="Arial"/>
          <w:color w:val="000000" w:themeColor="text1"/>
          <w:sz w:val="24"/>
          <w:szCs w:val="24"/>
          <w:lang w:eastAsia="pt-BR"/>
        </w:rPr>
        <w:t xml:space="preserve"> de</w:t>
      </w:r>
      <w:r w:rsidRPr="009D7906">
        <w:rPr>
          <w:rFonts w:ascii="Arial" w:eastAsia="Times New Roman" w:hAnsi="Arial" w:cs="Arial"/>
          <w:color w:val="000000" w:themeColor="text1"/>
          <w:sz w:val="24"/>
          <w:szCs w:val="24"/>
          <w:lang w:eastAsia="pt-BR"/>
        </w:rPr>
        <w:t xml:space="preserve">; </w:t>
      </w:r>
      <w:r w:rsidRPr="00141D2E">
        <w:rPr>
          <w:rFonts w:ascii="Arial" w:eastAsia="Times New Roman" w:hAnsi="Arial" w:cs="Arial"/>
          <w:color w:val="000000" w:themeColor="text1"/>
          <w:sz w:val="24"/>
          <w:szCs w:val="24"/>
          <w:lang w:eastAsia="pt-BR"/>
        </w:rPr>
        <w:t>O prob</w:t>
      </w:r>
      <w:r>
        <w:rPr>
          <w:rFonts w:ascii="Arial" w:eastAsia="Times New Roman" w:hAnsi="Arial" w:cs="Arial"/>
          <w:color w:val="000000" w:themeColor="text1"/>
          <w:sz w:val="24"/>
          <w:szCs w:val="24"/>
          <w:lang w:eastAsia="pt-BR"/>
        </w:rPr>
        <w:t>lema da taxa de juros no Brasil</w:t>
      </w:r>
      <w:r w:rsidRPr="00141D2E">
        <w:rPr>
          <w:rFonts w:ascii="Arial" w:eastAsia="Times New Roman" w:hAnsi="Arial" w:cs="Arial"/>
          <w:color w:val="000000" w:themeColor="text1"/>
          <w:sz w:val="24"/>
          <w:szCs w:val="24"/>
          <w:lang w:eastAsia="pt-BR"/>
        </w:rPr>
        <w:t xml:space="preserve">. </w:t>
      </w:r>
      <w:r w:rsidRPr="00141D2E">
        <w:rPr>
          <w:rFonts w:ascii="Arial" w:eastAsia="Times New Roman" w:hAnsi="Arial" w:cs="Arial"/>
          <w:b/>
          <w:color w:val="000000" w:themeColor="text1"/>
          <w:sz w:val="24"/>
          <w:szCs w:val="24"/>
          <w:lang w:eastAsia="pt-BR"/>
        </w:rPr>
        <w:t>Carta Maior</w:t>
      </w:r>
      <w:r w:rsidRPr="00141D2E">
        <w:rPr>
          <w:rFonts w:ascii="Arial" w:eastAsia="Times New Roman" w:hAnsi="Arial" w:cs="Arial"/>
          <w:color w:val="000000" w:themeColor="text1"/>
          <w:sz w:val="24"/>
          <w:szCs w:val="24"/>
          <w:lang w:eastAsia="pt-BR"/>
        </w:rPr>
        <w:t xml:space="preserve">, </w:t>
      </w:r>
      <w:r>
        <w:rPr>
          <w:rFonts w:ascii="Arial" w:eastAsia="Times New Roman" w:hAnsi="Arial" w:cs="Arial"/>
          <w:color w:val="000000" w:themeColor="text1"/>
          <w:sz w:val="24"/>
          <w:szCs w:val="24"/>
          <w:lang w:eastAsia="pt-BR"/>
        </w:rPr>
        <w:t>2011</w:t>
      </w:r>
      <w:r w:rsidRPr="00141D2E">
        <w:rPr>
          <w:rFonts w:ascii="Arial" w:eastAsia="Times New Roman" w:hAnsi="Arial" w:cs="Arial"/>
          <w:color w:val="000000" w:themeColor="text1"/>
          <w:sz w:val="24"/>
          <w:szCs w:val="24"/>
          <w:lang w:eastAsia="pt-BR"/>
        </w:rPr>
        <w:t>.</w:t>
      </w:r>
      <w:r w:rsidR="00B07724">
        <w:rPr>
          <w:rFonts w:ascii="Arial" w:eastAsia="Times New Roman" w:hAnsi="Arial" w:cs="Arial"/>
          <w:color w:val="000000" w:themeColor="text1"/>
          <w:sz w:val="24"/>
          <w:szCs w:val="24"/>
          <w:lang w:eastAsia="pt-BR"/>
        </w:rPr>
        <w:t xml:space="preserve"> </w:t>
      </w:r>
      <w:r>
        <w:rPr>
          <w:rFonts w:ascii="Arial" w:eastAsia="Times New Roman" w:hAnsi="Arial" w:cs="Arial"/>
          <w:color w:val="000000" w:themeColor="text1"/>
          <w:sz w:val="24"/>
          <w:szCs w:val="24"/>
          <w:lang w:eastAsia="pt-BR"/>
        </w:rPr>
        <w:t xml:space="preserve">Disponível em: </w:t>
      </w:r>
      <w:r w:rsidRPr="00141D2E">
        <w:rPr>
          <w:rFonts w:ascii="Arial" w:eastAsia="Times New Roman" w:hAnsi="Arial" w:cs="Arial"/>
          <w:color w:val="000000" w:themeColor="text1"/>
          <w:sz w:val="24"/>
          <w:szCs w:val="24"/>
          <w:lang w:eastAsia="pt-BR"/>
        </w:rPr>
        <w:t>www.cartamaior.com.br/?/Editoria/Economia/</w:t>
      </w:r>
      <w:r>
        <w:rPr>
          <w:rFonts w:ascii="Arial" w:eastAsia="Times New Roman" w:hAnsi="Arial" w:cs="Arial"/>
          <w:color w:val="000000" w:themeColor="text1"/>
          <w:sz w:val="24"/>
          <w:szCs w:val="24"/>
          <w:lang w:eastAsia="pt-BR"/>
        </w:rPr>
        <w:br/>
      </w:r>
      <w:r w:rsidRPr="00141D2E">
        <w:rPr>
          <w:rFonts w:ascii="Arial" w:eastAsia="Times New Roman" w:hAnsi="Arial" w:cs="Arial"/>
          <w:color w:val="000000" w:themeColor="text1"/>
          <w:sz w:val="24"/>
          <w:szCs w:val="24"/>
          <w:lang w:eastAsia="pt-BR"/>
        </w:rPr>
        <w:t>O-problema-da-taxa-de-juros-no-Brasil/7/16653</w:t>
      </w:r>
      <w:r>
        <w:rPr>
          <w:rFonts w:ascii="Arial" w:eastAsia="Times New Roman" w:hAnsi="Arial" w:cs="Arial"/>
          <w:color w:val="000000" w:themeColor="text1"/>
          <w:sz w:val="24"/>
          <w:szCs w:val="24"/>
          <w:lang w:eastAsia="pt-BR"/>
        </w:rPr>
        <w:t>. Acesso em: 01 abril 2017</w:t>
      </w:r>
    </w:p>
    <w:p w:rsidR="00926EEE" w:rsidRDefault="00926EEE" w:rsidP="00141D2E">
      <w:pPr>
        <w:spacing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PAULA, Luiz Fernando</w:t>
      </w:r>
      <w:r>
        <w:rPr>
          <w:rFonts w:ascii="Arial" w:eastAsia="Times New Roman" w:hAnsi="Arial" w:cs="Arial"/>
          <w:color w:val="000000" w:themeColor="text1"/>
          <w:sz w:val="24"/>
          <w:szCs w:val="24"/>
          <w:lang w:eastAsia="pt-BR"/>
        </w:rPr>
        <w:t xml:space="preserve"> de</w:t>
      </w:r>
      <w:r w:rsidRPr="009D7906">
        <w:rPr>
          <w:rFonts w:ascii="Arial" w:eastAsia="Times New Roman" w:hAnsi="Arial" w:cs="Arial"/>
          <w:color w:val="000000" w:themeColor="text1"/>
          <w:sz w:val="24"/>
          <w:szCs w:val="24"/>
          <w:lang w:eastAsia="pt-BR"/>
        </w:rPr>
        <w:t xml:space="preserve">; OREIRO, José Luís. </w:t>
      </w:r>
      <w:r w:rsidRPr="00F955D6">
        <w:rPr>
          <w:rFonts w:ascii="Arial" w:eastAsia="Times New Roman" w:hAnsi="Arial" w:cs="Arial"/>
          <w:b/>
          <w:color w:val="000000" w:themeColor="text1"/>
          <w:sz w:val="24"/>
          <w:szCs w:val="24"/>
          <w:lang w:eastAsia="pt-BR"/>
        </w:rPr>
        <w:t>Sistema Financeiro: uma análise do setor bancário brasileiro</w:t>
      </w:r>
      <w:r w:rsidRPr="009D7906">
        <w:rPr>
          <w:rFonts w:ascii="Arial" w:eastAsia="Times New Roman" w:hAnsi="Arial" w:cs="Arial"/>
          <w:color w:val="000000" w:themeColor="text1"/>
          <w:sz w:val="24"/>
          <w:szCs w:val="24"/>
          <w:lang w:eastAsia="pt-BR"/>
        </w:rPr>
        <w:t>. </w:t>
      </w:r>
      <w:proofErr w:type="spellStart"/>
      <w:r>
        <w:rPr>
          <w:rFonts w:ascii="Arial" w:eastAsia="Times New Roman" w:hAnsi="Arial" w:cs="Arial"/>
          <w:color w:val="000000" w:themeColor="text1"/>
          <w:sz w:val="24"/>
          <w:szCs w:val="24"/>
          <w:lang w:eastAsia="pt-BR"/>
        </w:rPr>
        <w:t>Elsevier</w:t>
      </w:r>
      <w:proofErr w:type="spellEnd"/>
      <w:r>
        <w:rPr>
          <w:rFonts w:ascii="Arial" w:eastAsia="Times New Roman" w:hAnsi="Arial" w:cs="Arial"/>
          <w:color w:val="000000" w:themeColor="text1"/>
          <w:sz w:val="24"/>
          <w:szCs w:val="24"/>
          <w:lang w:eastAsia="pt-BR"/>
        </w:rPr>
        <w:t xml:space="preserve">, </w:t>
      </w:r>
      <w:r w:rsidRPr="009D7906">
        <w:rPr>
          <w:rFonts w:ascii="Arial" w:eastAsia="Times New Roman" w:hAnsi="Arial" w:cs="Arial"/>
          <w:color w:val="000000" w:themeColor="text1"/>
          <w:sz w:val="24"/>
          <w:szCs w:val="24"/>
          <w:lang w:eastAsia="pt-BR"/>
        </w:rPr>
        <w:t>2008.</w:t>
      </w:r>
    </w:p>
    <w:p w:rsidR="00926EEE" w:rsidRPr="00C236A1" w:rsidRDefault="00926EEE" w:rsidP="00141D2E">
      <w:pPr>
        <w:spacing w:line="240" w:lineRule="auto"/>
        <w:jc w:val="both"/>
        <w:rPr>
          <w:rFonts w:ascii="Arial" w:eastAsia="Times New Roman" w:hAnsi="Arial" w:cs="Arial"/>
          <w:color w:val="000000" w:themeColor="text1"/>
          <w:sz w:val="24"/>
          <w:szCs w:val="24"/>
          <w:lang w:eastAsia="pt-BR"/>
        </w:rPr>
      </w:pPr>
      <w:r w:rsidRPr="00C236A1">
        <w:rPr>
          <w:rFonts w:ascii="Arial" w:eastAsia="Times New Roman" w:hAnsi="Arial" w:cs="Arial"/>
          <w:color w:val="000000" w:themeColor="text1"/>
          <w:sz w:val="24"/>
          <w:szCs w:val="24"/>
          <w:lang w:eastAsia="pt-BR"/>
        </w:rPr>
        <w:t>PAULA, L</w:t>
      </w:r>
      <w:r>
        <w:rPr>
          <w:rFonts w:ascii="Arial" w:eastAsia="Times New Roman" w:hAnsi="Arial" w:cs="Arial"/>
          <w:color w:val="000000" w:themeColor="text1"/>
          <w:sz w:val="24"/>
          <w:szCs w:val="24"/>
          <w:lang w:eastAsia="pt-BR"/>
        </w:rPr>
        <w:t xml:space="preserve">uiz </w:t>
      </w:r>
      <w:r w:rsidRPr="00C236A1">
        <w:rPr>
          <w:rFonts w:ascii="Arial" w:eastAsia="Times New Roman" w:hAnsi="Arial" w:cs="Arial"/>
          <w:color w:val="000000" w:themeColor="text1"/>
          <w:sz w:val="24"/>
          <w:szCs w:val="24"/>
          <w:lang w:eastAsia="pt-BR"/>
        </w:rPr>
        <w:t>F</w:t>
      </w:r>
      <w:r>
        <w:rPr>
          <w:rFonts w:ascii="Arial" w:eastAsia="Times New Roman" w:hAnsi="Arial" w:cs="Arial"/>
          <w:color w:val="000000" w:themeColor="text1"/>
          <w:sz w:val="24"/>
          <w:szCs w:val="24"/>
          <w:lang w:eastAsia="pt-BR"/>
        </w:rPr>
        <w:t xml:space="preserve">ernando </w:t>
      </w:r>
      <w:proofErr w:type="gramStart"/>
      <w:r>
        <w:rPr>
          <w:rFonts w:ascii="Arial" w:eastAsia="Times New Roman" w:hAnsi="Arial" w:cs="Arial"/>
          <w:color w:val="000000" w:themeColor="text1"/>
          <w:sz w:val="24"/>
          <w:szCs w:val="24"/>
          <w:lang w:eastAsia="pt-BR"/>
        </w:rPr>
        <w:t>de;</w:t>
      </w:r>
      <w:proofErr w:type="gramEnd"/>
      <w:r>
        <w:rPr>
          <w:rFonts w:ascii="Arial" w:eastAsia="Times New Roman" w:hAnsi="Arial" w:cs="Arial"/>
          <w:color w:val="000000" w:themeColor="text1"/>
          <w:sz w:val="24"/>
          <w:szCs w:val="24"/>
          <w:lang w:eastAsia="pt-BR"/>
        </w:rPr>
        <w:t xml:space="preserve"> </w:t>
      </w:r>
      <w:r w:rsidRPr="00C236A1">
        <w:rPr>
          <w:rFonts w:ascii="Arial" w:eastAsia="Times New Roman" w:hAnsi="Arial" w:cs="Arial"/>
          <w:b/>
          <w:color w:val="000000" w:themeColor="text1"/>
          <w:sz w:val="24"/>
          <w:szCs w:val="24"/>
          <w:lang w:eastAsia="pt-BR"/>
        </w:rPr>
        <w:t xml:space="preserve">Sistema Financeiro, bancos e financiamento da economia: uma abordagem </w:t>
      </w:r>
      <w:proofErr w:type="spellStart"/>
      <w:r w:rsidRPr="00C236A1">
        <w:rPr>
          <w:rFonts w:ascii="Arial" w:eastAsia="Times New Roman" w:hAnsi="Arial" w:cs="Arial"/>
          <w:b/>
          <w:color w:val="000000" w:themeColor="text1"/>
          <w:sz w:val="24"/>
          <w:szCs w:val="24"/>
          <w:lang w:eastAsia="pt-BR"/>
        </w:rPr>
        <w:t>keynesiana</w:t>
      </w:r>
      <w:proofErr w:type="spellEnd"/>
      <w:r>
        <w:rPr>
          <w:rFonts w:ascii="Arial" w:eastAsia="Times New Roman" w:hAnsi="Arial" w:cs="Arial"/>
          <w:color w:val="000000" w:themeColor="text1"/>
          <w:sz w:val="24"/>
          <w:szCs w:val="24"/>
          <w:lang w:eastAsia="pt-BR"/>
        </w:rPr>
        <w:t>.</w:t>
      </w:r>
      <w:r w:rsidRPr="00C236A1">
        <w:rPr>
          <w:rFonts w:ascii="Arial" w:eastAsia="Times New Roman" w:hAnsi="Arial" w:cs="Arial"/>
          <w:color w:val="000000" w:themeColor="text1"/>
          <w:sz w:val="24"/>
          <w:szCs w:val="24"/>
          <w:lang w:eastAsia="pt-BR"/>
        </w:rPr>
        <w:t xml:space="preserve"> Rio de Janeiro: Editora Campus/</w:t>
      </w:r>
      <w:proofErr w:type="spellStart"/>
      <w:r w:rsidRPr="00C236A1">
        <w:rPr>
          <w:rFonts w:ascii="Arial" w:eastAsia="Times New Roman" w:hAnsi="Arial" w:cs="Arial"/>
          <w:color w:val="000000" w:themeColor="text1"/>
          <w:sz w:val="24"/>
          <w:szCs w:val="24"/>
          <w:lang w:eastAsia="pt-BR"/>
        </w:rPr>
        <w:t>Elsevier</w:t>
      </w:r>
      <w:proofErr w:type="spellEnd"/>
      <w:r w:rsidRPr="00C236A1">
        <w:rPr>
          <w:rFonts w:ascii="Arial" w:eastAsia="Times New Roman" w:hAnsi="Arial" w:cs="Arial"/>
          <w:color w:val="000000" w:themeColor="text1"/>
          <w:sz w:val="24"/>
          <w:szCs w:val="24"/>
          <w:lang w:eastAsia="pt-BR"/>
        </w:rPr>
        <w:t xml:space="preserve"> (2014).</w:t>
      </w:r>
    </w:p>
    <w:p w:rsidR="00926EEE" w:rsidRPr="009D7906" w:rsidRDefault="00926EEE" w:rsidP="00141D2E">
      <w:pPr>
        <w:spacing w:after="0" w:line="240" w:lineRule="auto"/>
        <w:jc w:val="both"/>
        <w:rPr>
          <w:rFonts w:ascii="Arial" w:eastAsia="Times New Roman" w:hAnsi="Arial" w:cs="Arial"/>
          <w:color w:val="000000" w:themeColor="text1"/>
          <w:sz w:val="24"/>
          <w:szCs w:val="24"/>
          <w:lang w:eastAsia="pt-BR"/>
        </w:rPr>
      </w:pPr>
      <w:r w:rsidRPr="009D7906">
        <w:rPr>
          <w:rFonts w:ascii="Arial" w:eastAsia="Times New Roman" w:hAnsi="Arial" w:cs="Arial"/>
          <w:color w:val="000000" w:themeColor="text1"/>
          <w:sz w:val="24"/>
          <w:szCs w:val="24"/>
          <w:lang w:eastAsia="pt-BR"/>
        </w:rPr>
        <w:t xml:space="preserve">SQUEFF, Gabriel C.; OREIRO, José Luís; PAULA, L. F. </w:t>
      </w:r>
      <w:proofErr w:type="gramStart"/>
      <w:r w:rsidRPr="009D7906">
        <w:rPr>
          <w:rFonts w:ascii="Arial" w:eastAsia="Times New Roman" w:hAnsi="Arial" w:cs="Arial"/>
          <w:color w:val="000000" w:themeColor="text1"/>
          <w:sz w:val="24"/>
          <w:szCs w:val="24"/>
          <w:lang w:eastAsia="pt-BR"/>
        </w:rPr>
        <w:t>Flexibilização</w:t>
      </w:r>
      <w:proofErr w:type="gramEnd"/>
      <w:r w:rsidRPr="009D7906">
        <w:rPr>
          <w:rFonts w:ascii="Arial" w:eastAsia="Times New Roman" w:hAnsi="Arial" w:cs="Arial"/>
          <w:color w:val="000000" w:themeColor="text1"/>
          <w:sz w:val="24"/>
          <w:szCs w:val="24"/>
          <w:lang w:eastAsia="pt-BR"/>
        </w:rPr>
        <w:t xml:space="preserve"> do regime de metas de inflação em países emergentes: uma abordagem pós-</w:t>
      </w:r>
      <w:proofErr w:type="spellStart"/>
      <w:r w:rsidRPr="009D7906">
        <w:rPr>
          <w:rFonts w:ascii="Arial" w:eastAsia="Times New Roman" w:hAnsi="Arial" w:cs="Arial"/>
          <w:color w:val="000000" w:themeColor="text1"/>
          <w:sz w:val="24"/>
          <w:szCs w:val="24"/>
          <w:lang w:eastAsia="pt-BR"/>
        </w:rPr>
        <w:t>keynesiana</w:t>
      </w:r>
      <w:proofErr w:type="spellEnd"/>
      <w:r w:rsidRPr="009D7906">
        <w:rPr>
          <w:rFonts w:ascii="Arial" w:eastAsia="Times New Roman" w:hAnsi="Arial" w:cs="Arial"/>
          <w:color w:val="000000" w:themeColor="text1"/>
          <w:sz w:val="24"/>
          <w:szCs w:val="24"/>
          <w:lang w:eastAsia="pt-BR"/>
        </w:rPr>
        <w:t xml:space="preserve">.  </w:t>
      </w:r>
      <w:r w:rsidRPr="009D7906">
        <w:rPr>
          <w:rFonts w:ascii="Arial" w:eastAsia="Times New Roman" w:hAnsi="Arial" w:cs="Arial"/>
          <w:b/>
          <w:color w:val="000000" w:themeColor="text1"/>
          <w:sz w:val="24"/>
          <w:szCs w:val="24"/>
          <w:lang w:eastAsia="pt-BR"/>
        </w:rPr>
        <w:t>Política Monetária, Bancos Centrais e Metas de Inflação: Teoria e Experiência Brasileira.</w:t>
      </w:r>
      <w:r w:rsidRPr="009D7906">
        <w:rPr>
          <w:rFonts w:ascii="Arial" w:eastAsia="Times New Roman" w:hAnsi="Arial" w:cs="Arial"/>
          <w:color w:val="000000" w:themeColor="text1"/>
          <w:sz w:val="24"/>
          <w:szCs w:val="24"/>
          <w:lang w:eastAsia="pt-BR"/>
        </w:rPr>
        <w:t xml:space="preserve"> Rio de Janeiro, Ed. FGV, 2009. Disponível em:</w:t>
      </w:r>
      <w:r>
        <w:rPr>
          <w:rFonts w:ascii="Arial" w:eastAsia="Times New Roman" w:hAnsi="Arial" w:cs="Arial"/>
          <w:color w:val="000000" w:themeColor="text1"/>
          <w:sz w:val="24"/>
          <w:szCs w:val="24"/>
          <w:lang w:eastAsia="pt-BR"/>
        </w:rPr>
        <w:t xml:space="preserve"> </w:t>
      </w:r>
      <w:hyperlink r:id="rId38" w:history="1">
        <w:r w:rsidRPr="004B602D">
          <w:rPr>
            <w:rStyle w:val="Hyperlink"/>
            <w:rFonts w:ascii="Arial" w:eastAsia="Times New Roman" w:hAnsi="Arial" w:cs="Arial"/>
            <w:color w:val="auto"/>
            <w:sz w:val="24"/>
            <w:szCs w:val="24"/>
            <w:u w:color="FFFFFF" w:themeColor="background1"/>
            <w:lang w:eastAsia="pt-BR"/>
          </w:rPr>
          <w:t>http://www.luizfernandodepaula.com.br/ups/flexibilizacao-do-regime-de-metas-de-inflacao-em-paises-emergentes.pdf</w:t>
        </w:r>
      </w:hyperlink>
      <w:r>
        <w:rPr>
          <w:rStyle w:val="Hyperlink"/>
          <w:rFonts w:ascii="Arial" w:eastAsia="Times New Roman" w:hAnsi="Arial" w:cs="Arial"/>
          <w:sz w:val="24"/>
          <w:szCs w:val="24"/>
          <w:u w:color="FFFFFF" w:themeColor="background1"/>
          <w:lang w:eastAsia="pt-BR"/>
        </w:rPr>
        <w:t>.</w:t>
      </w:r>
      <w:r>
        <w:rPr>
          <w:rFonts w:ascii="Arial" w:eastAsia="Times New Roman" w:hAnsi="Arial" w:cs="Arial"/>
          <w:color w:val="000000" w:themeColor="text1"/>
          <w:sz w:val="24"/>
          <w:szCs w:val="24"/>
          <w:lang w:eastAsia="pt-BR"/>
        </w:rPr>
        <w:t xml:space="preserve"> Acesso em: 10 out. 2016</w:t>
      </w:r>
    </w:p>
    <w:p w:rsidR="00E86212" w:rsidRDefault="00E86212" w:rsidP="00AE29FE">
      <w:pPr>
        <w:spacing w:line="360" w:lineRule="auto"/>
        <w:jc w:val="both"/>
        <w:rPr>
          <w:rFonts w:ascii="Arial" w:hAnsi="Arial" w:cs="Arial"/>
          <w:color w:val="000000" w:themeColor="text1"/>
          <w:sz w:val="24"/>
          <w:szCs w:val="24"/>
        </w:rPr>
      </w:pPr>
    </w:p>
    <w:p w:rsidR="00926EEE" w:rsidRDefault="00926EEE">
      <w:pPr>
        <w:spacing w:line="360" w:lineRule="auto"/>
        <w:jc w:val="both"/>
        <w:rPr>
          <w:rFonts w:ascii="Arial" w:hAnsi="Arial" w:cs="Arial"/>
          <w:color w:val="000000" w:themeColor="text1"/>
          <w:sz w:val="24"/>
          <w:szCs w:val="24"/>
        </w:rPr>
      </w:pPr>
    </w:p>
    <w:sectPr w:rsidR="00926EEE" w:rsidSect="00436039">
      <w:headerReference w:type="default" r:id="rId39"/>
      <w:headerReference w:type="first" r:id="rId40"/>
      <w:pgSz w:w="11906" w:h="16838" w:code="9"/>
      <w:pgMar w:top="1701" w:right="1134" w:bottom="1134" w:left="1701" w:header="709" w:footer="709" w:gutter="0"/>
      <w:pgNumType w:start="8"/>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4DA" w:rsidRDefault="009E34DA" w:rsidP="00C33C3B">
      <w:pPr>
        <w:spacing w:after="0" w:line="240" w:lineRule="auto"/>
      </w:pPr>
      <w:r>
        <w:separator/>
      </w:r>
    </w:p>
  </w:endnote>
  <w:endnote w:type="continuationSeparator" w:id="0">
    <w:p w:rsidR="009E34DA" w:rsidRDefault="009E34DA" w:rsidP="00C33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90" w:rsidRDefault="001B5290">
    <w:pPr>
      <w:pStyle w:val="Rodap"/>
      <w:jc w:val="right"/>
    </w:pPr>
  </w:p>
  <w:p w:rsidR="001B5290" w:rsidRDefault="001B529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4DA" w:rsidRDefault="009E34DA" w:rsidP="00C33C3B">
      <w:pPr>
        <w:spacing w:after="0" w:line="240" w:lineRule="auto"/>
      </w:pPr>
      <w:r>
        <w:separator/>
      </w:r>
    </w:p>
  </w:footnote>
  <w:footnote w:type="continuationSeparator" w:id="0">
    <w:p w:rsidR="009E34DA" w:rsidRDefault="009E34DA" w:rsidP="00C33C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290" w:rsidRDefault="001B5290">
    <w:pPr>
      <w:pStyle w:val="Cabealho"/>
      <w:jc w:val="right"/>
    </w:pPr>
  </w:p>
  <w:p w:rsidR="001B5290" w:rsidRDefault="001B5290">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301809"/>
      <w:docPartObj>
        <w:docPartGallery w:val="Page Numbers (Top of Page)"/>
        <w:docPartUnique/>
      </w:docPartObj>
    </w:sdtPr>
    <w:sdtEndPr/>
    <w:sdtContent>
      <w:p w:rsidR="001B5290" w:rsidRDefault="001B5290">
        <w:pPr>
          <w:pStyle w:val="Cabealho"/>
          <w:jc w:val="right"/>
        </w:pPr>
        <w:r>
          <w:fldChar w:fldCharType="begin"/>
        </w:r>
        <w:r>
          <w:instrText>PAGE   \* MERGEFORMAT</w:instrText>
        </w:r>
        <w:r>
          <w:fldChar w:fldCharType="separate"/>
        </w:r>
        <w:r>
          <w:rPr>
            <w:noProof/>
          </w:rPr>
          <w:t>1</w:t>
        </w:r>
        <w:r>
          <w:fldChar w:fldCharType="end"/>
        </w:r>
      </w:p>
    </w:sdtContent>
  </w:sdt>
  <w:p w:rsidR="001B5290" w:rsidRDefault="001B5290">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76045"/>
      <w:docPartObj>
        <w:docPartGallery w:val="Page Numbers (Top of Page)"/>
        <w:docPartUnique/>
      </w:docPartObj>
    </w:sdtPr>
    <w:sdtEndPr/>
    <w:sdtContent>
      <w:p w:rsidR="001B5290" w:rsidRDefault="001B5290">
        <w:pPr>
          <w:pStyle w:val="Cabealho"/>
          <w:jc w:val="right"/>
        </w:pPr>
        <w:r>
          <w:fldChar w:fldCharType="begin"/>
        </w:r>
        <w:r>
          <w:instrText>PAGE   \* MERGEFORMAT</w:instrText>
        </w:r>
        <w:r>
          <w:fldChar w:fldCharType="separate"/>
        </w:r>
        <w:r w:rsidR="004002C2">
          <w:rPr>
            <w:noProof/>
          </w:rPr>
          <w:t>10</w:t>
        </w:r>
        <w:r>
          <w:fldChar w:fldCharType="end"/>
        </w:r>
      </w:p>
    </w:sdtContent>
  </w:sdt>
  <w:p w:rsidR="001B5290" w:rsidRDefault="001B5290">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870570"/>
      <w:docPartObj>
        <w:docPartGallery w:val="Page Numbers (Top of Page)"/>
        <w:docPartUnique/>
      </w:docPartObj>
    </w:sdtPr>
    <w:sdtEndPr/>
    <w:sdtContent>
      <w:p w:rsidR="001B5290" w:rsidRDefault="001B5290">
        <w:pPr>
          <w:pStyle w:val="Cabealho"/>
          <w:jc w:val="right"/>
        </w:pPr>
        <w:r>
          <w:fldChar w:fldCharType="begin"/>
        </w:r>
        <w:r>
          <w:instrText>PAGE   \* MERGEFORMAT</w:instrText>
        </w:r>
        <w:r>
          <w:fldChar w:fldCharType="separate"/>
        </w:r>
        <w:r w:rsidR="004002C2">
          <w:rPr>
            <w:noProof/>
          </w:rPr>
          <w:t>8</w:t>
        </w:r>
        <w:r>
          <w:fldChar w:fldCharType="end"/>
        </w:r>
      </w:p>
    </w:sdtContent>
  </w:sdt>
  <w:p w:rsidR="001B5290" w:rsidRDefault="001B5290">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42CBD"/>
    <w:multiLevelType w:val="multilevel"/>
    <w:tmpl w:val="D772B458"/>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pStyle w:val="Subttul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4804055"/>
    <w:multiLevelType w:val="multilevel"/>
    <w:tmpl w:val="C5061B0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439323E3"/>
    <w:multiLevelType w:val="hybridMultilevel"/>
    <w:tmpl w:val="170EF73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53314306"/>
    <w:multiLevelType w:val="hybridMultilevel"/>
    <w:tmpl w:val="9BF48B38"/>
    <w:lvl w:ilvl="0" w:tplc="FCD883B8">
      <w:start w:val="1"/>
      <w:numFmt w:val="upperRoman"/>
      <w:lvlText w:val="%1)"/>
      <w:lvlJc w:val="left"/>
      <w:pPr>
        <w:ind w:left="1623" w:hanging="915"/>
      </w:pPr>
      <w:rPr>
        <w:rFonts w:eastAsiaTheme="minorHAnsi"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542"/>
    <w:rsid w:val="0002420E"/>
    <w:rsid w:val="0002579D"/>
    <w:rsid w:val="00026D1D"/>
    <w:rsid w:val="00031773"/>
    <w:rsid w:val="00031B1F"/>
    <w:rsid w:val="00033A10"/>
    <w:rsid w:val="000420C1"/>
    <w:rsid w:val="00044D81"/>
    <w:rsid w:val="000634E2"/>
    <w:rsid w:val="000720D8"/>
    <w:rsid w:val="00097807"/>
    <w:rsid w:val="000978A1"/>
    <w:rsid w:val="000A1153"/>
    <w:rsid w:val="000A2F3B"/>
    <w:rsid w:val="000A3253"/>
    <w:rsid w:val="000B179C"/>
    <w:rsid w:val="000B4F7D"/>
    <w:rsid w:val="000B62E6"/>
    <w:rsid w:val="000C6A1B"/>
    <w:rsid w:val="000D28D3"/>
    <w:rsid w:val="000F03A6"/>
    <w:rsid w:val="000F06BC"/>
    <w:rsid w:val="00100AA9"/>
    <w:rsid w:val="00113C26"/>
    <w:rsid w:val="0011555E"/>
    <w:rsid w:val="00122982"/>
    <w:rsid w:val="00125ED1"/>
    <w:rsid w:val="0013491A"/>
    <w:rsid w:val="0014080D"/>
    <w:rsid w:val="00141D2E"/>
    <w:rsid w:val="00142C68"/>
    <w:rsid w:val="00150238"/>
    <w:rsid w:val="0015506C"/>
    <w:rsid w:val="00163AF0"/>
    <w:rsid w:val="001663AF"/>
    <w:rsid w:val="001723EF"/>
    <w:rsid w:val="00172DCF"/>
    <w:rsid w:val="00180FA4"/>
    <w:rsid w:val="00190FF2"/>
    <w:rsid w:val="001A00BE"/>
    <w:rsid w:val="001B5290"/>
    <w:rsid w:val="001B7F3A"/>
    <w:rsid w:val="001C772E"/>
    <w:rsid w:val="001D03A6"/>
    <w:rsid w:val="001D11F2"/>
    <w:rsid w:val="001E46B5"/>
    <w:rsid w:val="002009B5"/>
    <w:rsid w:val="002026DB"/>
    <w:rsid w:val="0020301B"/>
    <w:rsid w:val="00203F2B"/>
    <w:rsid w:val="0021606E"/>
    <w:rsid w:val="002277D4"/>
    <w:rsid w:val="00230218"/>
    <w:rsid w:val="002338E7"/>
    <w:rsid w:val="00234017"/>
    <w:rsid w:val="00236627"/>
    <w:rsid w:val="002373F4"/>
    <w:rsid w:val="00250D92"/>
    <w:rsid w:val="00251785"/>
    <w:rsid w:val="0025270B"/>
    <w:rsid w:val="00252B08"/>
    <w:rsid w:val="0025662C"/>
    <w:rsid w:val="00256AFB"/>
    <w:rsid w:val="00264C77"/>
    <w:rsid w:val="00266A3F"/>
    <w:rsid w:val="00275CD5"/>
    <w:rsid w:val="00286863"/>
    <w:rsid w:val="0029080C"/>
    <w:rsid w:val="0029454D"/>
    <w:rsid w:val="002972BF"/>
    <w:rsid w:val="00297D06"/>
    <w:rsid w:val="002B00C8"/>
    <w:rsid w:val="002B0138"/>
    <w:rsid w:val="002B2776"/>
    <w:rsid w:val="002C1F32"/>
    <w:rsid w:val="002C4613"/>
    <w:rsid w:val="002C46D0"/>
    <w:rsid w:val="002C543C"/>
    <w:rsid w:val="002C634B"/>
    <w:rsid w:val="002D45CD"/>
    <w:rsid w:val="002E1E41"/>
    <w:rsid w:val="002E6104"/>
    <w:rsid w:val="002E64B6"/>
    <w:rsid w:val="002F039D"/>
    <w:rsid w:val="002F694F"/>
    <w:rsid w:val="0030279C"/>
    <w:rsid w:val="0030610C"/>
    <w:rsid w:val="00311822"/>
    <w:rsid w:val="003216DB"/>
    <w:rsid w:val="003233BE"/>
    <w:rsid w:val="00323BAE"/>
    <w:rsid w:val="00333384"/>
    <w:rsid w:val="00346046"/>
    <w:rsid w:val="00352BC0"/>
    <w:rsid w:val="00356913"/>
    <w:rsid w:val="00365BCB"/>
    <w:rsid w:val="00366E61"/>
    <w:rsid w:val="00375068"/>
    <w:rsid w:val="00377C53"/>
    <w:rsid w:val="00380F5D"/>
    <w:rsid w:val="003825B6"/>
    <w:rsid w:val="00383674"/>
    <w:rsid w:val="00391C5E"/>
    <w:rsid w:val="00395308"/>
    <w:rsid w:val="003A12DE"/>
    <w:rsid w:val="003A1AA8"/>
    <w:rsid w:val="003A4E8C"/>
    <w:rsid w:val="003B1D55"/>
    <w:rsid w:val="003B78C3"/>
    <w:rsid w:val="003C210A"/>
    <w:rsid w:val="003D1297"/>
    <w:rsid w:val="003D1456"/>
    <w:rsid w:val="003E5EC0"/>
    <w:rsid w:val="003E64EA"/>
    <w:rsid w:val="003F2797"/>
    <w:rsid w:val="004002C2"/>
    <w:rsid w:val="00417449"/>
    <w:rsid w:val="004223EB"/>
    <w:rsid w:val="00422582"/>
    <w:rsid w:val="0042426E"/>
    <w:rsid w:val="00424A62"/>
    <w:rsid w:val="00436039"/>
    <w:rsid w:val="0044020B"/>
    <w:rsid w:val="0045570F"/>
    <w:rsid w:val="00455FF9"/>
    <w:rsid w:val="00456371"/>
    <w:rsid w:val="00457E10"/>
    <w:rsid w:val="004605B0"/>
    <w:rsid w:val="00461E5F"/>
    <w:rsid w:val="00465026"/>
    <w:rsid w:val="00494D02"/>
    <w:rsid w:val="004A1F4A"/>
    <w:rsid w:val="004A4EE0"/>
    <w:rsid w:val="004B381E"/>
    <w:rsid w:val="004B602D"/>
    <w:rsid w:val="004C09FF"/>
    <w:rsid w:val="004E442A"/>
    <w:rsid w:val="00500B69"/>
    <w:rsid w:val="005312BD"/>
    <w:rsid w:val="00540B7F"/>
    <w:rsid w:val="00540C6D"/>
    <w:rsid w:val="00541E0C"/>
    <w:rsid w:val="005421E0"/>
    <w:rsid w:val="00543EA5"/>
    <w:rsid w:val="00546AE6"/>
    <w:rsid w:val="005712B0"/>
    <w:rsid w:val="00580A57"/>
    <w:rsid w:val="005923DD"/>
    <w:rsid w:val="005979D9"/>
    <w:rsid w:val="005A176E"/>
    <w:rsid w:val="005B033C"/>
    <w:rsid w:val="005B3595"/>
    <w:rsid w:val="005C20A9"/>
    <w:rsid w:val="005C4FC2"/>
    <w:rsid w:val="005D2DD1"/>
    <w:rsid w:val="005E6F74"/>
    <w:rsid w:val="005F0C60"/>
    <w:rsid w:val="005F109E"/>
    <w:rsid w:val="006010CB"/>
    <w:rsid w:val="006034C5"/>
    <w:rsid w:val="00607C10"/>
    <w:rsid w:val="00611813"/>
    <w:rsid w:val="00624D04"/>
    <w:rsid w:val="00631DBF"/>
    <w:rsid w:val="00632CB1"/>
    <w:rsid w:val="00637F8F"/>
    <w:rsid w:val="00640B96"/>
    <w:rsid w:val="00640ED3"/>
    <w:rsid w:val="006451CD"/>
    <w:rsid w:val="006464D9"/>
    <w:rsid w:val="00656B90"/>
    <w:rsid w:val="006612E6"/>
    <w:rsid w:val="006762A5"/>
    <w:rsid w:val="00695090"/>
    <w:rsid w:val="006960A2"/>
    <w:rsid w:val="00697B48"/>
    <w:rsid w:val="006A27D7"/>
    <w:rsid w:val="006B163C"/>
    <w:rsid w:val="006C0619"/>
    <w:rsid w:val="006C13FC"/>
    <w:rsid w:val="006C22D2"/>
    <w:rsid w:val="006C3B59"/>
    <w:rsid w:val="006C43A4"/>
    <w:rsid w:val="006C4A43"/>
    <w:rsid w:val="006C77A0"/>
    <w:rsid w:val="006C7BAD"/>
    <w:rsid w:val="006D1F20"/>
    <w:rsid w:val="006D5ADE"/>
    <w:rsid w:val="006D7F83"/>
    <w:rsid w:val="006F28D8"/>
    <w:rsid w:val="006F3DEE"/>
    <w:rsid w:val="0070594F"/>
    <w:rsid w:val="0071127A"/>
    <w:rsid w:val="00717D45"/>
    <w:rsid w:val="007228D9"/>
    <w:rsid w:val="00724B42"/>
    <w:rsid w:val="0073133B"/>
    <w:rsid w:val="007314E5"/>
    <w:rsid w:val="00732D3F"/>
    <w:rsid w:val="00733339"/>
    <w:rsid w:val="00734B6C"/>
    <w:rsid w:val="007354CA"/>
    <w:rsid w:val="007360B1"/>
    <w:rsid w:val="00736BC4"/>
    <w:rsid w:val="00744304"/>
    <w:rsid w:val="0074647E"/>
    <w:rsid w:val="007613DF"/>
    <w:rsid w:val="007642D5"/>
    <w:rsid w:val="007750B7"/>
    <w:rsid w:val="007806BF"/>
    <w:rsid w:val="00782679"/>
    <w:rsid w:val="007871EF"/>
    <w:rsid w:val="00787AFB"/>
    <w:rsid w:val="007945F7"/>
    <w:rsid w:val="007A1A8D"/>
    <w:rsid w:val="007A487C"/>
    <w:rsid w:val="007B162C"/>
    <w:rsid w:val="007B3CC2"/>
    <w:rsid w:val="007B3E3B"/>
    <w:rsid w:val="007D40FA"/>
    <w:rsid w:val="007D427F"/>
    <w:rsid w:val="007D6828"/>
    <w:rsid w:val="007E0DE2"/>
    <w:rsid w:val="007E4231"/>
    <w:rsid w:val="007E5560"/>
    <w:rsid w:val="007E7066"/>
    <w:rsid w:val="00804584"/>
    <w:rsid w:val="008115FA"/>
    <w:rsid w:val="00821A1B"/>
    <w:rsid w:val="008230DA"/>
    <w:rsid w:val="008346FB"/>
    <w:rsid w:val="00835CFD"/>
    <w:rsid w:val="0088022F"/>
    <w:rsid w:val="00885B1A"/>
    <w:rsid w:val="00886C21"/>
    <w:rsid w:val="00891C0B"/>
    <w:rsid w:val="00893FE5"/>
    <w:rsid w:val="00897A63"/>
    <w:rsid w:val="008A5CB9"/>
    <w:rsid w:val="008A6357"/>
    <w:rsid w:val="008B04BB"/>
    <w:rsid w:val="008B19B7"/>
    <w:rsid w:val="008B1C89"/>
    <w:rsid w:val="008C0C94"/>
    <w:rsid w:val="008C55B0"/>
    <w:rsid w:val="008D7129"/>
    <w:rsid w:val="008F4544"/>
    <w:rsid w:val="008F6BA3"/>
    <w:rsid w:val="00902371"/>
    <w:rsid w:val="00917859"/>
    <w:rsid w:val="00921DA0"/>
    <w:rsid w:val="00922109"/>
    <w:rsid w:val="009229DE"/>
    <w:rsid w:val="00926EEE"/>
    <w:rsid w:val="009369E6"/>
    <w:rsid w:val="00951B5C"/>
    <w:rsid w:val="009531B8"/>
    <w:rsid w:val="00971D47"/>
    <w:rsid w:val="00975AF0"/>
    <w:rsid w:val="00977717"/>
    <w:rsid w:val="00981E92"/>
    <w:rsid w:val="00983556"/>
    <w:rsid w:val="00984781"/>
    <w:rsid w:val="00996367"/>
    <w:rsid w:val="00997921"/>
    <w:rsid w:val="009A0CFF"/>
    <w:rsid w:val="009A1236"/>
    <w:rsid w:val="009A32E7"/>
    <w:rsid w:val="009C03CD"/>
    <w:rsid w:val="009C0A49"/>
    <w:rsid w:val="009C2336"/>
    <w:rsid w:val="009C37CF"/>
    <w:rsid w:val="009C7A4E"/>
    <w:rsid w:val="009D1CCA"/>
    <w:rsid w:val="009E34DA"/>
    <w:rsid w:val="009E70B0"/>
    <w:rsid w:val="009E7F60"/>
    <w:rsid w:val="009F3126"/>
    <w:rsid w:val="009F5E14"/>
    <w:rsid w:val="009F6761"/>
    <w:rsid w:val="009F7FC8"/>
    <w:rsid w:val="00A06F93"/>
    <w:rsid w:val="00A13454"/>
    <w:rsid w:val="00A15D67"/>
    <w:rsid w:val="00A318D5"/>
    <w:rsid w:val="00A31F4F"/>
    <w:rsid w:val="00A31F62"/>
    <w:rsid w:val="00A37C33"/>
    <w:rsid w:val="00A432A5"/>
    <w:rsid w:val="00A6477C"/>
    <w:rsid w:val="00A667B7"/>
    <w:rsid w:val="00A82A45"/>
    <w:rsid w:val="00AA0F16"/>
    <w:rsid w:val="00AB2486"/>
    <w:rsid w:val="00AB3A5C"/>
    <w:rsid w:val="00AB7750"/>
    <w:rsid w:val="00AB78DF"/>
    <w:rsid w:val="00AC0D52"/>
    <w:rsid w:val="00AC7282"/>
    <w:rsid w:val="00AE29FE"/>
    <w:rsid w:val="00B05D81"/>
    <w:rsid w:val="00B0691F"/>
    <w:rsid w:val="00B07606"/>
    <w:rsid w:val="00B07724"/>
    <w:rsid w:val="00B108B4"/>
    <w:rsid w:val="00B14296"/>
    <w:rsid w:val="00B142BF"/>
    <w:rsid w:val="00B14542"/>
    <w:rsid w:val="00B1636E"/>
    <w:rsid w:val="00B21CC5"/>
    <w:rsid w:val="00B32688"/>
    <w:rsid w:val="00B32766"/>
    <w:rsid w:val="00B33923"/>
    <w:rsid w:val="00B36909"/>
    <w:rsid w:val="00B43CF6"/>
    <w:rsid w:val="00B50E11"/>
    <w:rsid w:val="00B644D5"/>
    <w:rsid w:val="00B7435E"/>
    <w:rsid w:val="00B74550"/>
    <w:rsid w:val="00B7579B"/>
    <w:rsid w:val="00B77B33"/>
    <w:rsid w:val="00B869D9"/>
    <w:rsid w:val="00B87DF2"/>
    <w:rsid w:val="00BA5491"/>
    <w:rsid w:val="00BA6DA1"/>
    <w:rsid w:val="00BC5E27"/>
    <w:rsid w:val="00BE36A6"/>
    <w:rsid w:val="00BF1570"/>
    <w:rsid w:val="00BF436E"/>
    <w:rsid w:val="00BF53D3"/>
    <w:rsid w:val="00C02547"/>
    <w:rsid w:val="00C04C84"/>
    <w:rsid w:val="00C16747"/>
    <w:rsid w:val="00C236A1"/>
    <w:rsid w:val="00C324EA"/>
    <w:rsid w:val="00C32BF1"/>
    <w:rsid w:val="00C32D83"/>
    <w:rsid w:val="00C33C3B"/>
    <w:rsid w:val="00C41845"/>
    <w:rsid w:val="00C432B1"/>
    <w:rsid w:val="00C439ED"/>
    <w:rsid w:val="00C45E45"/>
    <w:rsid w:val="00C51027"/>
    <w:rsid w:val="00C51D98"/>
    <w:rsid w:val="00C61E53"/>
    <w:rsid w:val="00C6338A"/>
    <w:rsid w:val="00C71F4D"/>
    <w:rsid w:val="00C87774"/>
    <w:rsid w:val="00C9046A"/>
    <w:rsid w:val="00C920C3"/>
    <w:rsid w:val="00C93C6B"/>
    <w:rsid w:val="00C94BDD"/>
    <w:rsid w:val="00CA0837"/>
    <w:rsid w:val="00CA20F2"/>
    <w:rsid w:val="00CC3BEB"/>
    <w:rsid w:val="00CC4DFA"/>
    <w:rsid w:val="00CD474B"/>
    <w:rsid w:val="00CF6914"/>
    <w:rsid w:val="00CF750F"/>
    <w:rsid w:val="00D01149"/>
    <w:rsid w:val="00D076E1"/>
    <w:rsid w:val="00D145AF"/>
    <w:rsid w:val="00D20194"/>
    <w:rsid w:val="00D20546"/>
    <w:rsid w:val="00D270E1"/>
    <w:rsid w:val="00D44DC0"/>
    <w:rsid w:val="00D46805"/>
    <w:rsid w:val="00D513DB"/>
    <w:rsid w:val="00D51D23"/>
    <w:rsid w:val="00D562D3"/>
    <w:rsid w:val="00D6303D"/>
    <w:rsid w:val="00D64441"/>
    <w:rsid w:val="00D6578E"/>
    <w:rsid w:val="00D748B7"/>
    <w:rsid w:val="00D77B8B"/>
    <w:rsid w:val="00D83884"/>
    <w:rsid w:val="00D84CB2"/>
    <w:rsid w:val="00D86A96"/>
    <w:rsid w:val="00D91B7A"/>
    <w:rsid w:val="00D9277A"/>
    <w:rsid w:val="00D935F9"/>
    <w:rsid w:val="00D96425"/>
    <w:rsid w:val="00DA32D0"/>
    <w:rsid w:val="00DB2AA6"/>
    <w:rsid w:val="00DC1104"/>
    <w:rsid w:val="00DC537A"/>
    <w:rsid w:val="00DD073F"/>
    <w:rsid w:val="00DD090E"/>
    <w:rsid w:val="00DD3BFE"/>
    <w:rsid w:val="00DE05ED"/>
    <w:rsid w:val="00DF5CA0"/>
    <w:rsid w:val="00E12375"/>
    <w:rsid w:val="00E13B2B"/>
    <w:rsid w:val="00E141D2"/>
    <w:rsid w:val="00E2235D"/>
    <w:rsid w:val="00E22AB7"/>
    <w:rsid w:val="00E43794"/>
    <w:rsid w:val="00E625DA"/>
    <w:rsid w:val="00E70AF7"/>
    <w:rsid w:val="00E70DA4"/>
    <w:rsid w:val="00E71DA6"/>
    <w:rsid w:val="00E80742"/>
    <w:rsid w:val="00E86212"/>
    <w:rsid w:val="00E87EF9"/>
    <w:rsid w:val="00EB486A"/>
    <w:rsid w:val="00EB5525"/>
    <w:rsid w:val="00ED161D"/>
    <w:rsid w:val="00ED4D30"/>
    <w:rsid w:val="00ED56B1"/>
    <w:rsid w:val="00EE02E4"/>
    <w:rsid w:val="00EE20BC"/>
    <w:rsid w:val="00EE36D2"/>
    <w:rsid w:val="00EF5166"/>
    <w:rsid w:val="00EF6166"/>
    <w:rsid w:val="00EF6C85"/>
    <w:rsid w:val="00F02357"/>
    <w:rsid w:val="00F03D2A"/>
    <w:rsid w:val="00F1259F"/>
    <w:rsid w:val="00F16762"/>
    <w:rsid w:val="00F16D13"/>
    <w:rsid w:val="00F17998"/>
    <w:rsid w:val="00F2080C"/>
    <w:rsid w:val="00F32169"/>
    <w:rsid w:val="00F32793"/>
    <w:rsid w:val="00F32E27"/>
    <w:rsid w:val="00F32F3C"/>
    <w:rsid w:val="00F5525B"/>
    <w:rsid w:val="00F5537F"/>
    <w:rsid w:val="00F571F8"/>
    <w:rsid w:val="00F57C6C"/>
    <w:rsid w:val="00F60C79"/>
    <w:rsid w:val="00F64443"/>
    <w:rsid w:val="00F752CE"/>
    <w:rsid w:val="00F82D7B"/>
    <w:rsid w:val="00F94F7F"/>
    <w:rsid w:val="00F955D6"/>
    <w:rsid w:val="00FC4065"/>
    <w:rsid w:val="00FC78B0"/>
    <w:rsid w:val="00FD1B7B"/>
    <w:rsid w:val="00FD1FBC"/>
    <w:rsid w:val="00FD2ED4"/>
    <w:rsid w:val="00FD70BF"/>
    <w:rsid w:val="00FE03B8"/>
    <w:rsid w:val="00FE5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Times New Roman" w:cs="Times New Roman"/>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autoRedefine/>
    <w:uiPriority w:val="9"/>
    <w:qFormat/>
    <w:rsid w:val="0073133B"/>
    <w:pPr>
      <w:keepNext/>
      <w:keepLines/>
      <w:numPr>
        <w:numId w:val="2"/>
      </w:numPr>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5B3595"/>
    <w:pPr>
      <w:keepNext/>
      <w:keepLines/>
      <w:numPr>
        <w:ilvl w:val="1"/>
        <w:numId w:val="2"/>
      </w:numPr>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har"/>
    <w:uiPriority w:val="9"/>
    <w:unhideWhenUsed/>
    <w:qFormat/>
    <w:rsid w:val="005B3595"/>
    <w:pPr>
      <w:keepNext/>
      <w:keepLines/>
      <w:numPr>
        <w:ilvl w:val="2"/>
        <w:numId w:val="2"/>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har"/>
    <w:uiPriority w:val="9"/>
    <w:semiHidden/>
    <w:unhideWhenUsed/>
    <w:qFormat/>
    <w:rsid w:val="00BA6DA1"/>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A6DA1"/>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6F3DEE"/>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6F3DEE"/>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F3DE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F3DE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11822"/>
    <w:pPr>
      <w:ind w:left="720"/>
      <w:contextualSpacing/>
    </w:pPr>
    <w:rPr>
      <w:rFonts w:asciiTheme="minorHAnsi" w:eastAsiaTheme="minorHAnsi" w:hAnsiTheme="minorHAnsi" w:cstheme="minorBidi"/>
    </w:rPr>
  </w:style>
  <w:style w:type="character" w:customStyle="1" w:styleId="apple-converted-space">
    <w:name w:val="apple-converted-space"/>
    <w:basedOn w:val="Fontepargpadro"/>
    <w:rsid w:val="0029454D"/>
  </w:style>
  <w:style w:type="character" w:styleId="Hyperlink">
    <w:name w:val="Hyperlink"/>
    <w:basedOn w:val="Fontepargpadro"/>
    <w:uiPriority w:val="99"/>
    <w:unhideWhenUsed/>
    <w:rsid w:val="0029454D"/>
    <w:rPr>
      <w:color w:val="0000FF" w:themeColor="hyperlink"/>
      <w:u w:val="single"/>
    </w:rPr>
  </w:style>
  <w:style w:type="paragraph" w:styleId="Textodebalo">
    <w:name w:val="Balloon Text"/>
    <w:basedOn w:val="Normal"/>
    <w:link w:val="TextodebaloChar"/>
    <w:uiPriority w:val="99"/>
    <w:semiHidden/>
    <w:unhideWhenUsed/>
    <w:rsid w:val="00AE29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29FE"/>
    <w:rPr>
      <w:rFonts w:ascii="Tahoma" w:hAnsi="Tahoma" w:cs="Tahoma"/>
      <w:sz w:val="16"/>
      <w:szCs w:val="16"/>
    </w:rPr>
  </w:style>
  <w:style w:type="table" w:styleId="Tabelacomgrade">
    <w:name w:val="Table Grid"/>
    <w:basedOn w:val="Tabelanormal"/>
    <w:uiPriority w:val="59"/>
    <w:rsid w:val="00697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C33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33C3B"/>
  </w:style>
  <w:style w:type="paragraph" w:styleId="Rodap">
    <w:name w:val="footer"/>
    <w:basedOn w:val="Normal"/>
    <w:link w:val="RodapChar"/>
    <w:uiPriority w:val="99"/>
    <w:unhideWhenUsed/>
    <w:rsid w:val="00C33C3B"/>
    <w:pPr>
      <w:tabs>
        <w:tab w:val="center" w:pos="4252"/>
        <w:tab w:val="right" w:pos="8504"/>
      </w:tabs>
      <w:spacing w:after="0" w:line="240" w:lineRule="auto"/>
    </w:pPr>
  </w:style>
  <w:style w:type="character" w:customStyle="1" w:styleId="RodapChar">
    <w:name w:val="Rodapé Char"/>
    <w:basedOn w:val="Fontepargpadro"/>
    <w:link w:val="Rodap"/>
    <w:uiPriority w:val="99"/>
    <w:rsid w:val="00C33C3B"/>
  </w:style>
  <w:style w:type="character" w:customStyle="1" w:styleId="Ttulo1Char">
    <w:name w:val="Título 1 Char"/>
    <w:basedOn w:val="Fontepargpadro"/>
    <w:link w:val="Ttulo1"/>
    <w:uiPriority w:val="9"/>
    <w:rsid w:val="0073133B"/>
    <w:rPr>
      <w:rFonts w:ascii="Arial" w:eastAsiaTheme="majorEastAsia" w:hAnsi="Arial" w:cstheme="majorBidi"/>
      <w:b/>
      <w:sz w:val="24"/>
      <w:szCs w:val="32"/>
    </w:rPr>
  </w:style>
  <w:style w:type="paragraph" w:styleId="Subttulo">
    <w:name w:val="Subtitle"/>
    <w:basedOn w:val="Normal"/>
    <w:next w:val="Normal"/>
    <w:link w:val="SubttuloChar"/>
    <w:autoRedefine/>
    <w:uiPriority w:val="11"/>
    <w:qFormat/>
    <w:rsid w:val="00250D92"/>
    <w:pPr>
      <w:numPr>
        <w:ilvl w:val="2"/>
        <w:numId w:val="1"/>
      </w:numPr>
      <w:spacing w:after="160"/>
    </w:pPr>
    <w:rPr>
      <w:rFonts w:ascii="Arial" w:eastAsiaTheme="minorEastAsia" w:hAnsi="Arial" w:cstheme="minorBidi"/>
      <w:b/>
      <w:spacing w:val="15"/>
      <w:sz w:val="24"/>
      <w:shd w:val="clear" w:color="auto" w:fill="FFFFFF"/>
    </w:rPr>
  </w:style>
  <w:style w:type="character" w:customStyle="1" w:styleId="SubttuloChar">
    <w:name w:val="Subtítulo Char"/>
    <w:basedOn w:val="Fontepargpadro"/>
    <w:link w:val="Subttulo"/>
    <w:uiPriority w:val="11"/>
    <w:rsid w:val="00250D92"/>
    <w:rPr>
      <w:rFonts w:ascii="Arial" w:eastAsiaTheme="minorEastAsia" w:hAnsi="Arial" w:cstheme="minorBidi"/>
      <w:b/>
      <w:spacing w:val="15"/>
      <w:sz w:val="24"/>
    </w:rPr>
  </w:style>
  <w:style w:type="paragraph" w:styleId="CabealhodoSumrio">
    <w:name w:val="TOC Heading"/>
    <w:basedOn w:val="Ttulo1"/>
    <w:next w:val="Normal"/>
    <w:uiPriority w:val="39"/>
    <w:unhideWhenUsed/>
    <w:qFormat/>
    <w:rsid w:val="00787AFB"/>
    <w:pPr>
      <w:spacing w:line="259" w:lineRule="auto"/>
      <w:outlineLvl w:val="9"/>
    </w:pPr>
    <w:rPr>
      <w:rFonts w:asciiTheme="majorHAnsi" w:hAnsiTheme="majorHAnsi"/>
      <w:b w:val="0"/>
      <w:color w:val="365F91" w:themeColor="accent1" w:themeShade="BF"/>
      <w:sz w:val="32"/>
      <w:lang w:eastAsia="pt-BR"/>
    </w:rPr>
  </w:style>
  <w:style w:type="paragraph" w:styleId="Sumrio1">
    <w:name w:val="toc 1"/>
    <w:basedOn w:val="Normal"/>
    <w:next w:val="Normal"/>
    <w:autoRedefine/>
    <w:uiPriority w:val="39"/>
    <w:unhideWhenUsed/>
    <w:rsid w:val="00250D92"/>
    <w:pPr>
      <w:spacing w:before="360" w:after="0"/>
    </w:pPr>
    <w:rPr>
      <w:rFonts w:asciiTheme="majorHAnsi" w:hAnsiTheme="majorHAnsi"/>
      <w:b/>
      <w:bCs/>
      <w:caps/>
      <w:sz w:val="24"/>
      <w:szCs w:val="24"/>
    </w:rPr>
  </w:style>
  <w:style w:type="paragraph" w:styleId="Sumrio2">
    <w:name w:val="toc 2"/>
    <w:basedOn w:val="Normal"/>
    <w:next w:val="Normal"/>
    <w:autoRedefine/>
    <w:uiPriority w:val="39"/>
    <w:unhideWhenUsed/>
    <w:rsid w:val="00BA6DA1"/>
    <w:pPr>
      <w:spacing w:before="240" w:after="0"/>
    </w:pPr>
    <w:rPr>
      <w:rFonts w:asciiTheme="minorHAnsi" w:hAnsiTheme="minorHAnsi"/>
      <w:b/>
      <w:bCs/>
      <w:sz w:val="20"/>
      <w:szCs w:val="20"/>
    </w:rPr>
  </w:style>
  <w:style w:type="paragraph" w:styleId="Sumrio3">
    <w:name w:val="toc 3"/>
    <w:basedOn w:val="Normal"/>
    <w:next w:val="Normal"/>
    <w:autoRedefine/>
    <w:uiPriority w:val="39"/>
    <w:unhideWhenUsed/>
    <w:rsid w:val="00BA6DA1"/>
    <w:pPr>
      <w:spacing w:after="0"/>
      <w:ind w:left="220"/>
    </w:pPr>
    <w:rPr>
      <w:rFonts w:asciiTheme="minorHAnsi" w:hAnsiTheme="minorHAnsi"/>
      <w:sz w:val="20"/>
      <w:szCs w:val="20"/>
    </w:rPr>
  </w:style>
  <w:style w:type="character" w:customStyle="1" w:styleId="Ttulo4Char">
    <w:name w:val="Título 4 Char"/>
    <w:basedOn w:val="Fontepargpadro"/>
    <w:link w:val="Ttulo4"/>
    <w:uiPriority w:val="9"/>
    <w:semiHidden/>
    <w:rsid w:val="00BA6DA1"/>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BA6DA1"/>
    <w:rPr>
      <w:rFonts w:asciiTheme="majorHAnsi" w:eastAsiaTheme="majorEastAsia" w:hAnsiTheme="majorHAnsi" w:cstheme="majorBidi"/>
      <w:color w:val="365F91" w:themeColor="accent1" w:themeShade="BF"/>
    </w:rPr>
  </w:style>
  <w:style w:type="paragraph" w:styleId="Sumrio4">
    <w:name w:val="toc 4"/>
    <w:basedOn w:val="Normal"/>
    <w:next w:val="Normal"/>
    <w:autoRedefine/>
    <w:uiPriority w:val="39"/>
    <w:unhideWhenUsed/>
    <w:rsid w:val="00BA6DA1"/>
    <w:pPr>
      <w:spacing w:after="0"/>
      <w:ind w:left="440"/>
    </w:pPr>
    <w:rPr>
      <w:rFonts w:asciiTheme="minorHAnsi" w:hAnsiTheme="minorHAnsi"/>
      <w:sz w:val="20"/>
      <w:szCs w:val="20"/>
    </w:rPr>
  </w:style>
  <w:style w:type="paragraph" w:styleId="Sumrio5">
    <w:name w:val="toc 5"/>
    <w:basedOn w:val="Normal"/>
    <w:next w:val="Normal"/>
    <w:autoRedefine/>
    <w:uiPriority w:val="39"/>
    <w:unhideWhenUsed/>
    <w:rsid w:val="00BA6DA1"/>
    <w:pPr>
      <w:spacing w:after="0"/>
      <w:ind w:left="660"/>
    </w:pPr>
    <w:rPr>
      <w:rFonts w:asciiTheme="minorHAnsi" w:hAnsiTheme="minorHAnsi"/>
      <w:sz w:val="20"/>
      <w:szCs w:val="20"/>
    </w:rPr>
  </w:style>
  <w:style w:type="paragraph" w:styleId="Sumrio6">
    <w:name w:val="toc 6"/>
    <w:basedOn w:val="Normal"/>
    <w:next w:val="Normal"/>
    <w:autoRedefine/>
    <w:uiPriority w:val="39"/>
    <w:unhideWhenUsed/>
    <w:rsid w:val="00BA6DA1"/>
    <w:pPr>
      <w:spacing w:after="0"/>
      <w:ind w:left="880"/>
    </w:pPr>
    <w:rPr>
      <w:rFonts w:asciiTheme="minorHAnsi" w:hAnsiTheme="minorHAnsi"/>
      <w:sz w:val="20"/>
      <w:szCs w:val="20"/>
    </w:rPr>
  </w:style>
  <w:style w:type="paragraph" w:styleId="Sumrio7">
    <w:name w:val="toc 7"/>
    <w:basedOn w:val="Normal"/>
    <w:next w:val="Normal"/>
    <w:autoRedefine/>
    <w:uiPriority w:val="39"/>
    <w:unhideWhenUsed/>
    <w:rsid w:val="00BA6DA1"/>
    <w:pPr>
      <w:spacing w:after="0"/>
      <w:ind w:left="1100"/>
    </w:pPr>
    <w:rPr>
      <w:rFonts w:asciiTheme="minorHAnsi" w:hAnsiTheme="minorHAnsi"/>
      <w:sz w:val="20"/>
      <w:szCs w:val="20"/>
    </w:rPr>
  </w:style>
  <w:style w:type="paragraph" w:styleId="Sumrio8">
    <w:name w:val="toc 8"/>
    <w:basedOn w:val="Normal"/>
    <w:next w:val="Normal"/>
    <w:autoRedefine/>
    <w:uiPriority w:val="39"/>
    <w:unhideWhenUsed/>
    <w:rsid w:val="00BA6DA1"/>
    <w:pPr>
      <w:spacing w:after="0"/>
      <w:ind w:left="1320"/>
    </w:pPr>
    <w:rPr>
      <w:rFonts w:asciiTheme="minorHAnsi" w:hAnsiTheme="minorHAnsi"/>
      <w:sz w:val="20"/>
      <w:szCs w:val="20"/>
    </w:rPr>
  </w:style>
  <w:style w:type="paragraph" w:styleId="Sumrio9">
    <w:name w:val="toc 9"/>
    <w:basedOn w:val="Normal"/>
    <w:next w:val="Normal"/>
    <w:autoRedefine/>
    <w:uiPriority w:val="39"/>
    <w:unhideWhenUsed/>
    <w:rsid w:val="00BA6DA1"/>
    <w:pPr>
      <w:spacing w:after="0"/>
      <w:ind w:left="1540"/>
    </w:pPr>
    <w:rPr>
      <w:rFonts w:asciiTheme="minorHAnsi" w:hAnsiTheme="minorHAnsi"/>
      <w:sz w:val="20"/>
      <w:szCs w:val="20"/>
    </w:rPr>
  </w:style>
  <w:style w:type="character" w:customStyle="1" w:styleId="Ttulo2Char">
    <w:name w:val="Título 2 Char"/>
    <w:basedOn w:val="Fontepargpadro"/>
    <w:link w:val="Ttulo2"/>
    <w:uiPriority w:val="9"/>
    <w:rsid w:val="005B3595"/>
    <w:rPr>
      <w:rFonts w:ascii="Arial" w:eastAsiaTheme="majorEastAsia" w:hAnsi="Arial" w:cstheme="majorBidi"/>
      <w:b/>
      <w:sz w:val="24"/>
      <w:szCs w:val="26"/>
    </w:rPr>
  </w:style>
  <w:style w:type="character" w:customStyle="1" w:styleId="Ttulo3Char">
    <w:name w:val="Título 3 Char"/>
    <w:basedOn w:val="Fontepargpadro"/>
    <w:link w:val="Ttulo3"/>
    <w:uiPriority w:val="9"/>
    <w:rsid w:val="005B3595"/>
    <w:rPr>
      <w:rFonts w:ascii="Arial" w:eastAsiaTheme="majorEastAsia" w:hAnsi="Arial" w:cstheme="majorBidi"/>
      <w:b/>
      <w:sz w:val="24"/>
      <w:szCs w:val="24"/>
    </w:rPr>
  </w:style>
  <w:style w:type="character" w:customStyle="1" w:styleId="Ttulo6Char">
    <w:name w:val="Título 6 Char"/>
    <w:basedOn w:val="Fontepargpadro"/>
    <w:link w:val="Ttulo6"/>
    <w:uiPriority w:val="9"/>
    <w:semiHidden/>
    <w:rsid w:val="006F3DEE"/>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6F3DEE"/>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6F3DEE"/>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F3DEE"/>
    <w:rPr>
      <w:rFonts w:asciiTheme="majorHAnsi" w:eastAsiaTheme="majorEastAsia" w:hAnsiTheme="majorHAnsi" w:cstheme="majorBidi"/>
      <w:i/>
      <w:iCs/>
      <w:color w:val="272727" w:themeColor="text1" w:themeTint="D8"/>
      <w:sz w:val="21"/>
      <w:szCs w:val="21"/>
    </w:rPr>
  </w:style>
  <w:style w:type="character" w:styleId="TextodoEspaoReservado">
    <w:name w:val="Placeholder Text"/>
    <w:basedOn w:val="Fontepargpadro"/>
    <w:uiPriority w:val="99"/>
    <w:semiHidden/>
    <w:rsid w:val="00975AF0"/>
    <w:rPr>
      <w:color w:val="808080"/>
    </w:rPr>
  </w:style>
  <w:style w:type="paragraph" w:styleId="Legenda">
    <w:name w:val="caption"/>
    <w:basedOn w:val="Normal"/>
    <w:next w:val="Normal"/>
    <w:uiPriority w:val="35"/>
    <w:unhideWhenUsed/>
    <w:qFormat/>
    <w:rsid w:val="007A487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Times New Roman" w:cs="Times New Roman"/>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autoRedefine/>
    <w:uiPriority w:val="9"/>
    <w:qFormat/>
    <w:rsid w:val="0073133B"/>
    <w:pPr>
      <w:keepNext/>
      <w:keepLines/>
      <w:numPr>
        <w:numId w:val="2"/>
      </w:numPr>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5B3595"/>
    <w:pPr>
      <w:keepNext/>
      <w:keepLines/>
      <w:numPr>
        <w:ilvl w:val="1"/>
        <w:numId w:val="2"/>
      </w:numPr>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har"/>
    <w:uiPriority w:val="9"/>
    <w:unhideWhenUsed/>
    <w:qFormat/>
    <w:rsid w:val="005B3595"/>
    <w:pPr>
      <w:keepNext/>
      <w:keepLines/>
      <w:numPr>
        <w:ilvl w:val="2"/>
        <w:numId w:val="2"/>
      </w:numPr>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har"/>
    <w:uiPriority w:val="9"/>
    <w:semiHidden/>
    <w:unhideWhenUsed/>
    <w:qFormat/>
    <w:rsid w:val="00BA6DA1"/>
    <w:pPr>
      <w:keepNext/>
      <w:keepLines/>
      <w:numPr>
        <w:ilvl w:val="3"/>
        <w:numId w:val="2"/>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A6DA1"/>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6F3DEE"/>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6F3DEE"/>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F3DE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F3DE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11822"/>
    <w:pPr>
      <w:ind w:left="720"/>
      <w:contextualSpacing/>
    </w:pPr>
    <w:rPr>
      <w:rFonts w:asciiTheme="minorHAnsi" w:eastAsiaTheme="minorHAnsi" w:hAnsiTheme="minorHAnsi" w:cstheme="minorBidi"/>
    </w:rPr>
  </w:style>
  <w:style w:type="character" w:customStyle="1" w:styleId="apple-converted-space">
    <w:name w:val="apple-converted-space"/>
    <w:basedOn w:val="Fontepargpadro"/>
    <w:rsid w:val="0029454D"/>
  </w:style>
  <w:style w:type="character" w:styleId="Hyperlink">
    <w:name w:val="Hyperlink"/>
    <w:basedOn w:val="Fontepargpadro"/>
    <w:uiPriority w:val="99"/>
    <w:unhideWhenUsed/>
    <w:rsid w:val="0029454D"/>
    <w:rPr>
      <w:color w:val="0000FF" w:themeColor="hyperlink"/>
      <w:u w:val="single"/>
    </w:rPr>
  </w:style>
  <w:style w:type="paragraph" w:styleId="Textodebalo">
    <w:name w:val="Balloon Text"/>
    <w:basedOn w:val="Normal"/>
    <w:link w:val="TextodebaloChar"/>
    <w:uiPriority w:val="99"/>
    <w:semiHidden/>
    <w:unhideWhenUsed/>
    <w:rsid w:val="00AE29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E29FE"/>
    <w:rPr>
      <w:rFonts w:ascii="Tahoma" w:hAnsi="Tahoma" w:cs="Tahoma"/>
      <w:sz w:val="16"/>
      <w:szCs w:val="16"/>
    </w:rPr>
  </w:style>
  <w:style w:type="table" w:styleId="Tabelacomgrade">
    <w:name w:val="Table Grid"/>
    <w:basedOn w:val="Tabelanormal"/>
    <w:uiPriority w:val="59"/>
    <w:rsid w:val="00697B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C33C3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33C3B"/>
  </w:style>
  <w:style w:type="paragraph" w:styleId="Rodap">
    <w:name w:val="footer"/>
    <w:basedOn w:val="Normal"/>
    <w:link w:val="RodapChar"/>
    <w:uiPriority w:val="99"/>
    <w:unhideWhenUsed/>
    <w:rsid w:val="00C33C3B"/>
    <w:pPr>
      <w:tabs>
        <w:tab w:val="center" w:pos="4252"/>
        <w:tab w:val="right" w:pos="8504"/>
      </w:tabs>
      <w:spacing w:after="0" w:line="240" w:lineRule="auto"/>
    </w:pPr>
  </w:style>
  <w:style w:type="character" w:customStyle="1" w:styleId="RodapChar">
    <w:name w:val="Rodapé Char"/>
    <w:basedOn w:val="Fontepargpadro"/>
    <w:link w:val="Rodap"/>
    <w:uiPriority w:val="99"/>
    <w:rsid w:val="00C33C3B"/>
  </w:style>
  <w:style w:type="character" w:customStyle="1" w:styleId="Ttulo1Char">
    <w:name w:val="Título 1 Char"/>
    <w:basedOn w:val="Fontepargpadro"/>
    <w:link w:val="Ttulo1"/>
    <w:uiPriority w:val="9"/>
    <w:rsid w:val="0073133B"/>
    <w:rPr>
      <w:rFonts w:ascii="Arial" w:eastAsiaTheme="majorEastAsia" w:hAnsi="Arial" w:cstheme="majorBidi"/>
      <w:b/>
      <w:sz w:val="24"/>
      <w:szCs w:val="32"/>
    </w:rPr>
  </w:style>
  <w:style w:type="paragraph" w:styleId="Subttulo">
    <w:name w:val="Subtitle"/>
    <w:basedOn w:val="Normal"/>
    <w:next w:val="Normal"/>
    <w:link w:val="SubttuloChar"/>
    <w:autoRedefine/>
    <w:uiPriority w:val="11"/>
    <w:qFormat/>
    <w:rsid w:val="00250D92"/>
    <w:pPr>
      <w:numPr>
        <w:ilvl w:val="2"/>
        <w:numId w:val="1"/>
      </w:numPr>
      <w:spacing w:after="160"/>
    </w:pPr>
    <w:rPr>
      <w:rFonts w:ascii="Arial" w:eastAsiaTheme="minorEastAsia" w:hAnsi="Arial" w:cstheme="minorBidi"/>
      <w:b/>
      <w:spacing w:val="15"/>
      <w:sz w:val="24"/>
      <w:shd w:val="clear" w:color="auto" w:fill="FFFFFF"/>
    </w:rPr>
  </w:style>
  <w:style w:type="character" w:customStyle="1" w:styleId="SubttuloChar">
    <w:name w:val="Subtítulo Char"/>
    <w:basedOn w:val="Fontepargpadro"/>
    <w:link w:val="Subttulo"/>
    <w:uiPriority w:val="11"/>
    <w:rsid w:val="00250D92"/>
    <w:rPr>
      <w:rFonts w:ascii="Arial" w:eastAsiaTheme="minorEastAsia" w:hAnsi="Arial" w:cstheme="minorBidi"/>
      <w:b/>
      <w:spacing w:val="15"/>
      <w:sz w:val="24"/>
    </w:rPr>
  </w:style>
  <w:style w:type="paragraph" w:styleId="CabealhodoSumrio">
    <w:name w:val="TOC Heading"/>
    <w:basedOn w:val="Ttulo1"/>
    <w:next w:val="Normal"/>
    <w:uiPriority w:val="39"/>
    <w:unhideWhenUsed/>
    <w:qFormat/>
    <w:rsid w:val="00787AFB"/>
    <w:pPr>
      <w:spacing w:line="259" w:lineRule="auto"/>
      <w:outlineLvl w:val="9"/>
    </w:pPr>
    <w:rPr>
      <w:rFonts w:asciiTheme="majorHAnsi" w:hAnsiTheme="majorHAnsi"/>
      <w:b w:val="0"/>
      <w:color w:val="365F91" w:themeColor="accent1" w:themeShade="BF"/>
      <w:sz w:val="32"/>
      <w:lang w:eastAsia="pt-BR"/>
    </w:rPr>
  </w:style>
  <w:style w:type="paragraph" w:styleId="Sumrio1">
    <w:name w:val="toc 1"/>
    <w:basedOn w:val="Normal"/>
    <w:next w:val="Normal"/>
    <w:autoRedefine/>
    <w:uiPriority w:val="39"/>
    <w:unhideWhenUsed/>
    <w:rsid w:val="00250D92"/>
    <w:pPr>
      <w:spacing w:before="360" w:after="0"/>
    </w:pPr>
    <w:rPr>
      <w:rFonts w:asciiTheme="majorHAnsi" w:hAnsiTheme="majorHAnsi"/>
      <w:b/>
      <w:bCs/>
      <w:caps/>
      <w:sz w:val="24"/>
      <w:szCs w:val="24"/>
    </w:rPr>
  </w:style>
  <w:style w:type="paragraph" w:styleId="Sumrio2">
    <w:name w:val="toc 2"/>
    <w:basedOn w:val="Normal"/>
    <w:next w:val="Normal"/>
    <w:autoRedefine/>
    <w:uiPriority w:val="39"/>
    <w:unhideWhenUsed/>
    <w:rsid w:val="00BA6DA1"/>
    <w:pPr>
      <w:spacing w:before="240" w:after="0"/>
    </w:pPr>
    <w:rPr>
      <w:rFonts w:asciiTheme="minorHAnsi" w:hAnsiTheme="minorHAnsi"/>
      <w:b/>
      <w:bCs/>
      <w:sz w:val="20"/>
      <w:szCs w:val="20"/>
    </w:rPr>
  </w:style>
  <w:style w:type="paragraph" w:styleId="Sumrio3">
    <w:name w:val="toc 3"/>
    <w:basedOn w:val="Normal"/>
    <w:next w:val="Normal"/>
    <w:autoRedefine/>
    <w:uiPriority w:val="39"/>
    <w:unhideWhenUsed/>
    <w:rsid w:val="00BA6DA1"/>
    <w:pPr>
      <w:spacing w:after="0"/>
      <w:ind w:left="220"/>
    </w:pPr>
    <w:rPr>
      <w:rFonts w:asciiTheme="minorHAnsi" w:hAnsiTheme="minorHAnsi"/>
      <w:sz w:val="20"/>
      <w:szCs w:val="20"/>
    </w:rPr>
  </w:style>
  <w:style w:type="character" w:customStyle="1" w:styleId="Ttulo4Char">
    <w:name w:val="Título 4 Char"/>
    <w:basedOn w:val="Fontepargpadro"/>
    <w:link w:val="Ttulo4"/>
    <w:uiPriority w:val="9"/>
    <w:semiHidden/>
    <w:rsid w:val="00BA6DA1"/>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semiHidden/>
    <w:rsid w:val="00BA6DA1"/>
    <w:rPr>
      <w:rFonts w:asciiTheme="majorHAnsi" w:eastAsiaTheme="majorEastAsia" w:hAnsiTheme="majorHAnsi" w:cstheme="majorBidi"/>
      <w:color w:val="365F91" w:themeColor="accent1" w:themeShade="BF"/>
    </w:rPr>
  </w:style>
  <w:style w:type="paragraph" w:styleId="Sumrio4">
    <w:name w:val="toc 4"/>
    <w:basedOn w:val="Normal"/>
    <w:next w:val="Normal"/>
    <w:autoRedefine/>
    <w:uiPriority w:val="39"/>
    <w:unhideWhenUsed/>
    <w:rsid w:val="00BA6DA1"/>
    <w:pPr>
      <w:spacing w:after="0"/>
      <w:ind w:left="440"/>
    </w:pPr>
    <w:rPr>
      <w:rFonts w:asciiTheme="minorHAnsi" w:hAnsiTheme="minorHAnsi"/>
      <w:sz w:val="20"/>
      <w:szCs w:val="20"/>
    </w:rPr>
  </w:style>
  <w:style w:type="paragraph" w:styleId="Sumrio5">
    <w:name w:val="toc 5"/>
    <w:basedOn w:val="Normal"/>
    <w:next w:val="Normal"/>
    <w:autoRedefine/>
    <w:uiPriority w:val="39"/>
    <w:unhideWhenUsed/>
    <w:rsid w:val="00BA6DA1"/>
    <w:pPr>
      <w:spacing w:after="0"/>
      <w:ind w:left="660"/>
    </w:pPr>
    <w:rPr>
      <w:rFonts w:asciiTheme="minorHAnsi" w:hAnsiTheme="minorHAnsi"/>
      <w:sz w:val="20"/>
      <w:szCs w:val="20"/>
    </w:rPr>
  </w:style>
  <w:style w:type="paragraph" w:styleId="Sumrio6">
    <w:name w:val="toc 6"/>
    <w:basedOn w:val="Normal"/>
    <w:next w:val="Normal"/>
    <w:autoRedefine/>
    <w:uiPriority w:val="39"/>
    <w:unhideWhenUsed/>
    <w:rsid w:val="00BA6DA1"/>
    <w:pPr>
      <w:spacing w:after="0"/>
      <w:ind w:left="880"/>
    </w:pPr>
    <w:rPr>
      <w:rFonts w:asciiTheme="minorHAnsi" w:hAnsiTheme="minorHAnsi"/>
      <w:sz w:val="20"/>
      <w:szCs w:val="20"/>
    </w:rPr>
  </w:style>
  <w:style w:type="paragraph" w:styleId="Sumrio7">
    <w:name w:val="toc 7"/>
    <w:basedOn w:val="Normal"/>
    <w:next w:val="Normal"/>
    <w:autoRedefine/>
    <w:uiPriority w:val="39"/>
    <w:unhideWhenUsed/>
    <w:rsid w:val="00BA6DA1"/>
    <w:pPr>
      <w:spacing w:after="0"/>
      <w:ind w:left="1100"/>
    </w:pPr>
    <w:rPr>
      <w:rFonts w:asciiTheme="minorHAnsi" w:hAnsiTheme="minorHAnsi"/>
      <w:sz w:val="20"/>
      <w:szCs w:val="20"/>
    </w:rPr>
  </w:style>
  <w:style w:type="paragraph" w:styleId="Sumrio8">
    <w:name w:val="toc 8"/>
    <w:basedOn w:val="Normal"/>
    <w:next w:val="Normal"/>
    <w:autoRedefine/>
    <w:uiPriority w:val="39"/>
    <w:unhideWhenUsed/>
    <w:rsid w:val="00BA6DA1"/>
    <w:pPr>
      <w:spacing w:after="0"/>
      <w:ind w:left="1320"/>
    </w:pPr>
    <w:rPr>
      <w:rFonts w:asciiTheme="minorHAnsi" w:hAnsiTheme="minorHAnsi"/>
      <w:sz w:val="20"/>
      <w:szCs w:val="20"/>
    </w:rPr>
  </w:style>
  <w:style w:type="paragraph" w:styleId="Sumrio9">
    <w:name w:val="toc 9"/>
    <w:basedOn w:val="Normal"/>
    <w:next w:val="Normal"/>
    <w:autoRedefine/>
    <w:uiPriority w:val="39"/>
    <w:unhideWhenUsed/>
    <w:rsid w:val="00BA6DA1"/>
    <w:pPr>
      <w:spacing w:after="0"/>
      <w:ind w:left="1540"/>
    </w:pPr>
    <w:rPr>
      <w:rFonts w:asciiTheme="minorHAnsi" w:hAnsiTheme="minorHAnsi"/>
      <w:sz w:val="20"/>
      <w:szCs w:val="20"/>
    </w:rPr>
  </w:style>
  <w:style w:type="character" w:customStyle="1" w:styleId="Ttulo2Char">
    <w:name w:val="Título 2 Char"/>
    <w:basedOn w:val="Fontepargpadro"/>
    <w:link w:val="Ttulo2"/>
    <w:uiPriority w:val="9"/>
    <w:rsid w:val="005B3595"/>
    <w:rPr>
      <w:rFonts w:ascii="Arial" w:eastAsiaTheme="majorEastAsia" w:hAnsi="Arial" w:cstheme="majorBidi"/>
      <w:b/>
      <w:sz w:val="24"/>
      <w:szCs w:val="26"/>
    </w:rPr>
  </w:style>
  <w:style w:type="character" w:customStyle="1" w:styleId="Ttulo3Char">
    <w:name w:val="Título 3 Char"/>
    <w:basedOn w:val="Fontepargpadro"/>
    <w:link w:val="Ttulo3"/>
    <w:uiPriority w:val="9"/>
    <w:rsid w:val="005B3595"/>
    <w:rPr>
      <w:rFonts w:ascii="Arial" w:eastAsiaTheme="majorEastAsia" w:hAnsi="Arial" w:cstheme="majorBidi"/>
      <w:b/>
      <w:sz w:val="24"/>
      <w:szCs w:val="24"/>
    </w:rPr>
  </w:style>
  <w:style w:type="character" w:customStyle="1" w:styleId="Ttulo6Char">
    <w:name w:val="Título 6 Char"/>
    <w:basedOn w:val="Fontepargpadro"/>
    <w:link w:val="Ttulo6"/>
    <w:uiPriority w:val="9"/>
    <w:semiHidden/>
    <w:rsid w:val="006F3DEE"/>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6F3DEE"/>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6F3DEE"/>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F3DEE"/>
    <w:rPr>
      <w:rFonts w:asciiTheme="majorHAnsi" w:eastAsiaTheme="majorEastAsia" w:hAnsiTheme="majorHAnsi" w:cstheme="majorBidi"/>
      <w:i/>
      <w:iCs/>
      <w:color w:val="272727" w:themeColor="text1" w:themeTint="D8"/>
      <w:sz w:val="21"/>
      <w:szCs w:val="21"/>
    </w:rPr>
  </w:style>
  <w:style w:type="character" w:styleId="TextodoEspaoReservado">
    <w:name w:val="Placeholder Text"/>
    <w:basedOn w:val="Fontepargpadro"/>
    <w:uiPriority w:val="99"/>
    <w:semiHidden/>
    <w:rsid w:val="00975AF0"/>
    <w:rPr>
      <w:color w:val="808080"/>
    </w:rPr>
  </w:style>
  <w:style w:type="paragraph" w:styleId="Legenda">
    <w:name w:val="caption"/>
    <w:basedOn w:val="Normal"/>
    <w:next w:val="Normal"/>
    <w:uiPriority w:val="35"/>
    <w:unhideWhenUsed/>
    <w:qFormat/>
    <w:rsid w:val="007A487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200312">
      <w:bodyDiv w:val="1"/>
      <w:marLeft w:val="0"/>
      <w:marRight w:val="0"/>
      <w:marTop w:val="0"/>
      <w:marBottom w:val="0"/>
      <w:divBdr>
        <w:top w:val="none" w:sz="0" w:space="0" w:color="auto"/>
        <w:left w:val="none" w:sz="0" w:space="0" w:color="auto"/>
        <w:bottom w:val="none" w:sz="0" w:space="0" w:color="auto"/>
        <w:right w:val="none" w:sz="0" w:space="0" w:color="auto"/>
      </w:divBdr>
    </w:div>
    <w:div w:id="1980185857">
      <w:bodyDiv w:val="1"/>
      <w:marLeft w:val="0"/>
      <w:marRight w:val="0"/>
      <w:marTop w:val="0"/>
      <w:marBottom w:val="0"/>
      <w:divBdr>
        <w:top w:val="none" w:sz="0" w:space="0" w:color="auto"/>
        <w:left w:val="none" w:sz="0" w:space="0" w:color="auto"/>
        <w:bottom w:val="none" w:sz="0" w:space="0" w:color="auto"/>
        <w:right w:val="none" w:sz="0" w:space="0" w:color="auto"/>
      </w:divBdr>
    </w:div>
    <w:div w:id="20604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yperlink" Target="http://revistas.fee.tche.br/index.php/ensaios/article/viewArticle/1960"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hyperlink" Target="http://www.scielo.br/scielo.php?pid=S0101-31572012000300003&amp;script=sci_arttext"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g1.globo.com/economia/noticia/2015/08/concentracao-aumenta-e-5-bancos-ja-detem-mais-de-80-dos-ativos-no-pais.html" TargetMode="External"/><Relationship Id="rId33" Type="http://schemas.openxmlformats.org/officeDocument/2006/relationships/hyperlink" Target="http://www.scielo.br/pdf/rep/v27n3/v27n3a07" TargetMode="External"/><Relationship Id="rId38" Type="http://schemas.openxmlformats.org/officeDocument/2006/relationships/hyperlink" Target="http://www.luizfernandodepaula.com.br/ups/flexibilizacao-do-regime-de-metas-de-inflacao-em-paises-emergentes.pdf"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http://www.bibliotecadigital.unicamp.br/cgi-bi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hyperlink" Target="http://www.bibliotecadigital.unicamp.br/cgi-bin" TargetMode="External"/><Relationship Id="rId37" Type="http://schemas.openxmlformats.org/officeDocument/2006/relationships/hyperlink" Target="https://www.researchgate.net/profile/Luiz_Paula/publication/273170949" TargetMode="Externa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2.emf"/><Relationship Id="rId28" Type="http://schemas.openxmlformats.org/officeDocument/2006/relationships/hyperlink" Target="http://www.angelfire.com/id/SergioDaSilva/causal.pdf" TargetMode="External"/><Relationship Id="rId36" Type="http://schemas.openxmlformats.org/officeDocument/2006/relationships/hyperlink" Target="http://luizfernandodepaula.com.br/ups/dinamica-firma-bancaria-uma-abordagem.pdf" TargetMode="Externa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hyperlink" Target="http://www.dialnet.unirioja.es/servlet/articulo?codigo=5160926"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hart" Target="charts/chart3.xml"/><Relationship Id="rId22" Type="http://schemas.openxmlformats.org/officeDocument/2006/relationships/image" Target="media/image1.emf"/><Relationship Id="rId27" Type="http://schemas.openxmlformats.org/officeDocument/2006/relationships/hyperlink" Target="http://repositorio.ipea.gov.br/handle/11058/1235" TargetMode="External"/><Relationship Id="rId30" Type="http://schemas.openxmlformats.org/officeDocument/2006/relationships/hyperlink" Target="http://www.dieese.org.br/desempenhodosbancos/2015/desempenhoBancos2015.pdf" TargetMode="External"/><Relationship Id="rId35" Type="http://schemas.openxmlformats.org/officeDocument/2006/relationships/hyperlink" Target="http://www.scielo.br/scielo.php?pid=S010141612005000100004&amp;script=sci_arttext&amp;tlng=p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r&#233;\Downloads\Tabela%20173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ndr&#233;\Desktop\Balan&#231;os1%20final.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Planilha_do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D:\Users\c056915\Downloads\Balan&#231;os1%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Excel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ndr&#233;\Desktop\Balan&#231;os1%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ndr&#233;\Desktop\Balan&#231;os1%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ndr&#233;\Desktop\Balan&#231;os1%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Users\c056915\Downloads\Balan&#231;os1%20final%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'[Tabela 1737.xlsx]Tabela'!$D$31</c:f>
              <c:strCache>
                <c:ptCount val="1"/>
              </c:strCache>
            </c:strRef>
          </c:tx>
          <c:spPr>
            <a:solidFill>
              <a:schemeClr val="accent2"/>
            </a:solidFill>
            <a:ln>
              <a:noFill/>
            </a:ln>
            <a:effectLst/>
          </c:spPr>
          <c:invertIfNegative val="0"/>
          <c:dLbls>
            <c:delete val="1"/>
          </c:dLbls>
          <c:cat>
            <c:strRef>
              <c:f>'[Tabela 1737.xlsx]Tabela'!$A$32:$B$49</c:f>
              <c:strCach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'[Tabela 1737.xlsx]Tabela'!$D$32:$D$49</c:f>
              <c:numCache>
                <c:formatCode>General</c:formatCode>
                <c:ptCount val="18"/>
                <c:pt idx="2">
                  <c:v>0</c:v>
                </c:pt>
              </c:numCache>
            </c:numRef>
          </c:val>
        </c:ser>
        <c:dLbls>
          <c:dLblPos val="ctr"/>
          <c:showLegendKey val="0"/>
          <c:showVal val="1"/>
          <c:showCatName val="0"/>
          <c:showSerName val="0"/>
          <c:showPercent val="0"/>
          <c:showBubbleSize val="0"/>
        </c:dLbls>
        <c:gapWidth val="150"/>
        <c:axId val="180444160"/>
        <c:axId val="180475008"/>
      </c:barChart>
      <c:lineChart>
        <c:grouping val="standard"/>
        <c:varyColors val="0"/>
        <c:ser>
          <c:idx val="0"/>
          <c:order val="0"/>
          <c:tx>
            <c:strRef>
              <c:f>'[Tabela 1737.xlsx]Tabela'!$C$31</c:f>
              <c:strCache>
                <c:ptCount val="1"/>
                <c:pt idx="0">
                  <c:v>Centro da Meta</c:v>
                </c:pt>
              </c:strCache>
            </c:strRef>
          </c:tx>
          <c:spPr>
            <a:ln w="25400" cap="rnd">
              <a:solidFill>
                <a:schemeClr val="tx1"/>
              </a:solidFill>
              <a:prstDash val="sysDash"/>
              <a:round/>
            </a:ln>
            <a:effectLst/>
          </c:spPr>
          <c:marker>
            <c:symbol val="none"/>
          </c:marker>
          <c:cat>
            <c:strRef>
              <c:f>'[Tabela 1737.xlsx]Tabela'!$A$32:$B$49</c:f>
              <c:strCach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'[Tabela 1737.xlsx]Tabela'!$C$32:$C$49</c:f>
              <c:numCache>
                <c:formatCode>General</c:formatCode>
                <c:ptCount val="18"/>
                <c:pt idx="0">
                  <c:v>8</c:v>
                </c:pt>
                <c:pt idx="1">
                  <c:v>6</c:v>
                </c:pt>
                <c:pt idx="2">
                  <c:v>4</c:v>
                </c:pt>
                <c:pt idx="3">
                  <c:v>3.5</c:v>
                </c:pt>
                <c:pt idx="4">
                  <c:v>4</c:v>
                </c:pt>
                <c:pt idx="5">
                  <c:v>5.5</c:v>
                </c:pt>
                <c:pt idx="6">
                  <c:v>4.5</c:v>
                </c:pt>
                <c:pt idx="7">
                  <c:v>4.5</c:v>
                </c:pt>
                <c:pt idx="8">
                  <c:v>4.5</c:v>
                </c:pt>
                <c:pt idx="9">
                  <c:v>4.5</c:v>
                </c:pt>
                <c:pt idx="10">
                  <c:v>4.5</c:v>
                </c:pt>
                <c:pt idx="11">
                  <c:v>4.5</c:v>
                </c:pt>
                <c:pt idx="12">
                  <c:v>4.5</c:v>
                </c:pt>
                <c:pt idx="13">
                  <c:v>4.5</c:v>
                </c:pt>
                <c:pt idx="14">
                  <c:v>4.5</c:v>
                </c:pt>
                <c:pt idx="15">
                  <c:v>4.5</c:v>
                </c:pt>
                <c:pt idx="16">
                  <c:v>4.5</c:v>
                </c:pt>
                <c:pt idx="17">
                  <c:v>4.5</c:v>
                </c:pt>
              </c:numCache>
            </c:numRef>
          </c:val>
          <c:smooth val="0"/>
        </c:ser>
        <c:dLbls>
          <c:showLegendKey val="0"/>
          <c:showVal val="0"/>
          <c:showCatName val="0"/>
          <c:showSerName val="0"/>
          <c:showPercent val="0"/>
          <c:showBubbleSize val="0"/>
        </c:dLbls>
        <c:marker val="1"/>
        <c:smooth val="0"/>
        <c:axId val="180444160"/>
        <c:axId val="180475008"/>
      </c:lineChart>
      <c:lineChart>
        <c:grouping val="standard"/>
        <c:varyColors val="0"/>
        <c:ser>
          <c:idx val="4"/>
          <c:order val="4"/>
          <c:tx>
            <c:strRef>
              <c:f>'[Tabela 1737.xlsx]Tabela'!$G$31</c:f>
              <c:strCache>
                <c:ptCount val="1"/>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'[Tabela 1737.xlsx]Tabela'!$A$32:$B$49</c:f>
              <c:strCach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'[Tabela 1737.xlsx]Tabela'!$G$32:$G$49</c:f>
              <c:numCache>
                <c:formatCode>General</c:formatCode>
                <c:ptCount val="18"/>
              </c:numCache>
            </c:numRef>
          </c:val>
          <c:smooth val="0"/>
        </c:ser>
        <c:ser>
          <c:idx val="5"/>
          <c:order val="5"/>
          <c:tx>
            <c:strRef>
              <c:f>'[Tabela 1737.xlsx]Tabela'!$H$31</c:f>
              <c:strCache>
                <c:ptCount val="1"/>
                <c:pt idx="0">
                  <c:v>IPCA verificado</c:v>
                </c:pt>
              </c:strCache>
            </c:strRef>
          </c:tx>
          <c:spPr>
            <a:ln w="28575" cap="flat">
              <a:solidFill>
                <a:srgbClr val="FF0000"/>
              </a:solidFill>
              <a:round/>
            </a:ln>
            <a:effectLst/>
          </c:spPr>
          <c:marker>
            <c:symbol val="none"/>
          </c:marker>
          <c:cat>
            <c:strRef>
              <c:f>'[Tabela 1737.xlsx]Tabela'!$A$32:$B$49</c:f>
              <c:strCach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cat>
          <c:val>
            <c:numRef>
              <c:f>'[Tabela 1737.xlsx]Tabela'!$H$32:$H$49</c:f>
              <c:numCache>
                <c:formatCode>General</c:formatCode>
                <c:ptCount val="18"/>
                <c:pt idx="0">
                  <c:v>8.94</c:v>
                </c:pt>
                <c:pt idx="1">
                  <c:v>5.97</c:v>
                </c:pt>
                <c:pt idx="2">
                  <c:v>7.67</c:v>
                </c:pt>
                <c:pt idx="3">
                  <c:v>12.53</c:v>
                </c:pt>
                <c:pt idx="4">
                  <c:v>9.3000000000000007</c:v>
                </c:pt>
                <c:pt idx="5">
                  <c:v>7.6</c:v>
                </c:pt>
                <c:pt idx="6">
                  <c:v>5.69</c:v>
                </c:pt>
                <c:pt idx="7">
                  <c:v>3.14</c:v>
                </c:pt>
                <c:pt idx="8">
                  <c:v>4.46</c:v>
                </c:pt>
                <c:pt idx="9">
                  <c:v>5.9</c:v>
                </c:pt>
                <c:pt idx="10">
                  <c:v>4.3099999999999996</c:v>
                </c:pt>
                <c:pt idx="11">
                  <c:v>5.91</c:v>
                </c:pt>
                <c:pt idx="12">
                  <c:v>6.5</c:v>
                </c:pt>
                <c:pt idx="13">
                  <c:v>5.84</c:v>
                </c:pt>
                <c:pt idx="14">
                  <c:v>5.91</c:v>
                </c:pt>
                <c:pt idx="15">
                  <c:v>6.41</c:v>
                </c:pt>
                <c:pt idx="16">
                  <c:v>10.67</c:v>
                </c:pt>
                <c:pt idx="17">
                  <c:v>6.29</c:v>
                </c:pt>
              </c:numCache>
            </c:numRef>
          </c:val>
          <c:smooth val="1"/>
        </c:ser>
        <c:dLbls>
          <c:showLegendKey val="0"/>
          <c:showVal val="0"/>
          <c:showCatName val="0"/>
          <c:showSerName val="0"/>
          <c:showPercent val="0"/>
          <c:showBubbleSize val="0"/>
        </c:dLbls>
        <c:marker val="1"/>
        <c:smooth val="0"/>
        <c:axId val="180478336"/>
        <c:axId val="180476544"/>
      </c:lineChart>
      <c:scatterChart>
        <c:scatterStyle val="lineMarker"/>
        <c:varyColors val="0"/>
        <c:ser>
          <c:idx val="2"/>
          <c:order val="2"/>
          <c:tx>
            <c:strRef>
              <c:f>'[Tabela 1737.xlsx]Tabela'!$E$31</c:f>
              <c:strCache>
                <c:ptCount val="1"/>
                <c:pt idx="0">
                  <c:v>Intervalo sup.</c:v>
                </c:pt>
              </c:strCache>
            </c:strRef>
          </c:tx>
          <c:spPr>
            <a:ln w="12700" cap="rnd">
              <a:solidFill>
                <a:schemeClr val="bg1">
                  <a:lumMod val="65000"/>
                </a:schemeClr>
              </a:solidFill>
              <a:prstDash val="sysDash"/>
              <a:round/>
            </a:ln>
            <a:effectLst/>
          </c:spPr>
          <c:marker>
            <c:symbol val="triangle"/>
            <c:size val="7"/>
            <c:spPr>
              <a:solidFill>
                <a:schemeClr val="lt1"/>
              </a:solidFill>
              <a:ln w="15875">
                <a:solidFill>
                  <a:schemeClr val="tx1">
                    <a:lumMod val="50000"/>
                    <a:lumOff val="50000"/>
                  </a:schemeClr>
                </a:solidFill>
                <a:round/>
              </a:ln>
              <a:effectLst/>
            </c:spPr>
          </c:marker>
          <c:xVal>
            <c:strRef>
              <c:f>'[Tabela 1737.xlsx]Tabela'!$A$32:$B$49</c:f>
              <c:strCach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xVal>
          <c:yVal>
            <c:numRef>
              <c:f>'[Tabela 1737.xlsx]Tabela'!$E$32:$E$49</c:f>
              <c:numCache>
                <c:formatCode>General</c:formatCode>
                <c:ptCount val="18"/>
                <c:pt idx="0">
                  <c:v>10</c:v>
                </c:pt>
                <c:pt idx="1">
                  <c:v>8</c:v>
                </c:pt>
                <c:pt idx="2">
                  <c:v>6</c:v>
                </c:pt>
                <c:pt idx="3">
                  <c:v>5.5</c:v>
                </c:pt>
                <c:pt idx="4">
                  <c:v>6</c:v>
                </c:pt>
                <c:pt idx="5">
                  <c:v>7.5</c:v>
                </c:pt>
                <c:pt idx="6">
                  <c:v>6.5</c:v>
                </c:pt>
                <c:pt idx="7">
                  <c:v>6.5</c:v>
                </c:pt>
                <c:pt idx="8">
                  <c:v>6.5</c:v>
                </c:pt>
                <c:pt idx="9">
                  <c:v>6.5</c:v>
                </c:pt>
                <c:pt idx="10">
                  <c:v>6.5</c:v>
                </c:pt>
                <c:pt idx="11">
                  <c:v>6.5</c:v>
                </c:pt>
                <c:pt idx="12">
                  <c:v>6.5</c:v>
                </c:pt>
                <c:pt idx="13">
                  <c:v>6.5</c:v>
                </c:pt>
                <c:pt idx="14">
                  <c:v>6.5</c:v>
                </c:pt>
                <c:pt idx="15">
                  <c:v>6.5</c:v>
                </c:pt>
                <c:pt idx="16">
                  <c:v>6.5</c:v>
                </c:pt>
                <c:pt idx="17">
                  <c:v>6.5</c:v>
                </c:pt>
              </c:numCache>
            </c:numRef>
          </c:yVal>
          <c:smooth val="0"/>
        </c:ser>
        <c:ser>
          <c:idx val="3"/>
          <c:order val="3"/>
          <c:tx>
            <c:strRef>
              <c:f>'[Tabela 1737.xlsx]Tabela'!$F$31</c:f>
              <c:strCache>
                <c:ptCount val="1"/>
                <c:pt idx="0">
                  <c:v>Intervalo Inf</c:v>
                </c:pt>
              </c:strCache>
            </c:strRef>
          </c:tx>
          <c:spPr>
            <a:ln w="12700" cap="rnd">
              <a:solidFill>
                <a:schemeClr val="bg1">
                  <a:lumMod val="65000"/>
                </a:schemeClr>
              </a:solidFill>
              <a:prstDash val="sysDash"/>
              <a:round/>
            </a:ln>
            <a:effectLst/>
          </c:spPr>
          <c:marker>
            <c:symbol val="triangle"/>
            <c:size val="7"/>
            <c:spPr>
              <a:solidFill>
                <a:schemeClr val="lt1"/>
              </a:solidFill>
              <a:ln w="15875">
                <a:solidFill>
                  <a:schemeClr val="tx1">
                    <a:lumMod val="50000"/>
                    <a:lumOff val="50000"/>
                  </a:schemeClr>
                </a:solidFill>
                <a:round/>
              </a:ln>
              <a:effectLst/>
            </c:spPr>
          </c:marker>
          <c:xVal>
            <c:strRef>
              <c:f>'[Tabela 1737.xlsx]Tabela'!$A$32:$B$49</c:f>
              <c:strCach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strCache>
            </c:strRef>
          </c:xVal>
          <c:yVal>
            <c:numRef>
              <c:f>'[Tabela 1737.xlsx]Tabela'!$F$32:$F$49</c:f>
              <c:numCache>
                <c:formatCode>General</c:formatCode>
                <c:ptCount val="18"/>
                <c:pt idx="0">
                  <c:v>6</c:v>
                </c:pt>
                <c:pt idx="1">
                  <c:v>4</c:v>
                </c:pt>
                <c:pt idx="2">
                  <c:v>2</c:v>
                </c:pt>
                <c:pt idx="3">
                  <c:v>1.5</c:v>
                </c:pt>
                <c:pt idx="4">
                  <c:v>2</c:v>
                </c:pt>
                <c:pt idx="5">
                  <c:v>3.5</c:v>
                </c:pt>
                <c:pt idx="6">
                  <c:v>2.5</c:v>
                </c:pt>
                <c:pt idx="7">
                  <c:v>2.5</c:v>
                </c:pt>
                <c:pt idx="8">
                  <c:v>2.5</c:v>
                </c:pt>
                <c:pt idx="9">
                  <c:v>2.5</c:v>
                </c:pt>
                <c:pt idx="10">
                  <c:v>2.5</c:v>
                </c:pt>
                <c:pt idx="11">
                  <c:v>2.5</c:v>
                </c:pt>
                <c:pt idx="12">
                  <c:v>2.5</c:v>
                </c:pt>
                <c:pt idx="13">
                  <c:v>2.5</c:v>
                </c:pt>
                <c:pt idx="14">
                  <c:v>2.5</c:v>
                </c:pt>
                <c:pt idx="15">
                  <c:v>2.5</c:v>
                </c:pt>
                <c:pt idx="16">
                  <c:v>2.5</c:v>
                </c:pt>
                <c:pt idx="17">
                  <c:v>2.5</c:v>
                </c:pt>
              </c:numCache>
            </c:numRef>
          </c:yVal>
          <c:smooth val="0"/>
        </c:ser>
        <c:dLbls>
          <c:showLegendKey val="0"/>
          <c:showVal val="0"/>
          <c:showCatName val="0"/>
          <c:showSerName val="0"/>
          <c:showPercent val="0"/>
          <c:showBubbleSize val="0"/>
        </c:dLbls>
        <c:axId val="180444160"/>
        <c:axId val="180475008"/>
      </c:scatterChart>
      <c:catAx>
        <c:axId val="1804441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180475008"/>
        <c:crosses val="autoZero"/>
        <c:auto val="1"/>
        <c:lblAlgn val="ctr"/>
        <c:lblOffset val="100"/>
        <c:noMultiLvlLbl val="0"/>
      </c:catAx>
      <c:valAx>
        <c:axId val="18047500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180444160"/>
        <c:crosses val="autoZero"/>
        <c:crossBetween val="between"/>
      </c:valAx>
      <c:valAx>
        <c:axId val="180476544"/>
        <c:scaling>
          <c:orientation val="minMax"/>
        </c:scaling>
        <c:delete val="1"/>
        <c:axPos val="r"/>
        <c:numFmt formatCode="General" sourceLinked="1"/>
        <c:majorTickMark val="out"/>
        <c:minorTickMark val="none"/>
        <c:tickLblPos val="nextTo"/>
        <c:crossAx val="180478336"/>
        <c:crosses val="max"/>
        <c:crossBetween val="between"/>
      </c:valAx>
      <c:catAx>
        <c:axId val="180478336"/>
        <c:scaling>
          <c:orientation val="minMax"/>
        </c:scaling>
        <c:delete val="1"/>
        <c:axPos val="b"/>
        <c:numFmt formatCode="General" sourceLinked="1"/>
        <c:majorTickMark val="out"/>
        <c:minorTickMark val="none"/>
        <c:tickLblPos val="nextTo"/>
        <c:crossAx val="180476544"/>
        <c:crosses val="autoZero"/>
        <c:auto val="1"/>
        <c:lblAlgn val="ctr"/>
        <c:lblOffset val="100"/>
        <c:noMultiLvlLbl val="0"/>
      </c:catAx>
      <c:spPr>
        <a:effectLst/>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pt-B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967696345649097E-2"/>
          <c:y val="0.1086911062346715"/>
          <c:w val="0.91586361861961929"/>
          <c:h val="0.60388718559224197"/>
        </c:manualLayout>
      </c:layout>
      <c:lineChart>
        <c:grouping val="standard"/>
        <c:varyColors val="0"/>
        <c:ser>
          <c:idx val="0"/>
          <c:order val="0"/>
          <c:tx>
            <c:v>BB</c:v>
          </c:tx>
          <c:spPr>
            <a:ln>
              <a:solidFill>
                <a:schemeClr val="tx2"/>
              </a:solidFill>
            </a:ln>
          </c:spPr>
          <c:marker>
            <c:symbol val="none"/>
          </c:marker>
          <c:cat>
            <c:numRef>
              <c:f>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Índices!$G$3:$G$70</c:f>
              <c:numCache>
                <c:formatCode>0%</c:formatCode>
                <c:ptCount val="68"/>
                <c:pt idx="0">
                  <c:v>5.2474387770753472E-2</c:v>
                </c:pt>
                <c:pt idx="1">
                  <c:v>3.1983288179567186E-2</c:v>
                </c:pt>
                <c:pt idx="2">
                  <c:v>3.7745086004727355E-2</c:v>
                </c:pt>
                <c:pt idx="3">
                  <c:v>3.505776428824272E-2</c:v>
                </c:pt>
                <c:pt idx="4">
                  <c:v>3.4329482672567017E-2</c:v>
                </c:pt>
                <c:pt idx="5">
                  <c:v>3.328372636034628E-2</c:v>
                </c:pt>
                <c:pt idx="6">
                  <c:v>4.7085521232137231E-2</c:v>
                </c:pt>
                <c:pt idx="7">
                  <c:v>2.4628563754235045E-2</c:v>
                </c:pt>
                <c:pt idx="8">
                  <c:v>4.0300570530076206E-2</c:v>
                </c:pt>
                <c:pt idx="9">
                  <c:v>5.2356570068153842E-2</c:v>
                </c:pt>
                <c:pt idx="10">
                  <c:v>5.6386697052312959E-2</c:v>
                </c:pt>
                <c:pt idx="11">
                  <c:v>6.8976837198475388E-2</c:v>
                </c:pt>
                <c:pt idx="12">
                  <c:v>6.0682931756936238E-2</c:v>
                </c:pt>
                <c:pt idx="13">
                  <c:v>4.818961088505487E-2</c:v>
                </c:pt>
                <c:pt idx="14">
                  <c:v>5.9955629773002422E-2</c:v>
                </c:pt>
                <c:pt idx="15">
                  <c:v>1.5551464944854322E-2</c:v>
                </c:pt>
                <c:pt idx="16">
                  <c:v>4.163258603483222E-2</c:v>
                </c:pt>
                <c:pt idx="17">
                  <c:v>4.193899932618679E-2</c:v>
                </c:pt>
                <c:pt idx="18">
                  <c:v>3.740819411599542E-2</c:v>
                </c:pt>
                <c:pt idx="19">
                  <c:v>3.9767798647240754E-2</c:v>
                </c:pt>
                <c:pt idx="20">
                  <c:v>4.2733755770007972E-2</c:v>
                </c:pt>
                <c:pt idx="21">
                  <c:v>4.1309647344677757E-2</c:v>
                </c:pt>
                <c:pt idx="22">
                  <c:v>4.4827571179485375E-2</c:v>
                </c:pt>
                <c:pt idx="23">
                  <c:v>5.0117183487388528E-2</c:v>
                </c:pt>
                <c:pt idx="24">
                  <c:v>5.1285644246838381E-2</c:v>
                </c:pt>
                <c:pt idx="25">
                  <c:v>4.6541113571949309E-2</c:v>
                </c:pt>
                <c:pt idx="26">
                  <c:v>4.6234461469062883E-2</c:v>
                </c:pt>
                <c:pt idx="27">
                  <c:v>4.4864020868168895E-2</c:v>
                </c:pt>
                <c:pt idx="28">
                  <c:v>4.1551795254705856E-2</c:v>
                </c:pt>
                <c:pt idx="29">
                  <c:v>4.4020540971170696E-2</c:v>
                </c:pt>
                <c:pt idx="30">
                  <c:v>4.5336979130100985E-2</c:v>
                </c:pt>
                <c:pt idx="31">
                  <c:v>4.1137519534706214E-2</c:v>
                </c:pt>
                <c:pt idx="32">
                  <c:v>5.3592545232972195E-2</c:v>
                </c:pt>
                <c:pt idx="33">
                  <c:v>4.3396144962584156E-2</c:v>
                </c:pt>
                <c:pt idx="34">
                  <c:v>7.8884809838153269E-2</c:v>
                </c:pt>
                <c:pt idx="35">
                  <c:v>0.11020285613927366</c:v>
                </c:pt>
                <c:pt idx="36">
                  <c:v>5.935240597740505E-2</c:v>
                </c:pt>
                <c:pt idx="37">
                  <c:v>5.5225689653640733E-2</c:v>
                </c:pt>
                <c:pt idx="38">
                  <c:v>4.4890719880386842E-2</c:v>
                </c:pt>
                <c:pt idx="39">
                  <c:v>4.9373487266122749E-2</c:v>
                </c:pt>
                <c:pt idx="40">
                  <c:v>5.5508452503484178E-2</c:v>
                </c:pt>
                <c:pt idx="41">
                  <c:v>4.9056686532870562E-2</c:v>
                </c:pt>
                <c:pt idx="42">
                  <c:v>5.7407896645875249E-2</c:v>
                </c:pt>
                <c:pt idx="43">
                  <c:v>5.4672327500996737E-2</c:v>
                </c:pt>
                <c:pt idx="44">
                  <c:v>5.5056711095614844E-2</c:v>
                </c:pt>
                <c:pt idx="45">
                  <c:v>5.9191537821565991E-2</c:v>
                </c:pt>
                <c:pt idx="46">
                  <c:v>9.0649333691262934E-2</c:v>
                </c:pt>
                <c:pt idx="47">
                  <c:v>5.862443704914392E-2</c:v>
                </c:pt>
                <c:pt idx="48">
                  <c:v>6.5574200558653165E-2</c:v>
                </c:pt>
                <c:pt idx="49">
                  <c:v>7.0068954576203185E-2</c:v>
                </c:pt>
                <c:pt idx="50">
                  <c:v>5.2612120511363922E-2</c:v>
                </c:pt>
                <c:pt idx="51">
                  <c:v>5.0101312850768631E-2</c:v>
                </c:pt>
                <c:pt idx="52">
                  <c:v>4.9922381007585795E-2</c:v>
                </c:pt>
                <c:pt idx="53">
                  <c:v>6.1590850429900292E-2</c:v>
                </c:pt>
                <c:pt idx="54">
                  <c:v>6.1436729776408669E-2</c:v>
                </c:pt>
                <c:pt idx="55">
                  <c:v>7.1418368662558823E-2</c:v>
                </c:pt>
                <c:pt idx="56">
                  <c:v>7.6005452125624193E-2</c:v>
                </c:pt>
                <c:pt idx="57">
                  <c:v>8.1918348384391437E-2</c:v>
                </c:pt>
                <c:pt idx="58">
                  <c:v>0.10572593392818355</c:v>
                </c:pt>
                <c:pt idx="59">
                  <c:v>0.10708203279700672</c:v>
                </c:pt>
                <c:pt idx="60">
                  <c:v>0.13371397104884392</c:v>
                </c:pt>
                <c:pt idx="61">
                  <c:v>0.10397417991221337</c:v>
                </c:pt>
                <c:pt idx="62">
                  <c:v>0.16316225812531893</c:v>
                </c:pt>
                <c:pt idx="63">
                  <c:v>0.10199567655892336</c:v>
                </c:pt>
                <c:pt idx="64">
                  <c:v>0.10630418692293465</c:v>
                </c:pt>
                <c:pt idx="65">
                  <c:v>0.11236429080109858</c:v>
                </c:pt>
                <c:pt idx="66">
                  <c:v>0.12864736643391178</c:v>
                </c:pt>
                <c:pt idx="67">
                  <c:v>0.12985713518799022</c:v>
                </c:pt>
              </c:numCache>
            </c:numRef>
          </c:val>
          <c:smooth val="0"/>
        </c:ser>
        <c:ser>
          <c:idx val="1"/>
          <c:order val="1"/>
          <c:tx>
            <c:v>CEF</c:v>
          </c:tx>
          <c:spPr>
            <a:ln>
              <a:solidFill>
                <a:schemeClr val="tx1">
                  <a:lumMod val="65000"/>
                  <a:lumOff val="35000"/>
                </a:schemeClr>
              </a:solidFill>
            </a:ln>
          </c:spPr>
          <c:marker>
            <c:symbol val="none"/>
          </c:marker>
          <c:val>
            <c:numRef>
              <c:f>Índices!$M$3:$M$70</c:f>
              <c:numCache>
                <c:formatCode>0%</c:formatCode>
                <c:ptCount val="68"/>
                <c:pt idx="0">
                  <c:v>5.0171342847340199E-2</c:v>
                </c:pt>
                <c:pt idx="1">
                  <c:v>7.3224592003103481E-2</c:v>
                </c:pt>
                <c:pt idx="2">
                  <c:v>5.6624884855393506E-2</c:v>
                </c:pt>
                <c:pt idx="3">
                  <c:v>4.3473305937922216E-2</c:v>
                </c:pt>
                <c:pt idx="4">
                  <c:v>4.3526552180537546E-2</c:v>
                </c:pt>
                <c:pt idx="5">
                  <c:v>2.8410074342675642E-2</c:v>
                </c:pt>
                <c:pt idx="6">
                  <c:v>4.4772623086168133E-2</c:v>
                </c:pt>
                <c:pt idx="7">
                  <c:v>4.1935610308248543E-2</c:v>
                </c:pt>
                <c:pt idx="8">
                  <c:v>4.3719424039059818E-2</c:v>
                </c:pt>
                <c:pt idx="9">
                  <c:v>4.9372973630534875E-2</c:v>
                </c:pt>
                <c:pt idx="10">
                  <c:v>6.3136434731235938E-2</c:v>
                </c:pt>
                <c:pt idx="11">
                  <c:v>5.1831753872812747E-2</c:v>
                </c:pt>
                <c:pt idx="12">
                  <c:v>5.966587354635939E-2</c:v>
                </c:pt>
                <c:pt idx="13">
                  <c:v>5.7760554763032289E-2</c:v>
                </c:pt>
                <c:pt idx="14">
                  <c:v>5.4396531111734918E-2</c:v>
                </c:pt>
                <c:pt idx="15">
                  <c:v>2.6110379690108463E-2</c:v>
                </c:pt>
                <c:pt idx="16">
                  <c:v>3.9265630710330131E-2</c:v>
                </c:pt>
                <c:pt idx="17">
                  <c:v>3.9979236976391282E-2</c:v>
                </c:pt>
                <c:pt idx="18">
                  <c:v>4.3176955838114248E-2</c:v>
                </c:pt>
                <c:pt idx="19">
                  <c:v>3.7942319967344866E-2</c:v>
                </c:pt>
                <c:pt idx="20">
                  <c:v>4.0089190419105754E-2</c:v>
                </c:pt>
                <c:pt idx="21">
                  <c:v>4.6025502354600241E-2</c:v>
                </c:pt>
                <c:pt idx="22">
                  <c:v>4.850885748115092E-2</c:v>
                </c:pt>
                <c:pt idx="23">
                  <c:v>4.6037659029201941E-2</c:v>
                </c:pt>
                <c:pt idx="24">
                  <c:v>4.5090978183404753E-2</c:v>
                </c:pt>
                <c:pt idx="25">
                  <c:v>3.8632109167410403E-2</c:v>
                </c:pt>
                <c:pt idx="26">
                  <c:v>4.1106235053497663E-2</c:v>
                </c:pt>
                <c:pt idx="27">
                  <c:v>4.123844266203202E-2</c:v>
                </c:pt>
                <c:pt idx="28">
                  <c:v>3.6354707988840967E-2</c:v>
                </c:pt>
                <c:pt idx="29">
                  <c:v>3.3802730955168114E-2</c:v>
                </c:pt>
                <c:pt idx="30">
                  <c:v>2.6254002538267287E-2</c:v>
                </c:pt>
                <c:pt idx="31">
                  <c:v>1.9161967192606238E-2</c:v>
                </c:pt>
                <c:pt idx="32">
                  <c:v>3.1013136643879294E-2</c:v>
                </c:pt>
                <c:pt idx="33">
                  <c:v>3.2330067355868783E-2</c:v>
                </c:pt>
                <c:pt idx="34">
                  <c:v>4.1431993380761201E-2</c:v>
                </c:pt>
                <c:pt idx="35">
                  <c:v>4.3600510846294988E-2</c:v>
                </c:pt>
                <c:pt idx="36">
                  <c:v>4.4400657423204981E-2</c:v>
                </c:pt>
                <c:pt idx="37">
                  <c:v>3.7801927483073705E-2</c:v>
                </c:pt>
                <c:pt idx="38">
                  <c:v>3.5132849753744082E-2</c:v>
                </c:pt>
                <c:pt idx="39">
                  <c:v>3.3209232259451021E-2</c:v>
                </c:pt>
                <c:pt idx="40">
                  <c:v>3.9078744000542391E-2</c:v>
                </c:pt>
                <c:pt idx="41">
                  <c:v>3.2271032723649735E-2</c:v>
                </c:pt>
                <c:pt idx="42">
                  <c:v>3.3823700633802807E-2</c:v>
                </c:pt>
                <c:pt idx="43">
                  <c:v>3.7426403707960285E-2</c:v>
                </c:pt>
                <c:pt idx="44">
                  <c:v>3.9676427315859276E-2</c:v>
                </c:pt>
                <c:pt idx="45">
                  <c:v>4.056386422483587E-2</c:v>
                </c:pt>
                <c:pt idx="46">
                  <c:v>5.0424087482289118E-2</c:v>
                </c:pt>
                <c:pt idx="47">
                  <c:v>3.91488538470477E-2</c:v>
                </c:pt>
                <c:pt idx="48">
                  <c:v>4.2760269291147145E-2</c:v>
                </c:pt>
                <c:pt idx="49">
                  <c:v>3.8779005175630259E-2</c:v>
                </c:pt>
                <c:pt idx="50">
                  <c:v>3.5504441601465708E-2</c:v>
                </c:pt>
                <c:pt idx="51">
                  <c:v>3.6039667608604109E-2</c:v>
                </c:pt>
                <c:pt idx="52">
                  <c:v>2.5601214659137585E-2</c:v>
                </c:pt>
                <c:pt idx="53">
                  <c:v>1.9204122830280074E-2</c:v>
                </c:pt>
                <c:pt idx="54">
                  <c:v>3.3531675480818916E-2</c:v>
                </c:pt>
                <c:pt idx="55">
                  <c:v>3.2802343711232022E-2</c:v>
                </c:pt>
                <c:pt idx="56">
                  <c:v>4.0442880207820019E-2</c:v>
                </c:pt>
                <c:pt idx="57">
                  <c:v>4.3385331886433426E-2</c:v>
                </c:pt>
                <c:pt idx="58">
                  <c:v>4.3149253077983313E-2</c:v>
                </c:pt>
                <c:pt idx="59">
                  <c:v>4.8735740078672748E-2</c:v>
                </c:pt>
                <c:pt idx="60">
                  <c:v>5.1879379165177382E-2</c:v>
                </c:pt>
                <c:pt idx="61">
                  <c:v>4.9234605992359827E-2</c:v>
                </c:pt>
                <c:pt idx="62">
                  <c:v>3.7345437984264283E-2</c:v>
                </c:pt>
                <c:pt idx="63">
                  <c:v>6.0266899751330046E-2</c:v>
                </c:pt>
                <c:pt idx="64">
                  <c:v>8.3990939919685759E-2</c:v>
                </c:pt>
                <c:pt idx="65">
                  <c:v>7.3251778637115753E-2</c:v>
                </c:pt>
                <c:pt idx="66">
                  <c:v>6.4951963093718576E-2</c:v>
                </c:pt>
                <c:pt idx="67">
                  <c:v>5.8811526546965406E-2</c:v>
                </c:pt>
              </c:numCache>
            </c:numRef>
          </c:val>
          <c:smooth val="0"/>
        </c:ser>
        <c:ser>
          <c:idx val="2"/>
          <c:order val="2"/>
          <c:tx>
            <c:v>Bradesco</c:v>
          </c:tx>
          <c:spPr>
            <a:ln>
              <a:solidFill>
                <a:schemeClr val="tx1"/>
              </a:solidFill>
            </a:ln>
          </c:spPr>
          <c:marker>
            <c:symbol val="none"/>
          </c:marker>
          <c:val>
            <c:numRef>
              <c:f>Índices!$S$3:$S$70</c:f>
              <c:numCache>
                <c:formatCode>0%</c:formatCode>
                <c:ptCount val="68"/>
                <c:pt idx="0">
                  <c:v>2.8389102049314417E-2</c:v>
                </c:pt>
                <c:pt idx="1">
                  <c:v>5.9574086179787079E-2</c:v>
                </c:pt>
                <c:pt idx="2">
                  <c:v>5.0825700097860457E-2</c:v>
                </c:pt>
                <c:pt idx="3">
                  <c:v>5.0316626422436964E-2</c:v>
                </c:pt>
                <c:pt idx="4">
                  <c:v>6.6336055662679527E-2</c:v>
                </c:pt>
                <c:pt idx="5">
                  <c:v>6.0260325061438171E-2</c:v>
                </c:pt>
                <c:pt idx="6">
                  <c:v>0.10408704960699804</c:v>
                </c:pt>
                <c:pt idx="7">
                  <c:v>-1.9033561651194818E-2</c:v>
                </c:pt>
                <c:pt idx="8">
                  <c:v>4.3542293708935441E-2</c:v>
                </c:pt>
                <c:pt idx="9">
                  <c:v>9.6773186980302808E-2</c:v>
                </c:pt>
                <c:pt idx="10">
                  <c:v>0.17746431377495728</c:v>
                </c:pt>
                <c:pt idx="11">
                  <c:v>7.9297987575266571E-2</c:v>
                </c:pt>
                <c:pt idx="12">
                  <c:v>0.16721173894960928</c:v>
                </c:pt>
                <c:pt idx="13">
                  <c:v>8.6759135585111655E-2</c:v>
                </c:pt>
                <c:pt idx="14">
                  <c:v>9.933884684963587E-2</c:v>
                </c:pt>
                <c:pt idx="15">
                  <c:v>3.2368575969800223E-2</c:v>
                </c:pt>
                <c:pt idx="16">
                  <c:v>7.0528858969240632E-2</c:v>
                </c:pt>
                <c:pt idx="17">
                  <c:v>5.5482466229431038E-2</c:v>
                </c:pt>
                <c:pt idx="18">
                  <c:v>6.2288975925529753E-2</c:v>
                </c:pt>
                <c:pt idx="19">
                  <c:v>5.9788783830082917E-2</c:v>
                </c:pt>
                <c:pt idx="20">
                  <c:v>6.2138710268541349E-2</c:v>
                </c:pt>
                <c:pt idx="21">
                  <c:v>7.0074888284559086E-2</c:v>
                </c:pt>
                <c:pt idx="22">
                  <c:v>8.7327011324045925E-2</c:v>
                </c:pt>
                <c:pt idx="23">
                  <c:v>9.9272226581260628E-2</c:v>
                </c:pt>
                <c:pt idx="24">
                  <c:v>9.5007070776865987E-2</c:v>
                </c:pt>
                <c:pt idx="25">
                  <c:v>8.2124589078721749E-2</c:v>
                </c:pt>
                <c:pt idx="26">
                  <c:v>9.6910341443977491E-2</c:v>
                </c:pt>
                <c:pt idx="27">
                  <c:v>4.6212741159531841E-2</c:v>
                </c:pt>
                <c:pt idx="28">
                  <c:v>4.9172705651302683E-2</c:v>
                </c:pt>
                <c:pt idx="29">
                  <c:v>4.9386686181983531E-2</c:v>
                </c:pt>
                <c:pt idx="30">
                  <c:v>4.7538924319594604E-2</c:v>
                </c:pt>
                <c:pt idx="31">
                  <c:v>3.7269474724557376E-2</c:v>
                </c:pt>
                <c:pt idx="32">
                  <c:v>5.5057149154164826E-2</c:v>
                </c:pt>
                <c:pt idx="33">
                  <c:v>5.2109509296108705E-2</c:v>
                </c:pt>
                <c:pt idx="34">
                  <c:v>7.9658590545217678E-2</c:v>
                </c:pt>
                <c:pt idx="35">
                  <c:v>9.2181030983576939E-2</c:v>
                </c:pt>
                <c:pt idx="36">
                  <c:v>8.6634639131648927E-2</c:v>
                </c:pt>
                <c:pt idx="37">
                  <c:v>5.0077949771196867E-2</c:v>
                </c:pt>
                <c:pt idx="38">
                  <c:v>5.3999296520724535E-2</c:v>
                </c:pt>
                <c:pt idx="39">
                  <c:v>6.1398393287119803E-2</c:v>
                </c:pt>
                <c:pt idx="40">
                  <c:v>5.8812088372783816E-2</c:v>
                </c:pt>
                <c:pt idx="41">
                  <c:v>5.6013666615694437E-2</c:v>
                </c:pt>
                <c:pt idx="42">
                  <c:v>4.3732161757139412E-2</c:v>
                </c:pt>
                <c:pt idx="43">
                  <c:v>4.3263834387853646E-2</c:v>
                </c:pt>
                <c:pt idx="44">
                  <c:v>4.6183543083018717E-2</c:v>
                </c:pt>
                <c:pt idx="45">
                  <c:v>4.587527671676514E-2</c:v>
                </c:pt>
                <c:pt idx="46">
                  <c:v>6.3296819443224406E-2</c:v>
                </c:pt>
                <c:pt idx="47">
                  <c:v>4.3402045291550832E-2</c:v>
                </c:pt>
                <c:pt idx="48">
                  <c:v>4.2770324042803877E-2</c:v>
                </c:pt>
                <c:pt idx="49">
                  <c:v>4.2709664028802746E-2</c:v>
                </c:pt>
                <c:pt idx="50">
                  <c:v>3.804166633046293E-2</c:v>
                </c:pt>
                <c:pt idx="51">
                  <c:v>4.3414241311541493E-2</c:v>
                </c:pt>
                <c:pt idx="52">
                  <c:v>3.749926486661484E-2</c:v>
                </c:pt>
                <c:pt idx="53">
                  <c:v>4.7797303682600996E-2</c:v>
                </c:pt>
                <c:pt idx="54">
                  <c:v>4.4877745909784529E-2</c:v>
                </c:pt>
                <c:pt idx="55">
                  <c:v>1.9723619849874263E-2</c:v>
                </c:pt>
                <c:pt idx="56">
                  <c:v>4.1789363060771273E-2</c:v>
                </c:pt>
                <c:pt idx="57">
                  <c:v>4.5159418809812453E-2</c:v>
                </c:pt>
                <c:pt idx="58">
                  <c:v>4.9541332678415075E-2</c:v>
                </c:pt>
                <c:pt idx="59">
                  <c:v>6.0888391186130153E-2</c:v>
                </c:pt>
                <c:pt idx="60">
                  <c:v>6.8777793409531662E-2</c:v>
                </c:pt>
                <c:pt idx="61">
                  <c:v>5.7661709451459403E-2</c:v>
                </c:pt>
                <c:pt idx="62">
                  <c:v>6.3087930572053419E-2</c:v>
                </c:pt>
                <c:pt idx="63">
                  <c:v>4.5610684933773508E-2</c:v>
                </c:pt>
                <c:pt idx="64">
                  <c:v>4.912732151342615E-2</c:v>
                </c:pt>
                <c:pt idx="65">
                  <c:v>5.2135148172934326E-2</c:v>
                </c:pt>
                <c:pt idx="66">
                  <c:v>5.1041822388317441E-2</c:v>
                </c:pt>
                <c:pt idx="67">
                  <c:v>4.2792081571865911E-2</c:v>
                </c:pt>
              </c:numCache>
            </c:numRef>
          </c:val>
          <c:smooth val="0"/>
        </c:ser>
        <c:ser>
          <c:idx val="3"/>
          <c:order val="3"/>
          <c:tx>
            <c:v>Itaú</c:v>
          </c:tx>
          <c:spPr>
            <a:ln>
              <a:solidFill>
                <a:srgbClr val="FF0000"/>
              </a:solidFill>
            </a:ln>
          </c:spPr>
          <c:marker>
            <c:symbol val="none"/>
          </c:marker>
          <c:val>
            <c:numRef>
              <c:f>Índices!$Y$3:$Y$70</c:f>
              <c:numCache>
                <c:formatCode>0%</c:formatCode>
                <c:ptCount val="68"/>
                <c:pt idx="0">
                  <c:v>4.3849380668557911E-2</c:v>
                </c:pt>
                <c:pt idx="1">
                  <c:v>7.1092016831158913E-2</c:v>
                </c:pt>
                <c:pt idx="2">
                  <c:v>5.8206857508011599E-2</c:v>
                </c:pt>
                <c:pt idx="3">
                  <c:v>6.6286810954003669E-2</c:v>
                </c:pt>
                <c:pt idx="4">
                  <c:v>7.2820189663013207E-2</c:v>
                </c:pt>
                <c:pt idx="5">
                  <c:v>7.2908160066316077E-2</c:v>
                </c:pt>
                <c:pt idx="6">
                  <c:v>9.3399892056933886E-2</c:v>
                </c:pt>
                <c:pt idx="7">
                  <c:v>2.8327839864692474E-2</c:v>
                </c:pt>
                <c:pt idx="8">
                  <c:v>5.8821904612171225E-2</c:v>
                </c:pt>
                <c:pt idx="9">
                  <c:v>4.5384262183027789E-2</c:v>
                </c:pt>
                <c:pt idx="10">
                  <c:v>4.9114206385138109E-2</c:v>
                </c:pt>
                <c:pt idx="11">
                  <c:v>9.5927246011476563E-2</c:v>
                </c:pt>
                <c:pt idx="12">
                  <c:v>9.3838784028789299E-2</c:v>
                </c:pt>
                <c:pt idx="13">
                  <c:v>4.9803850019484674E-2</c:v>
                </c:pt>
                <c:pt idx="14">
                  <c:v>7.0633208588876367E-2</c:v>
                </c:pt>
                <c:pt idx="15">
                  <c:v>5.1151576203844973E-2</c:v>
                </c:pt>
                <c:pt idx="16">
                  <c:v>6.4552391145954818E-2</c:v>
                </c:pt>
                <c:pt idx="17">
                  <c:v>6.0740582691906853E-2</c:v>
                </c:pt>
                <c:pt idx="18">
                  <c:v>5.4951499721247313E-2</c:v>
                </c:pt>
                <c:pt idx="19">
                  <c:v>8.8697093082716602E-2</c:v>
                </c:pt>
                <c:pt idx="20">
                  <c:v>6.0176602754571866E-2</c:v>
                </c:pt>
                <c:pt idx="21">
                  <c:v>6.8409495363413994E-2</c:v>
                </c:pt>
                <c:pt idx="22">
                  <c:v>8.2541681298461039E-2</c:v>
                </c:pt>
                <c:pt idx="23">
                  <c:v>8.0574437831924486E-2</c:v>
                </c:pt>
                <c:pt idx="24">
                  <c:v>7.0285982043523557E-2</c:v>
                </c:pt>
                <c:pt idx="25">
                  <c:v>7.1013507361220224E-2</c:v>
                </c:pt>
                <c:pt idx="26">
                  <c:v>8.7859661505414341E-2</c:v>
                </c:pt>
                <c:pt idx="27">
                  <c:v>6.5698456651424167E-2</c:v>
                </c:pt>
                <c:pt idx="28">
                  <c:v>4.2565274665089393E-2</c:v>
                </c:pt>
                <c:pt idx="29">
                  <c:v>6.7006247314500098E-2</c:v>
                </c:pt>
                <c:pt idx="30">
                  <c:v>5.9087174233766873E-2</c:v>
                </c:pt>
                <c:pt idx="31">
                  <c:v>6.2213477057232E-2</c:v>
                </c:pt>
                <c:pt idx="32">
                  <c:v>5.364105965437535E-2</c:v>
                </c:pt>
                <c:pt idx="33">
                  <c:v>5.0342561230413169E-2</c:v>
                </c:pt>
                <c:pt idx="34">
                  <c:v>6.6394813608573813E-2</c:v>
                </c:pt>
                <c:pt idx="35">
                  <c:v>7.208385888968058E-2</c:v>
                </c:pt>
                <c:pt idx="36">
                  <c:v>6.955095853109268E-2</c:v>
                </c:pt>
                <c:pt idx="37">
                  <c:v>5.2153962549153679E-2</c:v>
                </c:pt>
                <c:pt idx="38">
                  <c:v>6.4915837657601561E-2</c:v>
                </c:pt>
                <c:pt idx="39">
                  <c:v>6.4408362120565638E-2</c:v>
                </c:pt>
                <c:pt idx="40">
                  <c:v>5.874790966913359E-2</c:v>
                </c:pt>
                <c:pt idx="41">
                  <c:v>4.6979600982225971E-2</c:v>
                </c:pt>
                <c:pt idx="42">
                  <c:v>5.2912578146066827E-2</c:v>
                </c:pt>
                <c:pt idx="43">
                  <c:v>3.5497621940012818E-2</c:v>
                </c:pt>
                <c:pt idx="44">
                  <c:v>3.7971147155751298E-2</c:v>
                </c:pt>
                <c:pt idx="45">
                  <c:v>4.3838157665400695E-2</c:v>
                </c:pt>
                <c:pt idx="46">
                  <c:v>6.0802438116311953E-2</c:v>
                </c:pt>
                <c:pt idx="47">
                  <c:v>4.7297183549098502E-2</c:v>
                </c:pt>
                <c:pt idx="48">
                  <c:v>5.0220599692183655E-2</c:v>
                </c:pt>
                <c:pt idx="49">
                  <c:v>4.3284135359415006E-2</c:v>
                </c:pt>
                <c:pt idx="50">
                  <c:v>4.0159579027058544E-2</c:v>
                </c:pt>
                <c:pt idx="51">
                  <c:v>3.3939250315150958E-2</c:v>
                </c:pt>
                <c:pt idx="52">
                  <c:v>2.7231831880753187E-2</c:v>
                </c:pt>
                <c:pt idx="53">
                  <c:v>2.8270185849549267E-2</c:v>
                </c:pt>
                <c:pt idx="54">
                  <c:v>3.6888055747310328E-2</c:v>
                </c:pt>
                <c:pt idx="55">
                  <c:v>3.227611096408798E-2</c:v>
                </c:pt>
                <c:pt idx="56">
                  <c:v>4.437591825485903E-2</c:v>
                </c:pt>
                <c:pt idx="57">
                  <c:v>4.4991157391817443E-2</c:v>
                </c:pt>
                <c:pt idx="58">
                  <c:v>4.6213345516909241E-2</c:v>
                </c:pt>
                <c:pt idx="59">
                  <c:v>5.0861523367847349E-2</c:v>
                </c:pt>
                <c:pt idx="60">
                  <c:v>4.9812851028023651E-2</c:v>
                </c:pt>
                <c:pt idx="61">
                  <c:v>5.0804538258435984E-2</c:v>
                </c:pt>
                <c:pt idx="62">
                  <c:v>5.5388048369957463E-2</c:v>
                </c:pt>
                <c:pt idx="63">
                  <c:v>4.7341457859989285E-2</c:v>
                </c:pt>
                <c:pt idx="64">
                  <c:v>6.9439680331963627E-2</c:v>
                </c:pt>
                <c:pt idx="65">
                  <c:v>5.4334426368022749E-2</c:v>
                </c:pt>
                <c:pt idx="66">
                  <c:v>6.2729461454946803E-2</c:v>
                </c:pt>
                <c:pt idx="67">
                  <c:v>4.9435561335722265E-2</c:v>
                </c:pt>
              </c:numCache>
            </c:numRef>
          </c:val>
          <c:smooth val="0"/>
        </c:ser>
        <c:ser>
          <c:idx val="4"/>
          <c:order val="4"/>
          <c:tx>
            <c:v>Santander</c:v>
          </c:tx>
          <c:spPr>
            <a:ln>
              <a:solidFill>
                <a:schemeClr val="bg2">
                  <a:lumMod val="50000"/>
                </a:schemeClr>
              </a:solidFill>
            </a:ln>
          </c:spPr>
          <c:marker>
            <c:symbol val="none"/>
          </c:marker>
          <c:val>
            <c:numRef>
              <c:f>Índices!$AE$3:$AE$70</c:f>
              <c:numCache>
                <c:formatCode>0%</c:formatCode>
                <c:ptCount val="68"/>
                <c:pt idx="0">
                  <c:v>5.5965377087852763E-2</c:v>
                </c:pt>
                <c:pt idx="1">
                  <c:v>7.9400987869562428E-2</c:v>
                </c:pt>
                <c:pt idx="2">
                  <c:v>4.8531342822622885E-2</c:v>
                </c:pt>
                <c:pt idx="3">
                  <c:v>6.1260159026640344E-2</c:v>
                </c:pt>
                <c:pt idx="4">
                  <c:v>9.4183388297831169E-2</c:v>
                </c:pt>
                <c:pt idx="5">
                  <c:v>4.2610217768525901E-2</c:v>
                </c:pt>
                <c:pt idx="6">
                  <c:v>9.4442479929681286E-2</c:v>
                </c:pt>
                <c:pt idx="7">
                  <c:v>1.3103902536861682E-2</c:v>
                </c:pt>
                <c:pt idx="8">
                  <c:v>4.9572411416906118E-2</c:v>
                </c:pt>
                <c:pt idx="9">
                  <c:v>0.11361384144178492</c:v>
                </c:pt>
                <c:pt idx="10">
                  <c:v>0.18696772085590668</c:v>
                </c:pt>
                <c:pt idx="11">
                  <c:v>0.12754953806344946</c:v>
                </c:pt>
                <c:pt idx="12">
                  <c:v>5.4205511247229325E-2</c:v>
                </c:pt>
                <c:pt idx="13">
                  <c:v>4.143083638876472E-2</c:v>
                </c:pt>
                <c:pt idx="14">
                  <c:v>6.2148290782573022E-2</c:v>
                </c:pt>
                <c:pt idx="15">
                  <c:v>2.1795642158364874E-2</c:v>
                </c:pt>
                <c:pt idx="16">
                  <c:v>4.8406261644700126E-2</c:v>
                </c:pt>
                <c:pt idx="17">
                  <c:v>8.1459594362530183E-2</c:v>
                </c:pt>
                <c:pt idx="18">
                  <c:v>4.128330218777946E-2</c:v>
                </c:pt>
                <c:pt idx="19">
                  <c:v>3.072521119968841E-2</c:v>
                </c:pt>
                <c:pt idx="20">
                  <c:v>4.4022074932048294E-2</c:v>
                </c:pt>
                <c:pt idx="21">
                  <c:v>7.1957785809783001E-2</c:v>
                </c:pt>
                <c:pt idx="22">
                  <c:v>4.8187879871462419E-2</c:v>
                </c:pt>
                <c:pt idx="23">
                  <c:v>5.6701439815749287E-2</c:v>
                </c:pt>
                <c:pt idx="24">
                  <c:v>4.7535063182264671E-2</c:v>
                </c:pt>
                <c:pt idx="25">
                  <c:v>3.7203847044790239E-2</c:v>
                </c:pt>
                <c:pt idx="26">
                  <c:v>4.7552946370928842E-2</c:v>
                </c:pt>
                <c:pt idx="27">
                  <c:v>3.9387028651875856E-2</c:v>
                </c:pt>
                <c:pt idx="28">
                  <c:v>8.2144643149045363E-2</c:v>
                </c:pt>
                <c:pt idx="29">
                  <c:v>6.1382920067911032E-2</c:v>
                </c:pt>
                <c:pt idx="30">
                  <c:v>8.8371637816029122E-2</c:v>
                </c:pt>
                <c:pt idx="31">
                  <c:v>8.6937220359487422E-2</c:v>
                </c:pt>
                <c:pt idx="32">
                  <c:v>9.3048864000650017E-2</c:v>
                </c:pt>
                <c:pt idx="33">
                  <c:v>7.7933361634107204E-2</c:v>
                </c:pt>
                <c:pt idx="34">
                  <c:v>3.5224124308858282E-2</c:v>
                </c:pt>
                <c:pt idx="35">
                  <c:v>0.12063976240671574</c:v>
                </c:pt>
                <c:pt idx="36">
                  <c:v>6.6133334651103104E-2</c:v>
                </c:pt>
                <c:pt idx="37">
                  <c:v>8.5078901281538916E-2</c:v>
                </c:pt>
                <c:pt idx="38">
                  <c:v>6.1940016300741037E-2</c:v>
                </c:pt>
                <c:pt idx="39">
                  <c:v>5.5915965106122546E-2</c:v>
                </c:pt>
                <c:pt idx="40">
                  <c:v>4.957364551884548E-2</c:v>
                </c:pt>
                <c:pt idx="41">
                  <c:v>4.2157479783895016E-2</c:v>
                </c:pt>
                <c:pt idx="42">
                  <c:v>5.3041141866310683E-2</c:v>
                </c:pt>
                <c:pt idx="43">
                  <c:v>4.938393986129469E-2</c:v>
                </c:pt>
                <c:pt idx="44">
                  <c:v>3.4965638155056711E-2</c:v>
                </c:pt>
                <c:pt idx="45">
                  <c:v>3.1065943309558312E-2</c:v>
                </c:pt>
                <c:pt idx="46">
                  <c:v>4.9520074803332023E-2</c:v>
                </c:pt>
                <c:pt idx="47">
                  <c:v>4.5164586961632849E-2</c:v>
                </c:pt>
                <c:pt idx="48">
                  <c:v>4.9011411184481955E-2</c:v>
                </c:pt>
                <c:pt idx="49">
                  <c:v>4.0611030534074111E-2</c:v>
                </c:pt>
                <c:pt idx="50">
                  <c:v>4.4158804639612165E-2</c:v>
                </c:pt>
                <c:pt idx="51">
                  <c:v>3.830423670281892E-2</c:v>
                </c:pt>
                <c:pt idx="52">
                  <c:v>3.9801365136242148E-2</c:v>
                </c:pt>
                <c:pt idx="53">
                  <c:v>3.1730855639732602E-2</c:v>
                </c:pt>
                <c:pt idx="54">
                  <c:v>5.8648035277186532E-2</c:v>
                </c:pt>
                <c:pt idx="55">
                  <c:v>2.9637749168127628E-2</c:v>
                </c:pt>
                <c:pt idx="56">
                  <c:v>4.9499890449578081E-2</c:v>
                </c:pt>
                <c:pt idx="57">
                  <c:v>2.3774297964070858E-2</c:v>
                </c:pt>
                <c:pt idx="58">
                  <c:v>4.6081467868597265E-2</c:v>
                </c:pt>
                <c:pt idx="59">
                  <c:v>3.9916897193807317E-2</c:v>
                </c:pt>
                <c:pt idx="60">
                  <c:v>4.2778430819868478E-2</c:v>
                </c:pt>
                <c:pt idx="61">
                  <c:v>3.2439173792286898E-2</c:v>
                </c:pt>
                <c:pt idx="62">
                  <c:v>3.9807726335290165E-2</c:v>
                </c:pt>
                <c:pt idx="63">
                  <c:v>5.6063642772192217E-2</c:v>
                </c:pt>
                <c:pt idx="64">
                  <c:v>4.9280548185089E-2</c:v>
                </c:pt>
                <c:pt idx="65">
                  <c:v>5.5794242207298089E-2</c:v>
                </c:pt>
                <c:pt idx="66">
                  <c:v>5.1446019222194377E-2</c:v>
                </c:pt>
                <c:pt idx="67">
                  <c:v>3.3819073844431446E-2</c:v>
                </c:pt>
              </c:numCache>
            </c:numRef>
          </c:val>
          <c:smooth val="0"/>
        </c:ser>
        <c:dLbls>
          <c:showLegendKey val="0"/>
          <c:showVal val="0"/>
          <c:showCatName val="0"/>
          <c:showSerName val="0"/>
          <c:showPercent val="0"/>
          <c:showBubbleSize val="0"/>
        </c:dLbls>
        <c:marker val="1"/>
        <c:smooth val="0"/>
        <c:axId val="187570432"/>
        <c:axId val="187588608"/>
      </c:lineChart>
      <c:dateAx>
        <c:axId val="187570432"/>
        <c:scaling>
          <c:orientation val="minMax"/>
          <c:max val="42705"/>
          <c:min val="36586"/>
        </c:scaling>
        <c:delete val="0"/>
        <c:axPos val="b"/>
        <c:numFmt formatCode="mmm\-yy" sourceLinked="1"/>
        <c:majorTickMark val="none"/>
        <c:minorTickMark val="none"/>
        <c:tickLblPos val="low"/>
        <c:crossAx val="187588608"/>
        <c:crosses val="autoZero"/>
        <c:auto val="1"/>
        <c:lblOffset val="100"/>
        <c:baseTimeUnit val="months"/>
        <c:majorUnit val="1"/>
        <c:majorTimeUnit val="years"/>
      </c:dateAx>
      <c:valAx>
        <c:axId val="187588608"/>
        <c:scaling>
          <c:orientation val="minMax"/>
          <c:max val="0.2"/>
          <c:min val="-3.0000000000000006E-2"/>
        </c:scaling>
        <c:delete val="0"/>
        <c:axPos val="l"/>
        <c:numFmt formatCode="0%" sourceLinked="1"/>
        <c:majorTickMark val="none"/>
        <c:minorTickMark val="none"/>
        <c:tickLblPos val="nextTo"/>
        <c:spPr>
          <a:ln w="9525">
            <a:noFill/>
          </a:ln>
        </c:spPr>
        <c:crossAx val="187570432"/>
        <c:crosses val="autoZero"/>
        <c:crossBetween val="between"/>
      </c:valAx>
      <c:spPr>
        <a:noFill/>
        <a:ln>
          <a:noFill/>
        </a:ln>
      </c:spPr>
    </c:plotArea>
    <c:legend>
      <c:legendPos val="b"/>
      <c:layout>
        <c:manualLayout>
          <c:xMode val="edge"/>
          <c:yMode val="edge"/>
          <c:x val="0.15188914097602205"/>
          <c:y val="0.92693785249162197"/>
          <c:w val="0.70300120112104636"/>
          <c:h val="7.3062253062195798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Selic</c:v>
          </c:tx>
          <c:spPr>
            <a:ln w="31750">
              <a:solidFill>
                <a:srgbClr val="FF0000"/>
              </a:solidFill>
            </a:ln>
          </c:spPr>
          <c:marker>
            <c:symbol val="none"/>
          </c:marker>
          <c:trendline>
            <c:spPr>
              <a:ln w="28575">
                <a:prstDash val="sysDot"/>
              </a:ln>
            </c:spPr>
            <c:trendlineType val="linear"/>
            <c:dispRSqr val="0"/>
            <c:dispEq val="0"/>
          </c:trendline>
          <c:cat>
            <c:numRef>
              <c:f>'Selic - IPCA'!$D$2:$D$69</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'Selic - IPCA'!$E$2:$E$69</c:f>
              <c:numCache>
                <c:formatCode>0.000000</c:formatCode>
                <c:ptCount val="68"/>
                <c:pt idx="0">
                  <c:v>1.4533256997232991</c:v>
                </c:pt>
                <c:pt idx="1">
                  <c:v>1.3911740679925051</c:v>
                </c:pt>
                <c:pt idx="2">
                  <c:v>1.3110424272700911</c:v>
                </c:pt>
                <c:pt idx="3">
                  <c:v>1.2360715074725706</c:v>
                </c:pt>
                <c:pt idx="4">
                  <c:v>1.1774021177104341</c:v>
                </c:pt>
                <c:pt idx="5">
                  <c:v>1.2651785694684461</c:v>
                </c:pt>
                <c:pt idx="6">
                  <c:v>1.4686840924099924</c:v>
                </c:pt>
                <c:pt idx="7">
                  <c:v>1.4351821044699482</c:v>
                </c:pt>
                <c:pt idx="8">
                  <c:v>1.3786076062858048</c:v>
                </c:pt>
                <c:pt idx="9">
                  <c:v>1.4053273216519699</c:v>
                </c:pt>
                <c:pt idx="10">
                  <c:v>1.4518467155992933</c:v>
                </c:pt>
                <c:pt idx="11">
                  <c:v>1.6412874087043989</c:v>
                </c:pt>
                <c:pt idx="12">
                  <c:v>1.858285505325707</c:v>
                </c:pt>
                <c:pt idx="13">
                  <c:v>1.8993584168032136</c:v>
                </c:pt>
                <c:pt idx="14">
                  <c:v>1.835616534607676</c:v>
                </c:pt>
                <c:pt idx="15">
                  <c:v>1.4439641287068481</c:v>
                </c:pt>
                <c:pt idx="16">
                  <c:v>1.2369975922002701</c:v>
                </c:pt>
                <c:pt idx="17">
                  <c:v>1.2131022550991997</c:v>
                </c:pt>
                <c:pt idx="18">
                  <c:v>1.2765264301904449</c:v>
                </c:pt>
                <c:pt idx="19">
                  <c:v>1.30813439936734</c:v>
                </c:pt>
                <c:pt idx="20">
                  <c:v>1.3708084808293817</c:v>
                </c:pt>
                <c:pt idx="21">
                  <c:v>1.4981978356696044</c:v>
                </c:pt>
                <c:pt idx="22">
                  <c:v>1.5549822339205996</c:v>
                </c:pt>
                <c:pt idx="23">
                  <c:v>1.4195101795346332</c:v>
                </c:pt>
                <c:pt idx="24">
                  <c:v>1.3267041085477007</c:v>
                </c:pt>
                <c:pt idx="25">
                  <c:v>1.177168351565764</c:v>
                </c:pt>
                <c:pt idx="26">
                  <c:v>1.1604348349965938</c:v>
                </c:pt>
                <c:pt idx="27">
                  <c:v>1.0324934092722444</c:v>
                </c:pt>
                <c:pt idx="28">
                  <c:v>0.99550650541655084</c:v>
                </c:pt>
                <c:pt idx="29">
                  <c:v>0.95866930795040461</c:v>
                </c:pt>
                <c:pt idx="30">
                  <c:v>0.9158667769611808</c:v>
                </c:pt>
                <c:pt idx="31">
                  <c:v>0.86898812201733111</c:v>
                </c:pt>
                <c:pt idx="32">
                  <c:v>0.85496973320578895</c:v>
                </c:pt>
                <c:pt idx="33">
                  <c:v>0.91270859058273401</c:v>
                </c:pt>
                <c:pt idx="34">
                  <c:v>1.0628179440641463</c:v>
                </c:pt>
                <c:pt idx="35">
                  <c:v>1.1046721384889424</c:v>
                </c:pt>
                <c:pt idx="36">
                  <c:v>0.9567970512449997</c:v>
                </c:pt>
                <c:pt idx="37">
                  <c:v>0.7892135526586499</c:v>
                </c:pt>
                <c:pt idx="38">
                  <c:v>0.72184135166710361</c:v>
                </c:pt>
                <c:pt idx="39">
                  <c:v>0.69274270665669579</c:v>
                </c:pt>
                <c:pt idx="40">
                  <c:v>0.66640233965514206</c:v>
                </c:pt>
                <c:pt idx="41">
                  <c:v>0.73494423196659497</c:v>
                </c:pt>
                <c:pt idx="42">
                  <c:v>0.86650111893849058</c:v>
                </c:pt>
                <c:pt idx="43">
                  <c:v>0.84817277614567621</c:v>
                </c:pt>
                <c:pt idx="44">
                  <c:v>0.87268033207124684</c:v>
                </c:pt>
                <c:pt idx="45">
                  <c:v>0.92767368630191049</c:v>
                </c:pt>
                <c:pt idx="46">
                  <c:v>0.99180841448419443</c:v>
                </c:pt>
                <c:pt idx="47">
                  <c:v>0.88309516145137534</c:v>
                </c:pt>
                <c:pt idx="48">
                  <c:v>0.8180032719265431</c:v>
                </c:pt>
                <c:pt idx="49">
                  <c:v>0.69538184423915417</c:v>
                </c:pt>
                <c:pt idx="50">
                  <c:v>0.6327768580748806</c:v>
                </c:pt>
                <c:pt idx="51">
                  <c:v>0.56931383524913293</c:v>
                </c:pt>
                <c:pt idx="52">
                  <c:v>0.54479946610378482</c:v>
                </c:pt>
                <c:pt idx="53">
                  <c:v>0.60664828400336324</c:v>
                </c:pt>
                <c:pt idx="54">
                  <c:v>0.7133178051956991</c:v>
                </c:pt>
                <c:pt idx="55">
                  <c:v>0.77235127686471738</c:v>
                </c:pt>
                <c:pt idx="56">
                  <c:v>0.80262419508806193</c:v>
                </c:pt>
                <c:pt idx="57">
                  <c:v>0.83633894210184667</c:v>
                </c:pt>
                <c:pt idx="58">
                  <c:v>0.90941354154618947</c:v>
                </c:pt>
                <c:pt idx="59">
                  <c:v>0.91500761437719758</c:v>
                </c:pt>
                <c:pt idx="60">
                  <c:v>0.92894859403561914</c:v>
                </c:pt>
                <c:pt idx="61">
                  <c:v>1.0021072231582642</c:v>
                </c:pt>
                <c:pt idx="62">
                  <c:v>1.1328593365811341</c:v>
                </c:pt>
                <c:pt idx="63">
                  <c:v>1.1092487409042937</c:v>
                </c:pt>
                <c:pt idx="64">
                  <c:v>1.0713251117031228</c:v>
                </c:pt>
                <c:pt idx="65">
                  <c:v>1.1092487409042937</c:v>
                </c:pt>
                <c:pt idx="66">
                  <c:v>1.1455180305636874</c:v>
                </c:pt>
                <c:pt idx="67">
                  <c:v>1.0694165159526263</c:v>
                </c:pt>
              </c:numCache>
            </c:numRef>
          </c:val>
          <c:smooth val="0"/>
        </c:ser>
        <c:dLbls>
          <c:showLegendKey val="0"/>
          <c:showVal val="0"/>
          <c:showCatName val="0"/>
          <c:showSerName val="0"/>
          <c:showPercent val="0"/>
          <c:showBubbleSize val="0"/>
        </c:dLbls>
        <c:marker val="1"/>
        <c:smooth val="0"/>
        <c:axId val="177165824"/>
        <c:axId val="177167360"/>
      </c:lineChart>
      <c:dateAx>
        <c:axId val="177165824"/>
        <c:scaling>
          <c:orientation val="minMax"/>
          <c:max val="42716"/>
          <c:min val="36586"/>
        </c:scaling>
        <c:delete val="0"/>
        <c:axPos val="b"/>
        <c:numFmt formatCode="mmm\-yy" sourceLinked="1"/>
        <c:majorTickMark val="none"/>
        <c:minorTickMark val="none"/>
        <c:tickLblPos val="nextTo"/>
        <c:crossAx val="177167360"/>
        <c:crosses val="autoZero"/>
        <c:auto val="1"/>
        <c:lblOffset val="100"/>
        <c:baseTimeUnit val="months"/>
        <c:majorUnit val="1"/>
        <c:majorTimeUnit val="years"/>
      </c:dateAx>
      <c:valAx>
        <c:axId val="177167360"/>
        <c:scaling>
          <c:orientation val="minMax"/>
          <c:max val="2"/>
          <c:min val="0.5"/>
        </c:scaling>
        <c:delete val="0"/>
        <c:axPos val="l"/>
        <c:numFmt formatCode="0.0" sourceLinked="0"/>
        <c:majorTickMark val="none"/>
        <c:minorTickMark val="none"/>
        <c:tickLblPos val="nextTo"/>
        <c:spPr>
          <a:ln w="19050">
            <a:noFill/>
          </a:ln>
        </c:spPr>
        <c:crossAx val="177165824"/>
        <c:crosses val="autoZero"/>
        <c:crossBetween val="between"/>
        <c:majorUnit val="0.5"/>
      </c:valAx>
      <c:spPr>
        <a:noFill/>
      </c:spPr>
    </c:plotArea>
    <c:legend>
      <c:legendPos val="b"/>
      <c:overlay val="0"/>
    </c:legend>
    <c:plotVisOnly val="1"/>
    <c:dispBlanksAs val="gap"/>
    <c:showDLblsOverMax val="0"/>
  </c:chart>
  <c:spPr>
    <a:noFill/>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
            </a:r>
            <a:br>
              <a:rPr lang="en-US"/>
            </a:br>
            <a:endParaRPr lang="en-US"/>
          </a:p>
        </c:rich>
      </c:tx>
      <c:overlay val="0"/>
    </c:title>
    <c:autoTitleDeleted val="0"/>
    <c:plotArea>
      <c:layout/>
      <c:lineChart>
        <c:grouping val="standard"/>
        <c:varyColors val="0"/>
        <c:ser>
          <c:idx val="0"/>
          <c:order val="0"/>
          <c:tx>
            <c:v>Operações de Crédito</c:v>
          </c:tx>
          <c:spPr>
            <a:ln w="38100" cmpd="sng">
              <a:solidFill>
                <a:srgbClr val="FF0000"/>
              </a:solidFill>
              <a:prstDash val="sysDash"/>
            </a:ln>
          </c:spPr>
          <c:marker>
            <c:symbol val="none"/>
          </c:marker>
          <c:cat>
            <c:numRef>
              <c:f>Manipulação!$A$4:$A$71</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'Médias Ponderadas'!$O$3:$O$70</c:f>
              <c:numCache>
                <c:formatCode>_-* #,##0_-;\-* #,##0_-;_-* "-"??_-;_-@_-</c:formatCode>
                <c:ptCount val="68"/>
                <c:pt idx="0">
                  <c:v>40038083.625356749</c:v>
                </c:pt>
                <c:pt idx="1">
                  <c:v>40707831.396831848</c:v>
                </c:pt>
                <c:pt idx="2">
                  <c:v>41219002.800210483</c:v>
                </c:pt>
                <c:pt idx="3">
                  <c:v>40387798.118496902</c:v>
                </c:pt>
                <c:pt idx="4">
                  <c:v>39553007.778312221</c:v>
                </c:pt>
                <c:pt idx="5">
                  <c:v>31445561.749704544</c:v>
                </c:pt>
                <c:pt idx="6">
                  <c:v>31946552.400467165</c:v>
                </c:pt>
                <c:pt idx="7">
                  <c:v>32039407.34519114</c:v>
                </c:pt>
                <c:pt idx="8">
                  <c:v>34317596.286619887</c:v>
                </c:pt>
                <c:pt idx="9">
                  <c:v>36782201.836921453</c:v>
                </c:pt>
                <c:pt idx="10">
                  <c:v>39833267.613204181</c:v>
                </c:pt>
                <c:pt idx="11">
                  <c:v>39913874.635724396</c:v>
                </c:pt>
                <c:pt idx="12">
                  <c:v>40791595.672783948</c:v>
                </c:pt>
                <c:pt idx="13">
                  <c:v>42900335.580433078</c:v>
                </c:pt>
                <c:pt idx="14">
                  <c:v>44313641.619728938</c:v>
                </c:pt>
                <c:pt idx="15">
                  <c:v>54865199.288078487</c:v>
                </c:pt>
                <c:pt idx="16">
                  <c:v>48117328.914868452</c:v>
                </c:pt>
                <c:pt idx="17">
                  <c:v>50684902.363623187</c:v>
                </c:pt>
                <c:pt idx="18">
                  <c:v>51769729.329910912</c:v>
                </c:pt>
                <c:pt idx="19">
                  <c:v>54865199.288078487</c:v>
                </c:pt>
                <c:pt idx="20">
                  <c:v>57381763.470771953</c:v>
                </c:pt>
                <c:pt idx="21">
                  <c:v>59811803.366976991</c:v>
                </c:pt>
                <c:pt idx="22">
                  <c:v>61200316.136544175</c:v>
                </c:pt>
                <c:pt idx="23">
                  <c:v>65780631.297414802</c:v>
                </c:pt>
                <c:pt idx="24">
                  <c:v>68346274.226331025</c:v>
                </c:pt>
                <c:pt idx="25">
                  <c:v>72518724.552415937</c:v>
                </c:pt>
                <c:pt idx="26">
                  <c:v>76639569.55871439</c:v>
                </c:pt>
                <c:pt idx="27">
                  <c:v>83967484.964245483</c:v>
                </c:pt>
                <c:pt idx="28">
                  <c:v>89007721.60781242</c:v>
                </c:pt>
                <c:pt idx="29">
                  <c:v>93298107.366044357</c:v>
                </c:pt>
                <c:pt idx="30">
                  <c:v>97393040.102560252</c:v>
                </c:pt>
                <c:pt idx="31">
                  <c:v>105847967.21080607</c:v>
                </c:pt>
                <c:pt idx="32">
                  <c:v>112597502.90428139</c:v>
                </c:pt>
                <c:pt idx="33">
                  <c:v>122125726.87605578</c:v>
                </c:pt>
                <c:pt idx="34">
                  <c:v>132755792.8831654</c:v>
                </c:pt>
                <c:pt idx="35">
                  <c:v>155899629.39149049</c:v>
                </c:pt>
                <c:pt idx="36">
                  <c:v>161793108.57662809</c:v>
                </c:pt>
                <c:pt idx="37">
                  <c:v>164431847.74107423</c:v>
                </c:pt>
                <c:pt idx="38">
                  <c:v>180441689.42793021</c:v>
                </c:pt>
                <c:pt idx="39">
                  <c:v>190704229.15540671</c:v>
                </c:pt>
                <c:pt idx="40">
                  <c:v>196900939.27365652</c:v>
                </c:pt>
                <c:pt idx="41">
                  <c:v>211693036.35838228</c:v>
                </c:pt>
                <c:pt idx="42">
                  <c:v>223175566.8441231</c:v>
                </c:pt>
                <c:pt idx="43">
                  <c:v>236643191.50963253</c:v>
                </c:pt>
                <c:pt idx="44">
                  <c:v>245758438.51602894</c:v>
                </c:pt>
                <c:pt idx="45">
                  <c:v>259224997.67579505</c:v>
                </c:pt>
                <c:pt idx="46">
                  <c:v>275230933.01033247</c:v>
                </c:pt>
                <c:pt idx="47">
                  <c:v>289738365.50593805</c:v>
                </c:pt>
                <c:pt idx="48">
                  <c:v>296928538.67248935</c:v>
                </c:pt>
                <c:pt idx="49">
                  <c:v>314987379.95907658</c:v>
                </c:pt>
                <c:pt idx="50">
                  <c:v>328835584.98731083</c:v>
                </c:pt>
                <c:pt idx="51">
                  <c:v>352836958.09028912</c:v>
                </c:pt>
                <c:pt idx="52">
                  <c:v>365210529.51733315</c:v>
                </c:pt>
                <c:pt idx="53">
                  <c:v>391309316.63966614</c:v>
                </c:pt>
                <c:pt idx="54">
                  <c:v>405826568.11399615</c:v>
                </c:pt>
                <c:pt idx="55">
                  <c:v>431181620.4639852</c:v>
                </c:pt>
                <c:pt idx="56">
                  <c:v>442936142.49572968</c:v>
                </c:pt>
                <c:pt idx="57">
                  <c:v>460782760.81493652</c:v>
                </c:pt>
                <c:pt idx="58">
                  <c:v>475070944.99619734</c:v>
                </c:pt>
                <c:pt idx="59">
                  <c:v>495200243.49930197</c:v>
                </c:pt>
                <c:pt idx="60">
                  <c:v>509434128.54885125</c:v>
                </c:pt>
                <c:pt idx="61">
                  <c:v>515507119.69287431</c:v>
                </c:pt>
                <c:pt idx="62">
                  <c:v>532673719.65262312</c:v>
                </c:pt>
                <c:pt idx="63">
                  <c:v>537308933.95935905</c:v>
                </c:pt>
                <c:pt idx="64">
                  <c:v>530019078.36901021</c:v>
                </c:pt>
                <c:pt idx="65">
                  <c:v>535387992.34519899</c:v>
                </c:pt>
                <c:pt idx="66">
                  <c:v>535205330.42784292</c:v>
                </c:pt>
                <c:pt idx="67">
                  <c:v>531236635.16179478</c:v>
                </c:pt>
              </c:numCache>
            </c:numRef>
          </c:val>
          <c:smooth val="1"/>
        </c:ser>
        <c:ser>
          <c:idx val="1"/>
          <c:order val="1"/>
          <c:tx>
            <c:v>TVM</c:v>
          </c:tx>
          <c:spPr>
            <a:ln w="28575">
              <a:solidFill>
                <a:schemeClr val="tx1"/>
              </a:solidFill>
              <a:prstDash val="solid"/>
            </a:ln>
          </c:spPr>
          <c:marker>
            <c:symbol val="none"/>
          </c:marker>
          <c:cat>
            <c:numRef>
              <c:f>Manipulação!$A$4:$A$71</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'Médias Ponderadas'!$AG$3:$AG$70</c:f>
              <c:numCache>
                <c:formatCode>_-* #,##0_-;\-* #,##0_-;_-* "-"??_-;_-@_-</c:formatCode>
                <c:ptCount val="68"/>
                <c:pt idx="0">
                  <c:v>23818886.971365448</c:v>
                </c:pt>
                <c:pt idx="1">
                  <c:v>36660820.411841191</c:v>
                </c:pt>
                <c:pt idx="2">
                  <c:v>31589472.971240651</c:v>
                </c:pt>
                <c:pt idx="3">
                  <c:v>32469222.757757399</c:v>
                </c:pt>
                <c:pt idx="4">
                  <c:v>30574570.259835169</c:v>
                </c:pt>
                <c:pt idx="5">
                  <c:v>32590628.17673818</c:v>
                </c:pt>
                <c:pt idx="6">
                  <c:v>36162111.499993205</c:v>
                </c:pt>
                <c:pt idx="7">
                  <c:v>42358132.712609932</c:v>
                </c:pt>
                <c:pt idx="8">
                  <c:v>44030247.485193737</c:v>
                </c:pt>
                <c:pt idx="9">
                  <c:v>46861767.312198013</c:v>
                </c:pt>
                <c:pt idx="10">
                  <c:v>51157082.80344604</c:v>
                </c:pt>
                <c:pt idx="11">
                  <c:v>50813224.23348242</c:v>
                </c:pt>
                <c:pt idx="12">
                  <c:v>55383909.123949982</c:v>
                </c:pt>
                <c:pt idx="13">
                  <c:v>54123056.736541852</c:v>
                </c:pt>
                <c:pt idx="14">
                  <c:v>57789939.278451279</c:v>
                </c:pt>
                <c:pt idx="15">
                  <c:v>57502305.0689715</c:v>
                </c:pt>
                <c:pt idx="16">
                  <c:v>58384737.254456587</c:v>
                </c:pt>
                <c:pt idx="17">
                  <c:v>58875929.517809905</c:v>
                </c:pt>
                <c:pt idx="18">
                  <c:v>56117301.156748004</c:v>
                </c:pt>
                <c:pt idx="19">
                  <c:v>57502305.0689715</c:v>
                </c:pt>
                <c:pt idx="20">
                  <c:v>59222190.993264116</c:v>
                </c:pt>
                <c:pt idx="21">
                  <c:v>58860247.399592355</c:v>
                </c:pt>
                <c:pt idx="22">
                  <c:v>60936198.863449268</c:v>
                </c:pt>
                <c:pt idx="23">
                  <c:v>65334676.236263275</c:v>
                </c:pt>
                <c:pt idx="24">
                  <c:v>65643166.885385968</c:v>
                </c:pt>
                <c:pt idx="25">
                  <c:v>65398394.763903059</c:v>
                </c:pt>
                <c:pt idx="26">
                  <c:v>65992201.611895114</c:v>
                </c:pt>
                <c:pt idx="27">
                  <c:v>65664502.056362979</c:v>
                </c:pt>
                <c:pt idx="28">
                  <c:v>72490034.624196604</c:v>
                </c:pt>
                <c:pt idx="29">
                  <c:v>81533704.513073608</c:v>
                </c:pt>
                <c:pt idx="30">
                  <c:v>79262563.279281557</c:v>
                </c:pt>
                <c:pt idx="31">
                  <c:v>81314766.621359557</c:v>
                </c:pt>
                <c:pt idx="32">
                  <c:v>79946328.355322883</c:v>
                </c:pt>
                <c:pt idx="33">
                  <c:v>76904910.495581344</c:v>
                </c:pt>
                <c:pt idx="34">
                  <c:v>76178609.1413057</c:v>
                </c:pt>
                <c:pt idx="35">
                  <c:v>88144359.600298837</c:v>
                </c:pt>
                <c:pt idx="36">
                  <c:v>90303015.029754922</c:v>
                </c:pt>
                <c:pt idx="37">
                  <c:v>89253764.783609256</c:v>
                </c:pt>
                <c:pt idx="38">
                  <c:v>89980552.226315543</c:v>
                </c:pt>
                <c:pt idx="39">
                  <c:v>90720675.908889845</c:v>
                </c:pt>
                <c:pt idx="40">
                  <c:v>84642976.865878254</c:v>
                </c:pt>
                <c:pt idx="41">
                  <c:v>89764565.426898181</c:v>
                </c:pt>
                <c:pt idx="42">
                  <c:v>95756743.149405643</c:v>
                </c:pt>
                <c:pt idx="43">
                  <c:v>110525445.57170591</c:v>
                </c:pt>
                <c:pt idx="44">
                  <c:v>108091018.03657609</c:v>
                </c:pt>
                <c:pt idx="45">
                  <c:v>111358504.4429494</c:v>
                </c:pt>
                <c:pt idx="46">
                  <c:v>114900144.45491952</c:v>
                </c:pt>
                <c:pt idx="47">
                  <c:v>120885649.774232</c:v>
                </c:pt>
                <c:pt idx="48">
                  <c:v>127005688.09048346</c:v>
                </c:pt>
                <c:pt idx="49">
                  <c:v>138677636.79421139</c:v>
                </c:pt>
                <c:pt idx="50">
                  <c:v>140484805.34081581</c:v>
                </c:pt>
                <c:pt idx="51">
                  <c:v>150355755.35132027</c:v>
                </c:pt>
                <c:pt idx="52">
                  <c:v>140615936.17124262</c:v>
                </c:pt>
                <c:pt idx="53">
                  <c:v>150655971.59492907</c:v>
                </c:pt>
                <c:pt idx="54">
                  <c:v>150656059.86330429</c:v>
                </c:pt>
                <c:pt idx="55">
                  <c:v>158967016.69870836</c:v>
                </c:pt>
                <c:pt idx="56">
                  <c:v>147113123.29498589</c:v>
                </c:pt>
                <c:pt idx="57">
                  <c:v>158495072.66261867</c:v>
                </c:pt>
                <c:pt idx="58">
                  <c:v>157109314.9414514</c:v>
                </c:pt>
                <c:pt idx="59">
                  <c:v>162483476.60460508</c:v>
                </c:pt>
                <c:pt idx="60">
                  <c:v>168783659.68505079</c:v>
                </c:pt>
                <c:pt idx="61">
                  <c:v>172515598.84952953</c:v>
                </c:pt>
                <c:pt idx="62">
                  <c:v>184175701.85628644</c:v>
                </c:pt>
                <c:pt idx="63">
                  <c:v>187024374.06398618</c:v>
                </c:pt>
                <c:pt idx="64">
                  <c:v>186871985.67585909</c:v>
                </c:pt>
                <c:pt idx="65">
                  <c:v>197343561.34413826</c:v>
                </c:pt>
                <c:pt idx="66">
                  <c:v>208136915.88860071</c:v>
                </c:pt>
                <c:pt idx="67">
                  <c:v>220283956.33960626</c:v>
                </c:pt>
              </c:numCache>
            </c:numRef>
          </c:val>
          <c:smooth val="1"/>
        </c:ser>
        <c:dLbls>
          <c:showLegendKey val="0"/>
          <c:showVal val="0"/>
          <c:showCatName val="0"/>
          <c:showSerName val="0"/>
          <c:showPercent val="0"/>
          <c:showBubbleSize val="0"/>
        </c:dLbls>
        <c:marker val="1"/>
        <c:smooth val="0"/>
        <c:axId val="177171840"/>
        <c:axId val="180974720"/>
      </c:lineChart>
      <c:dateAx>
        <c:axId val="177171840"/>
        <c:scaling>
          <c:orientation val="minMax"/>
          <c:max val="42794"/>
          <c:min val="36586"/>
        </c:scaling>
        <c:delete val="0"/>
        <c:axPos val="b"/>
        <c:numFmt formatCode="mmm\-yy" sourceLinked="1"/>
        <c:majorTickMark val="none"/>
        <c:minorTickMark val="none"/>
        <c:tickLblPos val="nextTo"/>
        <c:crossAx val="180974720"/>
        <c:crosses val="autoZero"/>
        <c:auto val="1"/>
        <c:lblOffset val="100"/>
        <c:baseTimeUnit val="months"/>
        <c:majorUnit val="1"/>
        <c:majorTimeUnit val="years"/>
        <c:minorUnit val="1"/>
        <c:minorTimeUnit val="months"/>
      </c:dateAx>
      <c:valAx>
        <c:axId val="180974720"/>
        <c:scaling>
          <c:orientation val="minMax"/>
        </c:scaling>
        <c:delete val="1"/>
        <c:axPos val="l"/>
        <c:numFmt formatCode="_-* #,##0_-;\-* #,##0_-;_-* &quot;-&quot;??_-;_-@_-" sourceLinked="1"/>
        <c:majorTickMark val="none"/>
        <c:minorTickMark val="none"/>
        <c:tickLblPos val="nextTo"/>
        <c:crossAx val="177171840"/>
        <c:crosses val="autoZero"/>
        <c:crossBetween val="midCat"/>
      </c:valAx>
    </c:plotArea>
    <c:legend>
      <c:legendPos val="b"/>
      <c:overlay val="0"/>
    </c:legend>
    <c:plotVisOnly val="1"/>
    <c:dispBlanksAs val="gap"/>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BB</c:v>
          </c:tx>
          <c:spPr>
            <a:ln>
              <a:solidFill>
                <a:schemeClr val="accent1"/>
              </a:solidFill>
            </a:ln>
          </c:spPr>
          <c:marker>
            <c:symbol val="none"/>
          </c:marker>
          <c:cat>
            <c:numRef>
              <c:f>'[Balanços1 final.xlsx]Índices'!$A$3:$A$70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final.xlsx]Índices'!$B$3:$B$70</c:f>
              <c:numCache>
                <c:formatCode>0%</c:formatCode>
                <c:ptCount val="68"/>
                <c:pt idx="0">
                  <c:v>0.29511858015756004</c:v>
                </c:pt>
                <c:pt idx="1">
                  <c:v>0.38965444406681643</c:v>
                </c:pt>
                <c:pt idx="2">
                  <c:v>0.34902657718443608</c:v>
                </c:pt>
                <c:pt idx="3">
                  <c:v>0.36943177013147538</c:v>
                </c:pt>
                <c:pt idx="4">
                  <c:v>0.31896156734562697</c:v>
                </c:pt>
                <c:pt idx="5">
                  <c:v>0.33995084349998006</c:v>
                </c:pt>
                <c:pt idx="6">
                  <c:v>0.33272755430486312</c:v>
                </c:pt>
                <c:pt idx="7">
                  <c:v>0.37829584267565364</c:v>
                </c:pt>
                <c:pt idx="8">
                  <c:v>0.38510487171351709</c:v>
                </c:pt>
                <c:pt idx="9">
                  <c:v>0.40368857037140637</c:v>
                </c:pt>
                <c:pt idx="10">
                  <c:v>0.35504211494191817</c:v>
                </c:pt>
                <c:pt idx="11">
                  <c:v>0.34674793091321349</c:v>
                </c:pt>
                <c:pt idx="12">
                  <c:v>0.36145415248964941</c:v>
                </c:pt>
                <c:pt idx="13">
                  <c:v>0.35354371059129719</c:v>
                </c:pt>
                <c:pt idx="14">
                  <c:v>0.34422772828070403</c:v>
                </c:pt>
                <c:pt idx="15">
                  <c:v>0.30745193182982483</c:v>
                </c:pt>
                <c:pt idx="16">
                  <c:v>0.29369309506336078</c:v>
                </c:pt>
                <c:pt idx="17">
                  <c:v>0.30722305902105795</c:v>
                </c:pt>
                <c:pt idx="18">
                  <c:v>0.30186861552365851</c:v>
                </c:pt>
                <c:pt idx="19">
                  <c:v>0.30745193182982483</c:v>
                </c:pt>
                <c:pt idx="20">
                  <c:v>0.30156200190357291</c:v>
                </c:pt>
                <c:pt idx="21">
                  <c:v>0.29501762185278529</c:v>
                </c:pt>
                <c:pt idx="22">
                  <c:v>0.27945925513748165</c:v>
                </c:pt>
                <c:pt idx="23">
                  <c:v>0.26275163019966069</c:v>
                </c:pt>
                <c:pt idx="24">
                  <c:v>0.25934321307233649</c:v>
                </c:pt>
                <c:pt idx="25">
                  <c:v>0.25749467795605907</c:v>
                </c:pt>
                <c:pt idx="26">
                  <c:v>0.26134722658934473</c:v>
                </c:pt>
                <c:pt idx="27">
                  <c:v>0.24607918480753407</c:v>
                </c:pt>
                <c:pt idx="28">
                  <c:v>0.22732335299025247</c:v>
                </c:pt>
                <c:pt idx="29">
                  <c:v>0.21595100688033972</c:v>
                </c:pt>
                <c:pt idx="30">
                  <c:v>0.2160290021005257</c:v>
                </c:pt>
                <c:pt idx="31">
                  <c:v>0.20977182117525495</c:v>
                </c:pt>
                <c:pt idx="32">
                  <c:v>0.17813631251307771</c:v>
                </c:pt>
                <c:pt idx="33">
                  <c:v>0.17430582765452418</c:v>
                </c:pt>
                <c:pt idx="34">
                  <c:v>0.16402950624528029</c:v>
                </c:pt>
                <c:pt idx="35">
                  <c:v>0.14432557193274081</c:v>
                </c:pt>
                <c:pt idx="36">
                  <c:v>0.16644599753265868</c:v>
                </c:pt>
                <c:pt idx="37">
                  <c:v>0.16093788336206741</c:v>
                </c:pt>
                <c:pt idx="38">
                  <c:v>0.16836162380560052</c:v>
                </c:pt>
                <c:pt idx="39">
                  <c:v>0.15498537847284438</c:v>
                </c:pt>
                <c:pt idx="40">
                  <c:v>0.14305930373320017</c:v>
                </c:pt>
                <c:pt idx="41">
                  <c:v>0.14410393822114934</c:v>
                </c:pt>
                <c:pt idx="42">
                  <c:v>0.14069506004918048</c:v>
                </c:pt>
                <c:pt idx="43">
                  <c:v>0.14297536648935527</c:v>
                </c:pt>
                <c:pt idx="44">
                  <c:v>0.13383157096622972</c:v>
                </c:pt>
                <c:pt idx="45">
                  <c:v>0.13352191830770793</c:v>
                </c:pt>
                <c:pt idx="46">
                  <c:v>0.1276463501097452</c:v>
                </c:pt>
                <c:pt idx="47">
                  <c:v>0.12969580180601872</c:v>
                </c:pt>
                <c:pt idx="48">
                  <c:v>0.11049911326947238</c:v>
                </c:pt>
                <c:pt idx="49">
                  <c:v>0.11460687086593752</c:v>
                </c:pt>
                <c:pt idx="50">
                  <c:v>0.1188057520594045</c:v>
                </c:pt>
                <c:pt idx="51">
                  <c:v>0.11321390448681112</c:v>
                </c:pt>
                <c:pt idx="52">
                  <c:v>0.10557469797474771</c:v>
                </c:pt>
                <c:pt idx="53">
                  <c:v>0.10775228146732599</c:v>
                </c:pt>
                <c:pt idx="54">
                  <c:v>0.10510377652180278</c:v>
                </c:pt>
                <c:pt idx="55">
                  <c:v>0.10326188278653316</c:v>
                </c:pt>
                <c:pt idx="56">
                  <c:v>9.0850189259533892E-2</c:v>
                </c:pt>
                <c:pt idx="57">
                  <c:v>9.2138468275076782E-2</c:v>
                </c:pt>
                <c:pt idx="58">
                  <c:v>8.7990244608122353E-2</c:v>
                </c:pt>
                <c:pt idx="59">
                  <c:v>9.1696879671694972E-2</c:v>
                </c:pt>
                <c:pt idx="60">
                  <c:v>9.0302761150382604E-2</c:v>
                </c:pt>
                <c:pt idx="61">
                  <c:v>8.6211730973323547E-2</c:v>
                </c:pt>
                <c:pt idx="62">
                  <c:v>8.774833506888155E-2</c:v>
                </c:pt>
                <c:pt idx="63">
                  <c:v>9.0708018604450297E-2</c:v>
                </c:pt>
                <c:pt idx="64">
                  <c:v>9.364133307921492E-2</c:v>
                </c:pt>
                <c:pt idx="65">
                  <c:v>8.997575527385776E-2</c:v>
                </c:pt>
                <c:pt idx="66">
                  <c:v>9.3159804464104642E-2</c:v>
                </c:pt>
                <c:pt idx="67">
                  <c:v>9.267300976633569E-2</c:v>
                </c:pt>
              </c:numCache>
            </c:numRef>
          </c:val>
          <c:smooth val="0"/>
        </c:ser>
        <c:ser>
          <c:idx val="6"/>
          <c:order val="1"/>
          <c:tx>
            <c:v>CEF</c:v>
          </c:tx>
          <c:spPr>
            <a:ln>
              <a:solidFill>
                <a:schemeClr val="tx1">
                  <a:lumMod val="50000"/>
                  <a:lumOff val="50000"/>
                </a:schemeClr>
              </a:solidFill>
            </a:ln>
          </c:spPr>
          <c:marker>
            <c:symbol val="none"/>
          </c:marker>
          <c:cat>
            <c:numRef>
              <c:f>'[Balanços1 final.xlsx]Índices'!$A$3:$A$70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final.xlsx]Índices'!$H$3:$H$70</c:f>
              <c:numCache>
                <c:formatCode>0%</c:formatCode>
                <c:ptCount val="68"/>
                <c:pt idx="0">
                  <c:v>0.11439071795338049</c:v>
                </c:pt>
                <c:pt idx="1">
                  <c:v>0.1093710361197474</c:v>
                </c:pt>
                <c:pt idx="2">
                  <c:v>7.1628189930070876E-2</c:v>
                </c:pt>
                <c:pt idx="3">
                  <c:v>7.4189880395295241E-2</c:v>
                </c:pt>
                <c:pt idx="4">
                  <c:v>8.3172363759124568E-2</c:v>
                </c:pt>
                <c:pt idx="5">
                  <c:v>0.21483349682284517</c:v>
                </c:pt>
                <c:pt idx="6">
                  <c:v>0.36119845071661594</c:v>
                </c:pt>
                <c:pt idx="7">
                  <c:v>0.42072544268959644</c:v>
                </c:pt>
                <c:pt idx="8">
                  <c:v>0.41460001240086169</c:v>
                </c:pt>
                <c:pt idx="9">
                  <c:v>0.4290703862026885</c:v>
                </c:pt>
                <c:pt idx="10">
                  <c:v>0.41323691732892726</c:v>
                </c:pt>
                <c:pt idx="11">
                  <c:v>0.44672481648863782</c:v>
                </c:pt>
                <c:pt idx="12">
                  <c:v>0.44312465506678395</c:v>
                </c:pt>
                <c:pt idx="13">
                  <c:v>0.47306098234965166</c:v>
                </c:pt>
                <c:pt idx="14">
                  <c:v>0.51421019960947434</c:v>
                </c:pt>
                <c:pt idx="15">
                  <c:v>0.49283148949966415</c:v>
                </c:pt>
                <c:pt idx="16">
                  <c:v>0.50292524164881514</c:v>
                </c:pt>
                <c:pt idx="17">
                  <c:v>0.47281499519842579</c:v>
                </c:pt>
                <c:pt idx="18">
                  <c:v>0.47676475100608201</c:v>
                </c:pt>
                <c:pt idx="19">
                  <c:v>0.49283148949966415</c:v>
                </c:pt>
                <c:pt idx="20">
                  <c:v>0.48985985730890219</c:v>
                </c:pt>
                <c:pt idx="21">
                  <c:v>0.47656956574378367</c:v>
                </c:pt>
                <c:pt idx="22">
                  <c:v>0.4774254806843492</c:v>
                </c:pt>
                <c:pt idx="23">
                  <c:v>0.49534485166211595</c:v>
                </c:pt>
                <c:pt idx="24">
                  <c:v>0.49524793937649825</c:v>
                </c:pt>
                <c:pt idx="25">
                  <c:v>0.46000778403787951</c:v>
                </c:pt>
                <c:pt idx="26">
                  <c:v>0.45924187484193696</c:v>
                </c:pt>
                <c:pt idx="27">
                  <c:v>0.44709234235293005</c:v>
                </c:pt>
                <c:pt idx="28">
                  <c:v>0.48637902552880224</c:v>
                </c:pt>
                <c:pt idx="29">
                  <c:v>0.52201660672310501</c:v>
                </c:pt>
                <c:pt idx="30">
                  <c:v>0.49664162006447854</c:v>
                </c:pt>
                <c:pt idx="31">
                  <c:v>0.48978468997395774</c:v>
                </c:pt>
                <c:pt idx="32">
                  <c:v>0.47709000687597042</c:v>
                </c:pt>
                <c:pt idx="33">
                  <c:v>0.43994880043958823</c:v>
                </c:pt>
                <c:pt idx="34">
                  <c:v>0.40717075679454301</c:v>
                </c:pt>
                <c:pt idx="35">
                  <c:v>0.40748084797012762</c:v>
                </c:pt>
                <c:pt idx="36">
                  <c:v>0.37736613004458164</c:v>
                </c:pt>
                <c:pt idx="37">
                  <c:v>0.37413868216537183</c:v>
                </c:pt>
                <c:pt idx="38">
                  <c:v>0.31733470039412531</c:v>
                </c:pt>
                <c:pt idx="39">
                  <c:v>0.34651608197402967</c:v>
                </c:pt>
                <c:pt idx="40">
                  <c:v>0.28841865897338936</c:v>
                </c:pt>
                <c:pt idx="41">
                  <c:v>0.28883001967529776</c:v>
                </c:pt>
                <c:pt idx="42">
                  <c:v>0.26972455201139078</c:v>
                </c:pt>
                <c:pt idx="43">
                  <c:v>0.27048304600586792</c:v>
                </c:pt>
                <c:pt idx="44">
                  <c:v>0.2387124667947578</c:v>
                </c:pt>
                <c:pt idx="45">
                  <c:v>0.23358571007022114</c:v>
                </c:pt>
                <c:pt idx="46">
                  <c:v>0.22550734759219657</c:v>
                </c:pt>
                <c:pt idx="47">
                  <c:v>0.23365483460801387</c:v>
                </c:pt>
                <c:pt idx="48">
                  <c:v>0.20447876305712964</c:v>
                </c:pt>
                <c:pt idx="49">
                  <c:v>0.21415418342577758</c:v>
                </c:pt>
                <c:pt idx="50">
                  <c:v>0.18637546230632043</c:v>
                </c:pt>
                <c:pt idx="51">
                  <c:v>0.19698037213907915</c:v>
                </c:pt>
                <c:pt idx="52">
                  <c:v>0.191432255020692</c:v>
                </c:pt>
                <c:pt idx="53">
                  <c:v>0.19068392474314785</c:v>
                </c:pt>
                <c:pt idx="54">
                  <c:v>0.18044643277895364</c:v>
                </c:pt>
                <c:pt idx="55">
                  <c:v>0.18948296519300434</c:v>
                </c:pt>
                <c:pt idx="56">
                  <c:v>0.16553219550558379</c:v>
                </c:pt>
                <c:pt idx="57">
                  <c:v>0.17225162658438053</c:v>
                </c:pt>
                <c:pt idx="58">
                  <c:v>0.16374102600570509</c:v>
                </c:pt>
                <c:pt idx="59">
                  <c:v>0.15679106580447313</c:v>
                </c:pt>
                <c:pt idx="60">
                  <c:v>0.16046351553026683</c:v>
                </c:pt>
                <c:pt idx="61">
                  <c:v>0.15188807888463743</c:v>
                </c:pt>
                <c:pt idx="62">
                  <c:v>0.15025699615676336</c:v>
                </c:pt>
                <c:pt idx="63">
                  <c:v>0.15055257242803924</c:v>
                </c:pt>
                <c:pt idx="64">
                  <c:v>0.14452101143003621</c:v>
                </c:pt>
                <c:pt idx="65">
                  <c:v>0.14848032956697071</c:v>
                </c:pt>
                <c:pt idx="66">
                  <c:v>0.14698823995892787</c:v>
                </c:pt>
                <c:pt idx="67">
                  <c:v>0.14371081860718576</c:v>
                </c:pt>
              </c:numCache>
            </c:numRef>
          </c:val>
          <c:smooth val="0"/>
        </c:ser>
        <c:ser>
          <c:idx val="12"/>
          <c:order val="2"/>
          <c:tx>
            <c:v>Bradesco</c:v>
          </c:tx>
          <c:spPr>
            <a:ln w="31750">
              <a:solidFill>
                <a:schemeClr val="tx1">
                  <a:lumMod val="85000"/>
                  <a:lumOff val="15000"/>
                </a:schemeClr>
              </a:solidFill>
            </a:ln>
          </c:spPr>
          <c:marker>
            <c:symbol val="none"/>
          </c:marker>
          <c:cat>
            <c:numRef>
              <c:f>'[Balanços1 final.xlsx]Índices'!$A$3:$A$70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final.xlsx]Índices'!$N$3:$N$70</c:f>
              <c:numCache>
                <c:formatCode>0%</c:formatCode>
                <c:ptCount val="68"/>
                <c:pt idx="0">
                  <c:v>0.22788269370805045</c:v>
                </c:pt>
                <c:pt idx="1">
                  <c:v>0.26311223641253079</c:v>
                </c:pt>
                <c:pt idx="2">
                  <c:v>0.25306226305446083</c:v>
                </c:pt>
                <c:pt idx="3">
                  <c:v>0.2626154486399061</c:v>
                </c:pt>
                <c:pt idx="4">
                  <c:v>0.24902028649562269</c:v>
                </c:pt>
                <c:pt idx="5">
                  <c:v>0.24001361523418904</c:v>
                </c:pt>
                <c:pt idx="6">
                  <c:v>0.23139953709078731</c:v>
                </c:pt>
                <c:pt idx="7">
                  <c:v>0.26039719729506311</c:v>
                </c:pt>
                <c:pt idx="8">
                  <c:v>0.20778625971420076</c:v>
                </c:pt>
                <c:pt idx="9">
                  <c:v>0.19195330917094916</c:v>
                </c:pt>
                <c:pt idx="10">
                  <c:v>0.15595720987020145</c:v>
                </c:pt>
                <c:pt idx="11">
                  <c:v>0.13799701236233944</c:v>
                </c:pt>
                <c:pt idx="12">
                  <c:v>9.4921320886753008E-2</c:v>
                </c:pt>
                <c:pt idx="13">
                  <c:v>0.13822474225150061</c:v>
                </c:pt>
                <c:pt idx="14">
                  <c:v>0.15251446744762692</c:v>
                </c:pt>
                <c:pt idx="15">
                  <c:v>0.16808475935690143</c:v>
                </c:pt>
                <c:pt idx="16">
                  <c:v>0.16805824060387733</c:v>
                </c:pt>
                <c:pt idx="17">
                  <c:v>0.16229480185104822</c:v>
                </c:pt>
                <c:pt idx="18">
                  <c:v>0.15559139350069898</c:v>
                </c:pt>
                <c:pt idx="19">
                  <c:v>0.16808475935690143</c:v>
                </c:pt>
                <c:pt idx="20">
                  <c:v>0.16131432694062361</c:v>
                </c:pt>
                <c:pt idx="21">
                  <c:v>0.14778572010139482</c:v>
                </c:pt>
                <c:pt idx="22">
                  <c:v>0.12621278123069457</c:v>
                </c:pt>
                <c:pt idx="23">
                  <c:v>9.9108241858403071E-2</c:v>
                </c:pt>
                <c:pt idx="24">
                  <c:v>0.10523282942069183</c:v>
                </c:pt>
                <c:pt idx="25">
                  <c:v>8.6807334138538902E-2</c:v>
                </c:pt>
                <c:pt idx="26">
                  <c:v>8.2620194277147105E-2</c:v>
                </c:pt>
                <c:pt idx="27">
                  <c:v>0.16300557615406408</c:v>
                </c:pt>
                <c:pt idx="28">
                  <c:v>0.13965068628625393</c:v>
                </c:pt>
                <c:pt idx="29">
                  <c:v>0.14852862300733249</c:v>
                </c:pt>
                <c:pt idx="30">
                  <c:v>0.1394104077472833</c:v>
                </c:pt>
                <c:pt idx="31">
                  <c:v>0.14572053397289805</c:v>
                </c:pt>
                <c:pt idx="32">
                  <c:v>0.10312087746204618</c:v>
                </c:pt>
                <c:pt idx="33">
                  <c:v>0.12179811195808347</c:v>
                </c:pt>
                <c:pt idx="34">
                  <c:v>0.14587652022912484</c:v>
                </c:pt>
                <c:pt idx="35">
                  <c:v>0.13148261387277585</c:v>
                </c:pt>
                <c:pt idx="36">
                  <c:v>0.1230110860231664</c:v>
                </c:pt>
                <c:pt idx="37">
                  <c:v>0.15003828374374933</c:v>
                </c:pt>
                <c:pt idx="38">
                  <c:v>0.14398958466053105</c:v>
                </c:pt>
                <c:pt idx="39">
                  <c:v>0.12835474248195383</c:v>
                </c:pt>
                <c:pt idx="40">
                  <c:v>0.13664325951010348</c:v>
                </c:pt>
                <c:pt idx="41">
                  <c:v>0.12524258495157317</c:v>
                </c:pt>
                <c:pt idx="42">
                  <c:v>0.17632295202326012</c:v>
                </c:pt>
                <c:pt idx="43">
                  <c:v>0.19452233351059914</c:v>
                </c:pt>
                <c:pt idx="44">
                  <c:v>0.18391439619598504</c:v>
                </c:pt>
                <c:pt idx="45">
                  <c:v>0.1964604998723995</c:v>
                </c:pt>
                <c:pt idx="46">
                  <c:v>0.20261893572284406</c:v>
                </c:pt>
                <c:pt idx="47">
                  <c:v>0.21648820371207814</c:v>
                </c:pt>
                <c:pt idx="48">
                  <c:v>0.24414434888025724</c:v>
                </c:pt>
                <c:pt idx="49">
                  <c:v>0.2561791704128793</c:v>
                </c:pt>
                <c:pt idx="50">
                  <c:v>0.23815476380304806</c:v>
                </c:pt>
                <c:pt idx="51">
                  <c:v>0.21842199787412686</c:v>
                </c:pt>
                <c:pt idx="52">
                  <c:v>0.19816536108331104</c:v>
                </c:pt>
                <c:pt idx="53">
                  <c:v>0.20978331773849904</c:v>
                </c:pt>
                <c:pt idx="54">
                  <c:v>0.21046820670815666</c:v>
                </c:pt>
                <c:pt idx="55">
                  <c:v>0.206563268639052</c:v>
                </c:pt>
                <c:pt idx="56">
                  <c:v>0.21185879548513636</c:v>
                </c:pt>
                <c:pt idx="57">
                  <c:v>0.21684362509425584</c:v>
                </c:pt>
                <c:pt idx="58">
                  <c:v>0.21336414469794607</c:v>
                </c:pt>
                <c:pt idx="59">
                  <c:v>0.19785761995302417</c:v>
                </c:pt>
                <c:pt idx="60">
                  <c:v>0.19220734348744598</c:v>
                </c:pt>
                <c:pt idx="61">
                  <c:v>0.19840840371626925</c:v>
                </c:pt>
                <c:pt idx="62">
                  <c:v>0.19944547813141308</c:v>
                </c:pt>
                <c:pt idx="63">
                  <c:v>0.23222847777468503</c:v>
                </c:pt>
                <c:pt idx="64">
                  <c:v>0.22807094612534157</c:v>
                </c:pt>
                <c:pt idx="65">
                  <c:v>0.23852292023842081</c:v>
                </c:pt>
                <c:pt idx="66">
                  <c:v>0.25508144704598401</c:v>
                </c:pt>
                <c:pt idx="67">
                  <c:v>0.27474622045924857</c:v>
                </c:pt>
              </c:numCache>
            </c:numRef>
          </c:val>
          <c:smooth val="0"/>
        </c:ser>
        <c:ser>
          <c:idx val="18"/>
          <c:order val="3"/>
          <c:tx>
            <c:v>Itaú</c:v>
          </c:tx>
          <c:spPr>
            <a:ln>
              <a:solidFill>
                <a:srgbClr val="FF0000"/>
              </a:solidFill>
            </a:ln>
          </c:spPr>
          <c:marker>
            <c:symbol val="none"/>
          </c:marker>
          <c:cat>
            <c:numRef>
              <c:f>'[Balanços1 final.xlsx]Índices'!$A$3:$A$70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final.xlsx]Índices'!$T$3:$T$70</c:f>
              <c:numCache>
                <c:formatCode>0%</c:formatCode>
                <c:ptCount val="68"/>
                <c:pt idx="0">
                  <c:v>0.24755965391657908</c:v>
                </c:pt>
                <c:pt idx="1">
                  <c:v>0.2067004580440574</c:v>
                </c:pt>
                <c:pt idx="2">
                  <c:v>0.2303367069751098</c:v>
                </c:pt>
                <c:pt idx="3">
                  <c:v>0.24097679542624992</c:v>
                </c:pt>
                <c:pt idx="4">
                  <c:v>0.2214154713048728</c:v>
                </c:pt>
                <c:pt idx="5">
                  <c:v>0.20220593501731701</c:v>
                </c:pt>
                <c:pt idx="6">
                  <c:v>0.19392842066070681</c:v>
                </c:pt>
                <c:pt idx="7">
                  <c:v>0.19014612657415789</c:v>
                </c:pt>
                <c:pt idx="8">
                  <c:v>0.18863278032751701</c:v>
                </c:pt>
                <c:pt idx="9">
                  <c:v>0.18023205189641486</c:v>
                </c:pt>
                <c:pt idx="10">
                  <c:v>0.19040741317938004</c:v>
                </c:pt>
                <c:pt idx="11">
                  <c:v>0.18628302498338253</c:v>
                </c:pt>
                <c:pt idx="12">
                  <c:v>0.18455631743793174</c:v>
                </c:pt>
                <c:pt idx="13">
                  <c:v>0.18500247718688323</c:v>
                </c:pt>
                <c:pt idx="14">
                  <c:v>0.19007827119860457</c:v>
                </c:pt>
                <c:pt idx="15">
                  <c:v>0.13394199516656091</c:v>
                </c:pt>
                <c:pt idx="16">
                  <c:v>0.15780124189978365</c:v>
                </c:pt>
                <c:pt idx="17">
                  <c:v>0.15259073537711471</c:v>
                </c:pt>
                <c:pt idx="18">
                  <c:v>0.12636194341860871</c:v>
                </c:pt>
                <c:pt idx="19">
                  <c:v>0.13394199516656091</c:v>
                </c:pt>
                <c:pt idx="20">
                  <c:v>0.1191410576991889</c:v>
                </c:pt>
                <c:pt idx="21">
                  <c:v>0.11573420071133993</c:v>
                </c:pt>
                <c:pt idx="22">
                  <c:v>0.11861016525529144</c:v>
                </c:pt>
                <c:pt idx="23">
                  <c:v>0.12286143264796336</c:v>
                </c:pt>
                <c:pt idx="24">
                  <c:v>0.12924365005538913</c:v>
                </c:pt>
                <c:pt idx="25">
                  <c:v>0.12500417880932754</c:v>
                </c:pt>
                <c:pt idx="26">
                  <c:v>0.12356023027163388</c:v>
                </c:pt>
                <c:pt idx="27">
                  <c:v>0.1327740023857629</c:v>
                </c:pt>
                <c:pt idx="28">
                  <c:v>0.16728171021651217</c:v>
                </c:pt>
                <c:pt idx="29">
                  <c:v>0.15921475076532901</c:v>
                </c:pt>
                <c:pt idx="30">
                  <c:v>0.14233139322217156</c:v>
                </c:pt>
                <c:pt idx="31">
                  <c:v>0.13019745260299279</c:v>
                </c:pt>
                <c:pt idx="32">
                  <c:v>0.14369312813530299</c:v>
                </c:pt>
                <c:pt idx="33">
                  <c:v>0.12946194782797535</c:v>
                </c:pt>
                <c:pt idx="34">
                  <c:v>0.13187936134906042</c:v>
                </c:pt>
                <c:pt idx="35">
                  <c:v>0.15498774411042865</c:v>
                </c:pt>
                <c:pt idx="36">
                  <c:v>0.15240394611275671</c:v>
                </c:pt>
                <c:pt idx="37">
                  <c:v>0.14010171786419304</c:v>
                </c:pt>
                <c:pt idx="38">
                  <c:v>0.13033152619888619</c:v>
                </c:pt>
                <c:pt idx="39">
                  <c:v>0.12398742467035241</c:v>
                </c:pt>
                <c:pt idx="40">
                  <c:v>0.11847559251409016</c:v>
                </c:pt>
                <c:pt idx="41">
                  <c:v>0.12429300801473167</c:v>
                </c:pt>
                <c:pt idx="42">
                  <c:v>0.13478045007053641</c:v>
                </c:pt>
                <c:pt idx="43">
                  <c:v>0.18581982930807603</c:v>
                </c:pt>
                <c:pt idx="44">
                  <c:v>0.17066654443767176</c:v>
                </c:pt>
                <c:pt idx="45">
                  <c:v>0.1593063506831322</c:v>
                </c:pt>
                <c:pt idx="46">
                  <c:v>0.15366902105749947</c:v>
                </c:pt>
                <c:pt idx="47">
                  <c:v>0.15068476847837112</c:v>
                </c:pt>
                <c:pt idx="48">
                  <c:v>0.15393187980994244</c:v>
                </c:pt>
                <c:pt idx="49">
                  <c:v>0.16812165037982774</c:v>
                </c:pt>
                <c:pt idx="50">
                  <c:v>0.17311763216540721</c:v>
                </c:pt>
                <c:pt idx="51">
                  <c:v>0.20282962746005515</c:v>
                </c:pt>
                <c:pt idx="52">
                  <c:v>0.18030822628630155</c:v>
                </c:pt>
                <c:pt idx="53">
                  <c:v>0.18772689987089483</c:v>
                </c:pt>
                <c:pt idx="54">
                  <c:v>0.18206074518226167</c:v>
                </c:pt>
                <c:pt idx="55">
                  <c:v>0.20035111454340704</c:v>
                </c:pt>
                <c:pt idx="56">
                  <c:v>0.16673955575864269</c:v>
                </c:pt>
                <c:pt idx="57">
                  <c:v>0.18705850789426795</c:v>
                </c:pt>
                <c:pt idx="58">
                  <c:v>0.16857900635098808</c:v>
                </c:pt>
                <c:pt idx="59">
                  <c:v>0.17158963490281498</c:v>
                </c:pt>
                <c:pt idx="60">
                  <c:v>0.17568088626629255</c:v>
                </c:pt>
                <c:pt idx="61">
                  <c:v>0.19143923365712734</c:v>
                </c:pt>
                <c:pt idx="62">
                  <c:v>0.19418212783793157</c:v>
                </c:pt>
                <c:pt idx="63">
                  <c:v>0.17876174902293299</c:v>
                </c:pt>
                <c:pt idx="64">
                  <c:v>0.18575410670195636</c:v>
                </c:pt>
                <c:pt idx="65">
                  <c:v>0.18492532914190252</c:v>
                </c:pt>
                <c:pt idx="66">
                  <c:v>0.17701092124382445</c:v>
                </c:pt>
                <c:pt idx="67">
                  <c:v>0.1795747437030078</c:v>
                </c:pt>
              </c:numCache>
            </c:numRef>
          </c:val>
          <c:smooth val="0"/>
        </c:ser>
        <c:ser>
          <c:idx val="5"/>
          <c:order val="4"/>
          <c:tx>
            <c:v>Santander</c:v>
          </c:tx>
          <c:spPr>
            <a:ln>
              <a:solidFill>
                <a:schemeClr val="bg2">
                  <a:lumMod val="50000"/>
                </a:schemeClr>
              </a:solidFill>
            </a:ln>
          </c:spPr>
          <c:marker>
            <c:symbol val="none"/>
          </c:marker>
          <c:cat>
            <c:numRef>
              <c:f>'[Balanços1 final.xlsx]Índices'!$A$3:$A$70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final.xlsx]Índices'!$Z$3:$Z$70</c:f>
              <c:numCache>
                <c:formatCode>0%</c:formatCode>
                <c:ptCount val="68"/>
                <c:pt idx="0">
                  <c:v>0.34665035063409949</c:v>
                </c:pt>
                <c:pt idx="1">
                  <c:v>0.3438012427687831</c:v>
                </c:pt>
                <c:pt idx="2">
                  <c:v>0.40576521410917643</c:v>
                </c:pt>
                <c:pt idx="3">
                  <c:v>0.46153021907079844</c:v>
                </c:pt>
                <c:pt idx="4">
                  <c:v>0.47412684821456924</c:v>
                </c:pt>
                <c:pt idx="5">
                  <c:v>0.45251954734823935</c:v>
                </c:pt>
                <c:pt idx="6">
                  <c:v>0.4540276700302725</c:v>
                </c:pt>
                <c:pt idx="7">
                  <c:v>0.45834071178452535</c:v>
                </c:pt>
                <c:pt idx="8">
                  <c:v>0.42029063408281914</c:v>
                </c:pt>
                <c:pt idx="9">
                  <c:v>0.41811907673791349</c:v>
                </c:pt>
                <c:pt idx="10">
                  <c:v>0.33777092765127753</c:v>
                </c:pt>
                <c:pt idx="11">
                  <c:v>0.37723872271497899</c:v>
                </c:pt>
                <c:pt idx="12">
                  <c:v>0.32532730147468886</c:v>
                </c:pt>
                <c:pt idx="13">
                  <c:v>0.33072284750862729</c:v>
                </c:pt>
                <c:pt idx="14">
                  <c:v>0.31803244132400044</c:v>
                </c:pt>
                <c:pt idx="15">
                  <c:v>0.35733528724848868</c:v>
                </c:pt>
                <c:pt idx="16">
                  <c:v>0.36406157225712871</c:v>
                </c:pt>
                <c:pt idx="17">
                  <c:v>0.31147310255386762</c:v>
                </c:pt>
                <c:pt idx="18">
                  <c:v>0.34491544712087308</c:v>
                </c:pt>
                <c:pt idx="19">
                  <c:v>0.35733528724848868</c:v>
                </c:pt>
                <c:pt idx="20">
                  <c:v>0.38730836023887383</c:v>
                </c:pt>
                <c:pt idx="21">
                  <c:v>0.3252891510928605</c:v>
                </c:pt>
                <c:pt idx="22">
                  <c:v>0.28775066806111427</c:v>
                </c:pt>
                <c:pt idx="23">
                  <c:v>0.33601465943260406</c:v>
                </c:pt>
                <c:pt idx="24">
                  <c:v>0.36816806073530844</c:v>
                </c:pt>
                <c:pt idx="25">
                  <c:v>0.33894799394083558</c:v>
                </c:pt>
                <c:pt idx="26">
                  <c:v>0.32241107070122887</c:v>
                </c:pt>
                <c:pt idx="27">
                  <c:v>0.38690821131062708</c:v>
                </c:pt>
                <c:pt idx="28">
                  <c:v>0.2240727948601503</c:v>
                </c:pt>
                <c:pt idx="29">
                  <c:v>0.17988996364231497</c:v>
                </c:pt>
                <c:pt idx="30">
                  <c:v>0.16699924505983346</c:v>
                </c:pt>
                <c:pt idx="31">
                  <c:v>0.17497680391436057</c:v>
                </c:pt>
                <c:pt idx="32">
                  <c:v>0.17749459350373042</c:v>
                </c:pt>
                <c:pt idx="33">
                  <c:v>0.17358992643923804</c:v>
                </c:pt>
                <c:pt idx="34">
                  <c:v>0.13942398287905231</c:v>
                </c:pt>
                <c:pt idx="35">
                  <c:v>0.14830859473705135</c:v>
                </c:pt>
                <c:pt idx="36">
                  <c:v>0.15065973082451634</c:v>
                </c:pt>
                <c:pt idx="37">
                  <c:v>0.14170844084444845</c:v>
                </c:pt>
                <c:pt idx="38">
                  <c:v>0.1765410539042109</c:v>
                </c:pt>
                <c:pt idx="39">
                  <c:v>0.18187668110110414</c:v>
                </c:pt>
                <c:pt idx="40">
                  <c:v>0.16380427065973424</c:v>
                </c:pt>
                <c:pt idx="41">
                  <c:v>0.19831367660372606</c:v>
                </c:pt>
                <c:pt idx="42">
                  <c:v>0.16565371842848492</c:v>
                </c:pt>
                <c:pt idx="43">
                  <c:v>0.18090819274035114</c:v>
                </c:pt>
                <c:pt idx="44">
                  <c:v>0.18059989717899644</c:v>
                </c:pt>
                <c:pt idx="45">
                  <c:v>0.20007364490164076</c:v>
                </c:pt>
                <c:pt idx="46">
                  <c:v>0.17213793161245122</c:v>
                </c:pt>
                <c:pt idx="47">
                  <c:v>0.17048310227681615</c:v>
                </c:pt>
                <c:pt idx="48">
                  <c:v>0.14612853880761614</c:v>
                </c:pt>
                <c:pt idx="49">
                  <c:v>0.16406351848777576</c:v>
                </c:pt>
                <c:pt idx="50">
                  <c:v>0.14693190475452556</c:v>
                </c:pt>
                <c:pt idx="51">
                  <c:v>0.17387455594020787</c:v>
                </c:pt>
                <c:pt idx="52">
                  <c:v>0.16335846375275614</c:v>
                </c:pt>
                <c:pt idx="53">
                  <c:v>0.16887448827277984</c:v>
                </c:pt>
                <c:pt idx="54">
                  <c:v>0.15752057843301154</c:v>
                </c:pt>
                <c:pt idx="55">
                  <c:v>0.16461638110790555</c:v>
                </c:pt>
                <c:pt idx="56">
                  <c:v>0.19780292192371013</c:v>
                </c:pt>
                <c:pt idx="57">
                  <c:v>0.21307314490905871</c:v>
                </c:pt>
                <c:pt idx="58">
                  <c:v>0.20168105736644037</c:v>
                </c:pt>
                <c:pt idx="59">
                  <c:v>0.22833253051640837</c:v>
                </c:pt>
                <c:pt idx="60">
                  <c:v>0.21669953396154512</c:v>
                </c:pt>
                <c:pt idx="61">
                  <c:v>0.24366321249649062</c:v>
                </c:pt>
                <c:pt idx="62">
                  <c:v>0.21898195000191031</c:v>
                </c:pt>
                <c:pt idx="63">
                  <c:v>0.21014483847315035</c:v>
                </c:pt>
                <c:pt idx="64">
                  <c:v>0.22846985773655665</c:v>
                </c:pt>
                <c:pt idx="65">
                  <c:v>0.2285214369371853</c:v>
                </c:pt>
                <c:pt idx="66">
                  <c:v>0.23127373888678787</c:v>
                </c:pt>
                <c:pt idx="67">
                  <c:v>0.24097772233321357</c:v>
                </c:pt>
              </c:numCache>
            </c:numRef>
          </c:val>
          <c:smooth val="0"/>
        </c:ser>
        <c:dLbls>
          <c:showLegendKey val="0"/>
          <c:showVal val="0"/>
          <c:showCatName val="0"/>
          <c:showSerName val="0"/>
          <c:showPercent val="0"/>
          <c:showBubbleSize val="0"/>
        </c:dLbls>
        <c:marker val="1"/>
        <c:smooth val="0"/>
        <c:axId val="182567296"/>
        <c:axId val="182568832"/>
      </c:lineChart>
      <c:dateAx>
        <c:axId val="182567296"/>
        <c:scaling>
          <c:orientation val="minMax"/>
          <c:max val="42705"/>
          <c:min val="36586"/>
        </c:scaling>
        <c:delete val="0"/>
        <c:axPos val="b"/>
        <c:numFmt formatCode="mmm\-yy" sourceLinked="1"/>
        <c:majorTickMark val="none"/>
        <c:minorTickMark val="none"/>
        <c:tickLblPos val="nextTo"/>
        <c:crossAx val="182568832"/>
        <c:crosses val="autoZero"/>
        <c:auto val="1"/>
        <c:lblOffset val="100"/>
        <c:baseTimeUnit val="months"/>
        <c:majorUnit val="1"/>
        <c:majorTimeUnit val="years"/>
      </c:dateAx>
      <c:valAx>
        <c:axId val="182568832"/>
        <c:scaling>
          <c:orientation val="minMax"/>
          <c:max val="0.53"/>
          <c:min val="5.000000000000001E-2"/>
        </c:scaling>
        <c:delete val="0"/>
        <c:axPos val="l"/>
        <c:numFmt formatCode="0%" sourceLinked="1"/>
        <c:majorTickMark val="none"/>
        <c:minorTickMark val="none"/>
        <c:tickLblPos val="nextTo"/>
        <c:spPr>
          <a:ln w="9525">
            <a:noFill/>
          </a:ln>
        </c:spPr>
        <c:crossAx val="182567296"/>
        <c:crosses val="autoZero"/>
        <c:crossBetween val="between"/>
      </c:valAx>
      <c:spPr>
        <a:noFill/>
        <a:ln w="25400">
          <a:noFill/>
        </a:ln>
      </c:spPr>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lineChart>
        <c:grouping val="standard"/>
        <c:varyColors val="0"/>
        <c:ser>
          <c:idx val="1"/>
          <c:order val="0"/>
          <c:tx>
            <c:v>BB</c:v>
          </c:tx>
          <c:spPr>
            <a:ln>
              <a:solidFill>
                <a:schemeClr val="tx2"/>
              </a:solidFill>
            </a:ln>
          </c:spPr>
          <c:marker>
            <c:symbol val="none"/>
          </c:marker>
          <c:cat>
            <c:numRef>
              <c:f>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Índices!$C$3:$C$70</c:f>
              <c:numCache>
                <c:formatCode>0%</c:formatCode>
                <c:ptCount val="68"/>
                <c:pt idx="0">
                  <c:v>0.24440963362706336</c:v>
                </c:pt>
                <c:pt idx="1">
                  <c:v>0.21915619329081104</c:v>
                </c:pt>
                <c:pt idx="2">
                  <c:v>0.25138271858618366</c:v>
                </c:pt>
                <c:pt idx="3">
                  <c:v>0.27974969046367648</c:v>
                </c:pt>
                <c:pt idx="4">
                  <c:v>0.28535490103601135</c:v>
                </c:pt>
                <c:pt idx="5">
                  <c:v>0.26285418542549144</c:v>
                </c:pt>
                <c:pt idx="6">
                  <c:v>0.27014945064526086</c:v>
                </c:pt>
                <c:pt idx="7">
                  <c:v>0.25738417251329754</c:v>
                </c:pt>
                <c:pt idx="8">
                  <c:v>0.26896646235891242</c:v>
                </c:pt>
                <c:pt idx="9">
                  <c:v>0.289886728704078</c:v>
                </c:pt>
                <c:pt idx="10">
                  <c:v>0.25459468519695277</c:v>
                </c:pt>
                <c:pt idx="11">
                  <c:v>0.26729429741374222</c:v>
                </c:pt>
                <c:pt idx="12">
                  <c:v>0.27135316685814054</c:v>
                </c:pt>
                <c:pt idx="13">
                  <c:v>0.2925595546776335</c:v>
                </c:pt>
                <c:pt idx="14">
                  <c:v>0.29845246168282241</c:v>
                </c:pt>
                <c:pt idx="15">
                  <c:v>0.33463427726952544</c:v>
                </c:pt>
                <c:pt idx="16">
                  <c:v>0.30707211018044417</c:v>
                </c:pt>
                <c:pt idx="17">
                  <c:v>0.32608816540680652</c:v>
                </c:pt>
                <c:pt idx="18">
                  <c:v>0.31876572890423971</c:v>
                </c:pt>
                <c:pt idx="19">
                  <c:v>0.33463427726952544</c:v>
                </c:pt>
                <c:pt idx="20">
                  <c:v>0.33915556059180735</c:v>
                </c:pt>
                <c:pt idx="21">
                  <c:v>0.36936072662549413</c:v>
                </c:pt>
                <c:pt idx="22">
                  <c:v>0.34828432119690916</c:v>
                </c:pt>
                <c:pt idx="23">
                  <c:v>0.36495279562740307</c:v>
                </c:pt>
                <c:pt idx="24">
                  <c:v>0.36158062144828157</c:v>
                </c:pt>
                <c:pt idx="25">
                  <c:v>0.37584538958855973</c:v>
                </c:pt>
                <c:pt idx="26">
                  <c:v>0.38302453296495714</c:v>
                </c:pt>
                <c:pt idx="27">
                  <c:v>0.41255528533026309</c:v>
                </c:pt>
                <c:pt idx="28">
                  <c:v>0.40060971297869341</c:v>
                </c:pt>
                <c:pt idx="29">
                  <c:v>0.40439254489558846</c:v>
                </c:pt>
                <c:pt idx="30">
                  <c:v>0.40559722037706658</c:v>
                </c:pt>
                <c:pt idx="31">
                  <c:v>0.41607534841003591</c:v>
                </c:pt>
                <c:pt idx="32">
                  <c:v>0.40725927142324536</c:v>
                </c:pt>
                <c:pt idx="33">
                  <c:v>0.43715651460499044</c:v>
                </c:pt>
                <c:pt idx="34">
                  <c:v>0.41924619336931424</c:v>
                </c:pt>
                <c:pt idx="35">
                  <c:v>0.40236301732384561</c:v>
                </c:pt>
                <c:pt idx="36">
                  <c:v>0.38207431510830914</c:v>
                </c:pt>
                <c:pt idx="37">
                  <c:v>0.39749792500191661</c:v>
                </c:pt>
                <c:pt idx="38">
                  <c:v>0.39515746109498756</c:v>
                </c:pt>
                <c:pt idx="39">
                  <c:v>0.40420157933306372</c:v>
                </c:pt>
                <c:pt idx="40">
                  <c:v>0.40253610271567786</c:v>
                </c:pt>
                <c:pt idx="41">
                  <c:v>0.41948940403094981</c:v>
                </c:pt>
                <c:pt idx="42">
                  <c:v>0.41384682055530958</c:v>
                </c:pt>
                <c:pt idx="43">
                  <c:v>0.42883530690818628</c:v>
                </c:pt>
                <c:pt idx="44">
                  <c:v>0.4110423557891279</c:v>
                </c:pt>
                <c:pt idx="45">
                  <c:v>0.41563394325658765</c:v>
                </c:pt>
                <c:pt idx="46">
                  <c:v>0.41546883566111598</c:v>
                </c:pt>
                <c:pt idx="47">
                  <c:v>0.42515201902293476</c:v>
                </c:pt>
                <c:pt idx="48">
                  <c:v>0.42296231182190613</c:v>
                </c:pt>
                <c:pt idx="49">
                  <c:v>0.42986484656539931</c:v>
                </c:pt>
                <c:pt idx="50">
                  <c:v>0.42798222853105622</c:v>
                </c:pt>
                <c:pt idx="51">
                  <c:v>0.45116005030891515</c:v>
                </c:pt>
                <c:pt idx="52">
                  <c:v>0.45061021947539859</c:v>
                </c:pt>
                <c:pt idx="53">
                  <c:v>0.47075014188701436</c:v>
                </c:pt>
                <c:pt idx="54">
                  <c:v>0.46468549395760578</c:v>
                </c:pt>
                <c:pt idx="55">
                  <c:v>0.47873409587574434</c:v>
                </c:pt>
                <c:pt idx="56">
                  <c:v>0.46224529851019092</c:v>
                </c:pt>
                <c:pt idx="57">
                  <c:v>0.46787007136775033</c:v>
                </c:pt>
                <c:pt idx="58">
                  <c:v>0.46954594940991617</c:v>
                </c:pt>
                <c:pt idx="59">
                  <c:v>0.48701103191738904</c:v>
                </c:pt>
                <c:pt idx="60">
                  <c:v>0.47018691461698009</c:v>
                </c:pt>
                <c:pt idx="61">
                  <c:v>0.47049740388446026</c:v>
                </c:pt>
                <c:pt idx="62">
                  <c:v>0.47459854327321555</c:v>
                </c:pt>
                <c:pt idx="63">
                  <c:v>0.47551445651745256</c:v>
                </c:pt>
                <c:pt idx="64">
                  <c:v>0.4627622505658851</c:v>
                </c:pt>
                <c:pt idx="65">
                  <c:v>0.44237437986480033</c:v>
                </c:pt>
                <c:pt idx="66">
                  <c:v>0.43263556486907645</c:v>
                </c:pt>
                <c:pt idx="67">
                  <c:v>0.43313416100903973</c:v>
                </c:pt>
              </c:numCache>
            </c:numRef>
          </c:val>
          <c:smooth val="0"/>
        </c:ser>
        <c:ser>
          <c:idx val="7"/>
          <c:order val="1"/>
          <c:tx>
            <c:v>CEF</c:v>
          </c:tx>
          <c:spPr>
            <a:ln>
              <a:solidFill>
                <a:schemeClr val="tx1">
                  <a:lumMod val="50000"/>
                  <a:lumOff val="50000"/>
                </a:schemeClr>
              </a:solidFill>
            </a:ln>
          </c:spPr>
          <c:marker>
            <c:symbol val="none"/>
          </c:marker>
          <c:cat>
            <c:numRef>
              <c:f>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Índices!$I$3:$I$70</c:f>
              <c:numCache>
                <c:formatCode>0%</c:formatCode>
                <c:ptCount val="68"/>
                <c:pt idx="0">
                  <c:v>0.478491594248523</c:v>
                </c:pt>
                <c:pt idx="1">
                  <c:v>0.48592922380102588</c:v>
                </c:pt>
                <c:pt idx="2">
                  <c:v>0.47898168051673595</c:v>
                </c:pt>
                <c:pt idx="3">
                  <c:v>0.44703965151843261</c:v>
                </c:pt>
                <c:pt idx="4">
                  <c:v>0.41868963785418567</c:v>
                </c:pt>
                <c:pt idx="5">
                  <c:v>0.31796128274253416</c:v>
                </c:pt>
                <c:pt idx="6">
                  <c:v>0.19022635515451625</c:v>
                </c:pt>
                <c:pt idx="7">
                  <c:v>0.19402752085348784</c:v>
                </c:pt>
                <c:pt idx="8">
                  <c:v>0.18637260214153825</c:v>
                </c:pt>
                <c:pt idx="9">
                  <c:v>0.18605247348290804</c:v>
                </c:pt>
                <c:pt idx="10">
                  <c:v>0.17521789481620736</c:v>
                </c:pt>
                <c:pt idx="11">
                  <c:v>0.1770363709480017</c:v>
                </c:pt>
                <c:pt idx="12">
                  <c:v>0.17136953088617915</c:v>
                </c:pt>
                <c:pt idx="13">
                  <c:v>0.18245358274616957</c:v>
                </c:pt>
                <c:pt idx="14">
                  <c:v>0.1772361731731881</c:v>
                </c:pt>
                <c:pt idx="15">
                  <c:v>0.19608738572768311</c:v>
                </c:pt>
                <c:pt idx="16">
                  <c:v>0.16172466309423902</c:v>
                </c:pt>
                <c:pt idx="17">
                  <c:v>0.16149704038000254</c:v>
                </c:pt>
                <c:pt idx="18">
                  <c:v>0.18705384393503219</c:v>
                </c:pt>
                <c:pt idx="19">
                  <c:v>0.19608738572768311</c:v>
                </c:pt>
                <c:pt idx="20">
                  <c:v>0.19984478269660585</c:v>
                </c:pt>
                <c:pt idx="21">
                  <c:v>0.20069553878732083</c:v>
                </c:pt>
                <c:pt idx="22">
                  <c:v>0.2024413294515259</c:v>
                </c:pt>
                <c:pt idx="23">
                  <c:v>0.19713714810149147</c:v>
                </c:pt>
                <c:pt idx="24">
                  <c:v>0.2086425500272534</c:v>
                </c:pt>
                <c:pt idx="25">
                  <c:v>0.21058505474549138</c:v>
                </c:pt>
                <c:pt idx="26">
                  <c:v>0.22248529701678355</c:v>
                </c:pt>
                <c:pt idx="27">
                  <c:v>0.21805008269944898</c:v>
                </c:pt>
                <c:pt idx="28">
                  <c:v>0.21683869603556821</c:v>
                </c:pt>
                <c:pt idx="29">
                  <c:v>0.20961914231216552</c:v>
                </c:pt>
                <c:pt idx="30">
                  <c:v>0.21708062507040271</c:v>
                </c:pt>
                <c:pt idx="31">
                  <c:v>0.22387754027581966</c:v>
                </c:pt>
                <c:pt idx="32">
                  <c:v>0.23031563576222644</c:v>
                </c:pt>
                <c:pt idx="33">
                  <c:v>0.24047087573968279</c:v>
                </c:pt>
                <c:pt idx="34">
                  <c:v>0.25055407487909714</c:v>
                </c:pt>
                <c:pt idx="35">
                  <c:v>0.27055394267774707</c:v>
                </c:pt>
                <c:pt idx="36">
                  <c:v>0.285466577897179</c:v>
                </c:pt>
                <c:pt idx="37">
                  <c:v>0.30659885623722766</c:v>
                </c:pt>
                <c:pt idx="38">
                  <c:v>0.32739741106297499</c:v>
                </c:pt>
                <c:pt idx="39">
                  <c:v>0.36383669872655477</c:v>
                </c:pt>
                <c:pt idx="40">
                  <c:v>0.36940478970707863</c:v>
                </c:pt>
                <c:pt idx="41">
                  <c:v>0.39123157209581089</c:v>
                </c:pt>
                <c:pt idx="42">
                  <c:v>0.40590804767414435</c:v>
                </c:pt>
                <c:pt idx="43">
                  <c:v>0.43791281880641031</c:v>
                </c:pt>
                <c:pt idx="44">
                  <c:v>0.44074956929201675</c:v>
                </c:pt>
                <c:pt idx="45">
                  <c:v>0.44735123971724894</c:v>
                </c:pt>
                <c:pt idx="46">
                  <c:v>0.44751886735254731</c:v>
                </c:pt>
                <c:pt idx="47">
                  <c:v>0.48832409885201339</c:v>
                </c:pt>
                <c:pt idx="48">
                  <c:v>0.48144155974552311</c:v>
                </c:pt>
                <c:pt idx="49">
                  <c:v>0.49901992995168215</c:v>
                </c:pt>
                <c:pt idx="50">
                  <c:v>0.48182696206196196</c:v>
                </c:pt>
                <c:pt idx="51">
                  <c:v>0.50322882476232322</c:v>
                </c:pt>
                <c:pt idx="52">
                  <c:v>0.52336918013912592</c:v>
                </c:pt>
                <c:pt idx="53">
                  <c:v>0.51887474560435576</c:v>
                </c:pt>
                <c:pt idx="54">
                  <c:v>0.5297050206619669</c:v>
                </c:pt>
                <c:pt idx="55">
                  <c:v>0.56552326587695312</c:v>
                </c:pt>
                <c:pt idx="56">
                  <c:v>0.56197587922585268</c:v>
                </c:pt>
                <c:pt idx="57">
                  <c:v>0.56490798846505241</c:v>
                </c:pt>
                <c:pt idx="58">
                  <c:v>0.55816678261076236</c:v>
                </c:pt>
                <c:pt idx="59">
                  <c:v>0.56083680598371188</c:v>
                </c:pt>
                <c:pt idx="60">
                  <c:v>0.57230322506771936</c:v>
                </c:pt>
                <c:pt idx="61">
                  <c:v>0.56954417643944499</c:v>
                </c:pt>
                <c:pt idx="62">
                  <c:v>0.56653760148654098</c:v>
                </c:pt>
                <c:pt idx="63">
                  <c:v>0.55438918984152574</c:v>
                </c:pt>
                <c:pt idx="64">
                  <c:v>0.54144292874896638</c:v>
                </c:pt>
                <c:pt idx="65">
                  <c:v>0.55982166088423801</c:v>
                </c:pt>
                <c:pt idx="66">
                  <c:v>0.55817925002502855</c:v>
                </c:pt>
                <c:pt idx="67">
                  <c:v>0.55464367143865478</c:v>
                </c:pt>
              </c:numCache>
            </c:numRef>
          </c:val>
          <c:smooth val="0"/>
        </c:ser>
        <c:ser>
          <c:idx val="13"/>
          <c:order val="2"/>
          <c:tx>
            <c:v>Bradesco</c:v>
          </c:tx>
          <c:spPr>
            <a:ln>
              <a:solidFill>
                <a:schemeClr val="tx1"/>
              </a:solidFill>
            </a:ln>
          </c:spPr>
          <c:marker>
            <c:symbol val="none"/>
          </c:marker>
          <c:cat>
            <c:numRef>
              <c:f>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Índices!$O$3:$O$70</c:f>
              <c:numCache>
                <c:formatCode>0%</c:formatCode>
                <c:ptCount val="68"/>
                <c:pt idx="0">
                  <c:v>0.31072111990994711</c:v>
                </c:pt>
                <c:pt idx="1">
                  <c:v>0.31802389315178464</c:v>
                </c:pt>
                <c:pt idx="2">
                  <c:v>0.34386233750556566</c:v>
                </c:pt>
                <c:pt idx="3">
                  <c:v>0.39062798461466119</c:v>
                </c:pt>
                <c:pt idx="4">
                  <c:v>0.39340808784803766</c:v>
                </c:pt>
                <c:pt idx="5">
                  <c:v>0.39740290425825398</c:v>
                </c:pt>
                <c:pt idx="6">
                  <c:v>0.39282520067250809</c:v>
                </c:pt>
                <c:pt idx="7">
                  <c:v>0.39944858327266741</c:v>
                </c:pt>
                <c:pt idx="8">
                  <c:v>0.38914321481013797</c:v>
                </c:pt>
                <c:pt idx="9">
                  <c:v>0.39405954505484236</c:v>
                </c:pt>
                <c:pt idx="10">
                  <c:v>0.36165636874390683</c:v>
                </c:pt>
                <c:pt idx="11">
                  <c:v>0.36296471085035564</c:v>
                </c:pt>
                <c:pt idx="12">
                  <c:v>0.33684449996097998</c:v>
                </c:pt>
                <c:pt idx="13">
                  <c:v>0.34015660569354728</c:v>
                </c:pt>
                <c:pt idx="14">
                  <c:v>0.31987022015322297</c:v>
                </c:pt>
                <c:pt idx="15">
                  <c:v>0.37719394311644006</c:v>
                </c:pt>
                <c:pt idx="16">
                  <c:v>0.35536972937998934</c:v>
                </c:pt>
                <c:pt idx="17">
                  <c:v>0.34553272827294085</c:v>
                </c:pt>
                <c:pt idx="18">
                  <c:v>0.35709772216612334</c:v>
                </c:pt>
                <c:pt idx="19">
                  <c:v>0.37719394311644006</c:v>
                </c:pt>
                <c:pt idx="20">
                  <c:v>0.37693725833961511</c:v>
                </c:pt>
                <c:pt idx="21">
                  <c:v>0.39743032344913193</c:v>
                </c:pt>
                <c:pt idx="22">
                  <c:v>0.41681724289740879</c:v>
                </c:pt>
                <c:pt idx="23">
                  <c:v>0.44047263635775658</c:v>
                </c:pt>
                <c:pt idx="24">
                  <c:v>0.43880230354568783</c:v>
                </c:pt>
                <c:pt idx="25">
                  <c:v>0.42165742495210123</c:v>
                </c:pt>
                <c:pt idx="26">
                  <c:v>0.42125691452384428</c:v>
                </c:pt>
                <c:pt idx="27">
                  <c:v>0.40344993385697986</c:v>
                </c:pt>
                <c:pt idx="28">
                  <c:v>0.39614458029563099</c:v>
                </c:pt>
                <c:pt idx="29">
                  <c:v>0.40943077609394679</c:v>
                </c:pt>
                <c:pt idx="30">
                  <c:v>0.39501948853555774</c:v>
                </c:pt>
                <c:pt idx="31">
                  <c:v>0.40765113416851423</c:v>
                </c:pt>
                <c:pt idx="32">
                  <c:v>0.39877355883133736</c:v>
                </c:pt>
                <c:pt idx="33">
                  <c:v>0.36014705901814426</c:v>
                </c:pt>
                <c:pt idx="34">
                  <c:v>0.36747438158362694</c:v>
                </c:pt>
                <c:pt idx="35">
                  <c:v>0.35273163047893785</c:v>
                </c:pt>
                <c:pt idx="36">
                  <c:v>0.32703238291895981</c:v>
                </c:pt>
                <c:pt idx="37">
                  <c:v>0.32384396602306476</c:v>
                </c:pt>
                <c:pt idx="38">
                  <c:v>0.33039095288399356</c:v>
                </c:pt>
                <c:pt idx="39">
                  <c:v>0.34147700548810012</c:v>
                </c:pt>
                <c:pt idx="40">
                  <c:v>0.3425029086371526</c:v>
                </c:pt>
                <c:pt idx="41">
                  <c:v>0.3477432143220236</c:v>
                </c:pt>
                <c:pt idx="42">
                  <c:v>0.33502295086748535</c:v>
                </c:pt>
                <c:pt idx="43">
                  <c:v>0.35057065887656913</c:v>
                </c:pt>
                <c:pt idx="44">
                  <c:v>0.34623653361591061</c:v>
                </c:pt>
                <c:pt idx="45">
                  <c:v>0.35898676735392088</c:v>
                </c:pt>
                <c:pt idx="46">
                  <c:v>0.3603191663805454</c:v>
                </c:pt>
                <c:pt idx="47">
                  <c:v>0.35598931275790052</c:v>
                </c:pt>
                <c:pt idx="48">
                  <c:v>0.34617210261066728</c:v>
                </c:pt>
                <c:pt idx="49">
                  <c:v>0.34366190654389744</c:v>
                </c:pt>
                <c:pt idx="50">
                  <c:v>0.34247440475042062</c:v>
                </c:pt>
                <c:pt idx="51">
                  <c:v>0.34389886254719154</c:v>
                </c:pt>
                <c:pt idx="52">
                  <c:v>0.3472405686810468</c:v>
                </c:pt>
                <c:pt idx="53">
                  <c:v>0.35699158846003964</c:v>
                </c:pt>
                <c:pt idx="54">
                  <c:v>0.36030712842247975</c:v>
                </c:pt>
                <c:pt idx="55">
                  <c:v>0.37419334536741039</c:v>
                </c:pt>
                <c:pt idx="56">
                  <c:v>0.37485368256577034</c:v>
                </c:pt>
                <c:pt idx="57">
                  <c:v>0.37433438622525927</c:v>
                </c:pt>
                <c:pt idx="58">
                  <c:v>0.35856065921435615</c:v>
                </c:pt>
                <c:pt idx="59">
                  <c:v>0.35505559817669446</c:v>
                </c:pt>
                <c:pt idx="60">
                  <c:v>0.36395011333713739</c:v>
                </c:pt>
                <c:pt idx="61">
                  <c:v>0.37201774038210034</c:v>
                </c:pt>
                <c:pt idx="62">
                  <c:v>0.37678569902143455</c:v>
                </c:pt>
                <c:pt idx="63">
                  <c:v>0.36560230839156499</c:v>
                </c:pt>
                <c:pt idx="64">
                  <c:v>0.34374221116880893</c:v>
                </c:pt>
                <c:pt idx="65">
                  <c:v>0.3204910887291253</c:v>
                </c:pt>
                <c:pt idx="66">
                  <c:v>0.33263900779345895</c:v>
                </c:pt>
                <c:pt idx="67">
                  <c:v>0.31898924459857508</c:v>
                </c:pt>
              </c:numCache>
            </c:numRef>
          </c:val>
          <c:smooth val="0"/>
        </c:ser>
        <c:ser>
          <c:idx val="25"/>
          <c:order val="3"/>
          <c:tx>
            <c:v>Santander</c:v>
          </c:tx>
          <c:spPr>
            <a:ln>
              <a:solidFill>
                <a:schemeClr val="bg2">
                  <a:lumMod val="50000"/>
                </a:schemeClr>
              </a:solidFill>
            </a:ln>
          </c:spPr>
          <c:marker>
            <c:symbol val="none"/>
          </c:marker>
          <c:cat>
            <c:numRef>
              <c:f>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Índices!$AA$3:$AA$70</c:f>
              <c:numCache>
                <c:formatCode>0%</c:formatCode>
                <c:ptCount val="68"/>
                <c:pt idx="0">
                  <c:v>0.20764877290375122</c:v>
                </c:pt>
                <c:pt idx="1">
                  <c:v>0.17477875319251818</c:v>
                </c:pt>
                <c:pt idx="2">
                  <c:v>0.15772873256628817</c:v>
                </c:pt>
                <c:pt idx="3">
                  <c:v>0.19593774472117145</c:v>
                </c:pt>
                <c:pt idx="4">
                  <c:v>0.20203572604105879</c:v>
                </c:pt>
                <c:pt idx="5">
                  <c:v>0.20761654789990294</c:v>
                </c:pt>
                <c:pt idx="6">
                  <c:v>0.19674372152919006</c:v>
                </c:pt>
                <c:pt idx="7">
                  <c:v>0.20523614302491353</c:v>
                </c:pt>
                <c:pt idx="8">
                  <c:v>0.20599638068282594</c:v>
                </c:pt>
                <c:pt idx="9">
                  <c:v>0.22140044395165556</c:v>
                </c:pt>
                <c:pt idx="10">
                  <c:v>0.21320529323543841</c:v>
                </c:pt>
                <c:pt idx="11">
                  <c:v>0.23266674974456841</c:v>
                </c:pt>
                <c:pt idx="12">
                  <c:v>0.24385642688505943</c:v>
                </c:pt>
                <c:pt idx="13">
                  <c:v>0.24237810139778149</c:v>
                </c:pt>
                <c:pt idx="14">
                  <c:v>0.24059191428525431</c:v>
                </c:pt>
                <c:pt idx="15">
                  <c:v>0.28318646411762105</c:v>
                </c:pt>
                <c:pt idx="16">
                  <c:v>0.2479154707298275</c:v>
                </c:pt>
                <c:pt idx="17">
                  <c:v>0.24976211973856369</c:v>
                </c:pt>
                <c:pt idx="18">
                  <c:v>0.27140067782898658</c:v>
                </c:pt>
                <c:pt idx="19">
                  <c:v>0.28318646411762105</c:v>
                </c:pt>
                <c:pt idx="20">
                  <c:v>0.27189998290517109</c:v>
                </c:pt>
                <c:pt idx="21">
                  <c:v>0.29661103932472582</c:v>
                </c:pt>
                <c:pt idx="22">
                  <c:v>0.28820337679370678</c:v>
                </c:pt>
                <c:pt idx="23">
                  <c:v>0.29681617565403706</c:v>
                </c:pt>
                <c:pt idx="24">
                  <c:v>0.26344768579885841</c:v>
                </c:pt>
                <c:pt idx="25">
                  <c:v>0.32462376544199606</c:v>
                </c:pt>
                <c:pt idx="26">
                  <c:v>0.33695889286086267</c:v>
                </c:pt>
                <c:pt idx="27">
                  <c:v>0.33438969245991162</c:v>
                </c:pt>
                <c:pt idx="28">
                  <c:v>0.34291331240750972</c:v>
                </c:pt>
                <c:pt idx="29">
                  <c:v>0.30482727571510143</c:v>
                </c:pt>
                <c:pt idx="30">
                  <c:v>0.30431578955746047</c:v>
                </c:pt>
                <c:pt idx="31">
                  <c:v>0.33830155764961312</c:v>
                </c:pt>
                <c:pt idx="32">
                  <c:v>0.34633386967230662</c:v>
                </c:pt>
                <c:pt idx="33">
                  <c:v>0.32938737210860974</c:v>
                </c:pt>
                <c:pt idx="34">
                  <c:v>0.32901250792541453</c:v>
                </c:pt>
                <c:pt idx="35">
                  <c:v>0.33756726114482039</c:v>
                </c:pt>
                <c:pt idx="36">
                  <c:v>0.34123986016919533</c:v>
                </c:pt>
                <c:pt idx="37">
                  <c:v>0.33987218320267115</c:v>
                </c:pt>
                <c:pt idx="38">
                  <c:v>0.34363026539598157</c:v>
                </c:pt>
                <c:pt idx="39">
                  <c:v>0.35123891920612904</c:v>
                </c:pt>
                <c:pt idx="40">
                  <c:v>0.36038665204360054</c:v>
                </c:pt>
                <c:pt idx="41">
                  <c:v>0.34860636525712924</c:v>
                </c:pt>
                <c:pt idx="42">
                  <c:v>0.37320038793522287</c:v>
                </c:pt>
                <c:pt idx="43">
                  <c:v>0.37765127847642294</c:v>
                </c:pt>
                <c:pt idx="44">
                  <c:v>0.37828203893516094</c:v>
                </c:pt>
                <c:pt idx="45">
                  <c:v>0.3728492637697719</c:v>
                </c:pt>
                <c:pt idx="46">
                  <c:v>0.39260404556259615</c:v>
                </c:pt>
                <c:pt idx="47">
                  <c:v>0.40044675973704141</c:v>
                </c:pt>
                <c:pt idx="48">
                  <c:v>0.41440911639599326</c:v>
                </c:pt>
                <c:pt idx="49">
                  <c:v>0.4039646043041511</c:v>
                </c:pt>
                <c:pt idx="50">
                  <c:v>0.40282466752294621</c:v>
                </c:pt>
                <c:pt idx="51">
                  <c:v>0.402723260540303</c:v>
                </c:pt>
                <c:pt idx="52">
                  <c:v>0.40747288857414271</c:v>
                </c:pt>
                <c:pt idx="53">
                  <c:v>0.40049344249915775</c:v>
                </c:pt>
                <c:pt idx="54">
                  <c:v>0.40730537300723346</c:v>
                </c:pt>
                <c:pt idx="55">
                  <c:v>0.39376825485390515</c:v>
                </c:pt>
                <c:pt idx="56">
                  <c:v>0.38446871110192898</c:v>
                </c:pt>
                <c:pt idx="57">
                  <c:v>0.38793967492120357</c:v>
                </c:pt>
                <c:pt idx="58">
                  <c:v>0.38531483007524714</c:v>
                </c:pt>
                <c:pt idx="59">
                  <c:v>0.34610616038863129</c:v>
                </c:pt>
                <c:pt idx="60">
                  <c:v>0.358525056379631</c:v>
                </c:pt>
                <c:pt idx="61">
                  <c:v>0.35415453583435491</c:v>
                </c:pt>
                <c:pt idx="62">
                  <c:v>0.31865027648439381</c:v>
                </c:pt>
                <c:pt idx="63">
                  <c:v>0.3233111352400484</c:v>
                </c:pt>
                <c:pt idx="64">
                  <c:v>0.31396703336053655</c:v>
                </c:pt>
                <c:pt idx="65">
                  <c:v>0.31362901656538955</c:v>
                </c:pt>
                <c:pt idx="66">
                  <c:v>0.31507793323125738</c:v>
                </c:pt>
                <c:pt idx="67">
                  <c:v>0.30182286690851517</c:v>
                </c:pt>
              </c:numCache>
            </c:numRef>
          </c:val>
          <c:smooth val="0"/>
        </c:ser>
        <c:ser>
          <c:idx val="0"/>
          <c:order val="4"/>
          <c:tx>
            <c:v>Itaú</c:v>
          </c:tx>
          <c:spPr>
            <a:ln>
              <a:solidFill>
                <a:srgbClr val="FF0000"/>
              </a:solidFill>
            </a:ln>
          </c:spPr>
          <c:marker>
            <c:symbol val="none"/>
          </c:marker>
          <c:val>
            <c:numRef>
              <c:f>Índices!$U$3:$U$70</c:f>
              <c:numCache>
                <c:formatCode>0%</c:formatCode>
                <c:ptCount val="68"/>
                <c:pt idx="0">
                  <c:v>0.27538266150120683</c:v>
                </c:pt>
                <c:pt idx="1">
                  <c:v>0.29150341206729363</c:v>
                </c:pt>
                <c:pt idx="2">
                  <c:v>0.29138824367883237</c:v>
                </c:pt>
                <c:pt idx="3">
                  <c:v>0.29111198357534129</c:v>
                </c:pt>
                <c:pt idx="4">
                  <c:v>0.28827705633621076</c:v>
                </c:pt>
                <c:pt idx="5">
                  <c:v>0.30141472695596672</c:v>
                </c:pt>
                <c:pt idx="6">
                  <c:v>0.30498133693004875</c:v>
                </c:pt>
                <c:pt idx="7">
                  <c:v>0.30911043622197171</c:v>
                </c:pt>
                <c:pt idx="8">
                  <c:v>0.29366404566712123</c:v>
                </c:pt>
                <c:pt idx="9">
                  <c:v>0.2957574044342105</c:v>
                </c:pt>
                <c:pt idx="10">
                  <c:v>0.29410463879141618</c:v>
                </c:pt>
                <c:pt idx="11">
                  <c:v>0.31182127227858153</c:v>
                </c:pt>
                <c:pt idx="12">
                  <c:v>0.32216647195888209</c:v>
                </c:pt>
                <c:pt idx="13">
                  <c:v>0.33270025758411659</c:v>
                </c:pt>
                <c:pt idx="14">
                  <c:v>0.28864897976825021</c:v>
                </c:pt>
                <c:pt idx="15">
                  <c:v>0.30893770656030706</c:v>
                </c:pt>
                <c:pt idx="16">
                  <c:v>0.28814465639587977</c:v>
                </c:pt>
                <c:pt idx="17">
                  <c:v>0.32534099021160923</c:v>
                </c:pt>
                <c:pt idx="18">
                  <c:v>0.29419387254577339</c:v>
                </c:pt>
                <c:pt idx="19">
                  <c:v>0.30893770656030706</c:v>
                </c:pt>
                <c:pt idx="20">
                  <c:v>0.29520953836973635</c:v>
                </c:pt>
                <c:pt idx="21">
                  <c:v>0.30362867837009971</c:v>
                </c:pt>
                <c:pt idx="22">
                  <c:v>0.32109001776625534</c:v>
                </c:pt>
                <c:pt idx="23">
                  <c:v>0.31946077092076536</c:v>
                </c:pt>
                <c:pt idx="24">
                  <c:v>0.31543882883204094</c:v>
                </c:pt>
                <c:pt idx="25">
                  <c:v>0.30086856247316784</c:v>
                </c:pt>
                <c:pt idx="26">
                  <c:v>0.29486631705437355</c:v>
                </c:pt>
                <c:pt idx="27">
                  <c:v>0.29593692130520721</c:v>
                </c:pt>
                <c:pt idx="28">
                  <c:v>0.26770391569933738</c:v>
                </c:pt>
                <c:pt idx="29">
                  <c:v>0.2767884546956475</c:v>
                </c:pt>
                <c:pt idx="30">
                  <c:v>0.2489329093007171</c:v>
                </c:pt>
                <c:pt idx="31">
                  <c:v>0.2706681921617044</c:v>
                </c:pt>
                <c:pt idx="32">
                  <c:v>0.26392558982679115</c:v>
                </c:pt>
                <c:pt idx="33">
                  <c:v>0.26446497392346369</c:v>
                </c:pt>
                <c:pt idx="34">
                  <c:v>0.25089716394486988</c:v>
                </c:pt>
                <c:pt idx="35">
                  <c:v>0.274641323011801</c:v>
                </c:pt>
                <c:pt idx="36">
                  <c:v>0.28623182420960008</c:v>
                </c:pt>
                <c:pt idx="37">
                  <c:v>0.28827620192466247</c:v>
                </c:pt>
                <c:pt idx="38">
                  <c:v>0.28946716418277513</c:v>
                </c:pt>
                <c:pt idx="39">
                  <c:v>0.30540843894237729</c:v>
                </c:pt>
                <c:pt idx="40">
                  <c:v>0.3071498155058261</c:v>
                </c:pt>
                <c:pt idx="41">
                  <c:v>0.3194488929950175</c:v>
                </c:pt>
                <c:pt idx="42">
                  <c:v>0.32925998269955548</c:v>
                </c:pt>
                <c:pt idx="43">
                  <c:v>0.32442407731069811</c:v>
                </c:pt>
                <c:pt idx="44">
                  <c:v>0.3279245697339786</c:v>
                </c:pt>
                <c:pt idx="45">
                  <c:v>0.33770995884087185</c:v>
                </c:pt>
                <c:pt idx="46">
                  <c:v>0.34481433476757256</c:v>
                </c:pt>
                <c:pt idx="47">
                  <c:v>0.35475983160309449</c:v>
                </c:pt>
                <c:pt idx="48">
                  <c:v>0.34386544402311425</c:v>
                </c:pt>
                <c:pt idx="49">
                  <c:v>0.36370897532313878</c:v>
                </c:pt>
                <c:pt idx="50">
                  <c:v>0.34259898259747618</c:v>
                </c:pt>
                <c:pt idx="51">
                  <c:v>0.32840542371802706</c:v>
                </c:pt>
                <c:pt idx="52">
                  <c:v>0.32888335094755367</c:v>
                </c:pt>
                <c:pt idx="53">
                  <c:v>0.33020856541327781</c:v>
                </c:pt>
                <c:pt idx="54">
                  <c:v>0.33062265832293297</c:v>
                </c:pt>
                <c:pt idx="55">
                  <c:v>0.34136564245464418</c:v>
                </c:pt>
                <c:pt idx="56">
                  <c:v>0.34180756787036909</c:v>
                </c:pt>
                <c:pt idx="57">
                  <c:v>0.35129468222966581</c:v>
                </c:pt>
                <c:pt idx="58">
                  <c:v>0.34772648714524906</c:v>
                </c:pt>
                <c:pt idx="59">
                  <c:v>0.34931083133464141</c:v>
                </c:pt>
                <c:pt idx="60">
                  <c:v>0.34063637839100364</c:v>
                </c:pt>
                <c:pt idx="61">
                  <c:v>0.3511464571797987</c:v>
                </c:pt>
                <c:pt idx="62">
                  <c:v>0.33677514440955647</c:v>
                </c:pt>
                <c:pt idx="63">
                  <c:v>0.32698218809492763</c:v>
                </c:pt>
                <c:pt idx="64">
                  <c:v>0.32910380200427619</c:v>
                </c:pt>
                <c:pt idx="65">
                  <c:v>0.33887183702245421</c:v>
                </c:pt>
                <c:pt idx="66">
                  <c:v>0.33645523491212087</c:v>
                </c:pt>
                <c:pt idx="67">
                  <c:v>0.33077407512877421</c:v>
                </c:pt>
              </c:numCache>
            </c:numRef>
          </c:val>
          <c:smooth val="0"/>
        </c:ser>
        <c:dLbls>
          <c:showLegendKey val="0"/>
          <c:showVal val="0"/>
          <c:showCatName val="0"/>
          <c:showSerName val="0"/>
          <c:showPercent val="0"/>
          <c:showBubbleSize val="0"/>
        </c:dLbls>
        <c:marker val="1"/>
        <c:smooth val="0"/>
        <c:axId val="182489856"/>
        <c:axId val="182491392"/>
      </c:lineChart>
      <c:dateAx>
        <c:axId val="182489856"/>
        <c:scaling>
          <c:orientation val="minMax"/>
          <c:max val="42705"/>
          <c:min val="36586"/>
        </c:scaling>
        <c:delete val="0"/>
        <c:axPos val="b"/>
        <c:numFmt formatCode="mmm\-yy" sourceLinked="1"/>
        <c:majorTickMark val="none"/>
        <c:minorTickMark val="none"/>
        <c:tickLblPos val="nextTo"/>
        <c:crossAx val="182491392"/>
        <c:crosses val="autoZero"/>
        <c:auto val="1"/>
        <c:lblOffset val="100"/>
        <c:baseTimeUnit val="months"/>
        <c:majorUnit val="1"/>
        <c:majorTimeUnit val="years"/>
      </c:dateAx>
      <c:valAx>
        <c:axId val="182491392"/>
        <c:scaling>
          <c:orientation val="minMax"/>
          <c:max val="0.60000000000000009"/>
          <c:min val="0.1"/>
        </c:scaling>
        <c:delete val="0"/>
        <c:axPos val="l"/>
        <c:majorGridlines>
          <c:spPr>
            <a:ln>
              <a:noFill/>
            </a:ln>
          </c:spPr>
        </c:majorGridlines>
        <c:numFmt formatCode="0%" sourceLinked="1"/>
        <c:majorTickMark val="none"/>
        <c:minorTickMark val="none"/>
        <c:tickLblPos val="nextTo"/>
        <c:spPr>
          <a:ln>
            <a:solidFill>
              <a:schemeClr val="bg2">
                <a:lumMod val="50000"/>
              </a:schemeClr>
            </a:solidFill>
          </a:ln>
        </c:spPr>
        <c:crossAx val="182489856"/>
        <c:crosses val="autoZero"/>
        <c:crossBetween val="between"/>
      </c:valAx>
      <c:spPr>
        <a:noFill/>
      </c:spPr>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t-BR" sz="1200">
                <a:latin typeface="Arial" pitchFamily="34" charset="0"/>
                <a:cs typeface="Arial" pitchFamily="34" charset="0"/>
              </a:rPr>
              <a:t> </a:t>
            </a:r>
          </a:p>
        </c:rich>
      </c:tx>
      <c:layout>
        <c:manualLayout>
          <c:xMode val="edge"/>
          <c:yMode val="edge"/>
          <c:x val="0.22945368583893902"/>
          <c:y val="2.4767801857585141E-2"/>
        </c:manualLayout>
      </c:layout>
      <c:overlay val="0"/>
    </c:title>
    <c:autoTitleDeleted val="0"/>
    <c:plotArea>
      <c:layout/>
      <c:lineChart>
        <c:grouping val="standard"/>
        <c:varyColors val="0"/>
        <c:ser>
          <c:idx val="0"/>
          <c:order val="0"/>
          <c:tx>
            <c:v>Dep.à vista/Passivo Total</c:v>
          </c:tx>
          <c:spPr>
            <a:ln>
              <a:solidFill>
                <a:srgbClr val="FF0000"/>
              </a:solidFill>
              <a:prstDash val="sysDash"/>
            </a:ln>
          </c:spPr>
          <c:marker>
            <c:symbol val="none"/>
          </c:marker>
          <c:cat>
            <c:numRef>
              <c:f>'Médias Ponderadas'!$DL$3:$DL$70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'Médias Ponderadas'!$DM$3:$DM$70</c:f>
              <c:numCache>
                <c:formatCode>0.0000</c:formatCode>
                <c:ptCount val="68"/>
                <c:pt idx="0">
                  <c:v>7.7537917336627127E-2</c:v>
                </c:pt>
                <c:pt idx="1">
                  <c:v>7.5266937698389741E-2</c:v>
                </c:pt>
                <c:pt idx="2">
                  <c:v>7.7286146180509788E-2</c:v>
                </c:pt>
                <c:pt idx="3">
                  <c:v>0.10236880758568513</c:v>
                </c:pt>
                <c:pt idx="4">
                  <c:v>8.701470673669498E-2</c:v>
                </c:pt>
                <c:pt idx="5">
                  <c:v>9.5787297667679003E-2</c:v>
                </c:pt>
                <c:pt idx="6">
                  <c:v>9.2532724356467533E-2</c:v>
                </c:pt>
                <c:pt idx="7">
                  <c:v>0.10960035625019378</c:v>
                </c:pt>
                <c:pt idx="8">
                  <c:v>9.7536306267490991E-2</c:v>
                </c:pt>
                <c:pt idx="9">
                  <c:v>0.10295160762191179</c:v>
                </c:pt>
                <c:pt idx="10">
                  <c:v>9.8388495894149178E-2</c:v>
                </c:pt>
                <c:pt idx="11">
                  <c:v>0.11740329410632515</c:v>
                </c:pt>
                <c:pt idx="12">
                  <c:v>9.6599635384390051E-2</c:v>
                </c:pt>
                <c:pt idx="13">
                  <c:v>9.988743959363941E-2</c:v>
                </c:pt>
                <c:pt idx="14">
                  <c:v>9.1467808559441866E-2</c:v>
                </c:pt>
                <c:pt idx="15">
                  <c:v>0.11953022273695482</c:v>
                </c:pt>
                <c:pt idx="16">
                  <c:v>0.12666293795628283</c:v>
                </c:pt>
                <c:pt idx="17">
                  <c:v>0.12079757114411836</c:v>
                </c:pt>
                <c:pt idx="18">
                  <c:v>0.1252296342810886</c:v>
                </c:pt>
                <c:pt idx="19">
                  <c:v>0.11953022273695482</c:v>
                </c:pt>
                <c:pt idx="20">
                  <c:v>0.11528740259749543</c:v>
                </c:pt>
                <c:pt idx="21">
                  <c:v>0.11204066897920568</c:v>
                </c:pt>
                <c:pt idx="22">
                  <c:v>0.10603275892438105</c:v>
                </c:pt>
                <c:pt idx="23">
                  <c:v>0.12457419898276939</c:v>
                </c:pt>
                <c:pt idx="24">
                  <c:v>0.10730513078013874</c:v>
                </c:pt>
                <c:pt idx="25">
                  <c:v>0.10456105239555281</c:v>
                </c:pt>
                <c:pt idx="26">
                  <c:v>0.10611891062856529</c:v>
                </c:pt>
                <c:pt idx="27">
                  <c:v>0.12390932607366036</c:v>
                </c:pt>
                <c:pt idx="28">
                  <c:v>0.10037348295842329</c:v>
                </c:pt>
                <c:pt idx="29">
                  <c:v>0.10234376643760446</c:v>
                </c:pt>
                <c:pt idx="30">
                  <c:v>0.10065454622921378</c:v>
                </c:pt>
                <c:pt idx="31">
                  <c:v>0.12998686767988354</c:v>
                </c:pt>
                <c:pt idx="32">
                  <c:v>0.10187174576409695</c:v>
                </c:pt>
                <c:pt idx="33">
                  <c:v>9.4941007897704197E-2</c:v>
                </c:pt>
                <c:pt idx="34">
                  <c:v>8.0968213107235287E-2</c:v>
                </c:pt>
                <c:pt idx="35">
                  <c:v>7.6139507927231176E-2</c:v>
                </c:pt>
                <c:pt idx="36">
                  <c:v>6.9365072859730106E-2</c:v>
                </c:pt>
                <c:pt idx="37">
                  <c:v>7.2376569608125968E-2</c:v>
                </c:pt>
                <c:pt idx="38">
                  <c:v>6.8778043978400247E-2</c:v>
                </c:pt>
                <c:pt idx="39">
                  <c:v>7.7138142346454441E-2</c:v>
                </c:pt>
                <c:pt idx="40">
                  <c:v>7.204831262737238E-2</c:v>
                </c:pt>
                <c:pt idx="41">
                  <c:v>7.290143477552867E-2</c:v>
                </c:pt>
                <c:pt idx="42">
                  <c:v>7.117428714888048E-2</c:v>
                </c:pt>
                <c:pt idx="43">
                  <c:v>7.2494094642085574E-2</c:v>
                </c:pt>
                <c:pt idx="44">
                  <c:v>6.3643981686073617E-2</c:v>
                </c:pt>
                <c:pt idx="45">
                  <c:v>6.3493720448368859E-2</c:v>
                </c:pt>
                <c:pt idx="46">
                  <c:v>5.7982395433800495E-2</c:v>
                </c:pt>
                <c:pt idx="47">
                  <c:v>6.1124447175183193E-2</c:v>
                </c:pt>
                <c:pt idx="48">
                  <c:v>5.7267402479430962E-2</c:v>
                </c:pt>
                <c:pt idx="49">
                  <c:v>5.6010224609729861E-2</c:v>
                </c:pt>
                <c:pt idx="50">
                  <c:v>5.304208458365145E-2</c:v>
                </c:pt>
                <c:pt idx="51">
                  <c:v>6.134432072871978E-2</c:v>
                </c:pt>
                <c:pt idx="52">
                  <c:v>5.602617073250285E-2</c:v>
                </c:pt>
                <c:pt idx="53">
                  <c:v>5.7864871695071998E-2</c:v>
                </c:pt>
                <c:pt idx="54">
                  <c:v>5.4512931881001703E-2</c:v>
                </c:pt>
                <c:pt idx="55">
                  <c:v>5.8330435157042282E-2</c:v>
                </c:pt>
                <c:pt idx="56">
                  <c:v>5.6165952864657621E-2</c:v>
                </c:pt>
                <c:pt idx="57">
                  <c:v>5.3773339092896923E-2</c:v>
                </c:pt>
                <c:pt idx="58">
                  <c:v>5.250122202522544E-2</c:v>
                </c:pt>
                <c:pt idx="59">
                  <c:v>5.4422219560472114E-2</c:v>
                </c:pt>
                <c:pt idx="60">
                  <c:v>5.0916932873354463E-2</c:v>
                </c:pt>
                <c:pt idx="61">
                  <c:v>5.4051218043388916E-2</c:v>
                </c:pt>
                <c:pt idx="62">
                  <c:v>6.0871476704276714E-2</c:v>
                </c:pt>
                <c:pt idx="63">
                  <c:v>5.8825865435354209E-2</c:v>
                </c:pt>
                <c:pt idx="64">
                  <c:v>5.5750156639609416E-2</c:v>
                </c:pt>
                <c:pt idx="65">
                  <c:v>5.7773874427530299E-2</c:v>
                </c:pt>
                <c:pt idx="66">
                  <c:v>5.7651410970365947E-2</c:v>
                </c:pt>
                <c:pt idx="67">
                  <c:v>5.996678230228094E-2</c:v>
                </c:pt>
              </c:numCache>
            </c:numRef>
          </c:val>
          <c:smooth val="0"/>
        </c:ser>
        <c:ser>
          <c:idx val="1"/>
          <c:order val="1"/>
          <c:tx>
            <c:v>Dep. a prazo/Passivo Total</c:v>
          </c:tx>
          <c:spPr>
            <a:ln>
              <a:solidFill>
                <a:schemeClr val="tx1"/>
              </a:solidFill>
            </a:ln>
          </c:spPr>
          <c:marker>
            <c:symbol val="none"/>
          </c:marker>
          <c:cat>
            <c:numRef>
              <c:f>'Médias Ponderadas'!$DL$3:$DL$70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'Médias Ponderadas'!$DO$3:$DO$70</c:f>
              <c:numCache>
                <c:formatCode>0.0000</c:formatCode>
                <c:ptCount val="68"/>
                <c:pt idx="0">
                  <c:v>0.26328151929599125</c:v>
                </c:pt>
                <c:pt idx="1">
                  <c:v>0.22301245634325567</c:v>
                </c:pt>
                <c:pt idx="2">
                  <c:v>0.21624875265798837</c:v>
                </c:pt>
                <c:pt idx="3">
                  <c:v>0.20904381050980975</c:v>
                </c:pt>
                <c:pt idx="4">
                  <c:v>0.20859497435410654</c:v>
                </c:pt>
                <c:pt idx="5">
                  <c:v>0.22347018798127002</c:v>
                </c:pt>
                <c:pt idx="6">
                  <c:v>0.21724028208436449</c:v>
                </c:pt>
                <c:pt idx="7">
                  <c:v>0.1949903654451394</c:v>
                </c:pt>
                <c:pt idx="8">
                  <c:v>0.21545233261180871</c:v>
                </c:pt>
                <c:pt idx="9">
                  <c:v>0.20583398610235051</c:v>
                </c:pt>
                <c:pt idx="10">
                  <c:v>0.20110942667615939</c:v>
                </c:pt>
                <c:pt idx="11">
                  <c:v>0.19337868308737272</c:v>
                </c:pt>
                <c:pt idx="12">
                  <c:v>0.19740803820495248</c:v>
                </c:pt>
                <c:pt idx="13">
                  <c:v>0.20880580124968681</c:v>
                </c:pt>
                <c:pt idx="14">
                  <c:v>0.21013835579479964</c:v>
                </c:pt>
                <c:pt idx="15">
                  <c:v>0.19055800417271285</c:v>
                </c:pt>
                <c:pt idx="16">
                  <c:v>0.18075752050630997</c:v>
                </c:pt>
                <c:pt idx="17">
                  <c:v>0.19312934903355206</c:v>
                </c:pt>
                <c:pt idx="18">
                  <c:v>0.18850788081263789</c:v>
                </c:pt>
                <c:pt idx="19">
                  <c:v>0.19055800417271285</c:v>
                </c:pt>
                <c:pt idx="20">
                  <c:v>0.20086839576968837</c:v>
                </c:pt>
                <c:pt idx="21">
                  <c:v>0.20699109877394001</c:v>
                </c:pt>
                <c:pt idx="22">
                  <c:v>0.20815186791426915</c:v>
                </c:pt>
                <c:pt idx="23">
                  <c:v>0.2142220270163071</c:v>
                </c:pt>
                <c:pt idx="24">
                  <c:v>0.22209934070231305</c:v>
                </c:pt>
                <c:pt idx="25">
                  <c:v>0.21590214234168165</c:v>
                </c:pt>
                <c:pt idx="26">
                  <c:v>0.20976666501852112</c:v>
                </c:pt>
                <c:pt idx="27">
                  <c:v>0.20028885632967069</c:v>
                </c:pt>
                <c:pt idx="28">
                  <c:v>0.18882713634674983</c:v>
                </c:pt>
                <c:pt idx="29">
                  <c:v>0.18169704902132319</c:v>
                </c:pt>
                <c:pt idx="30">
                  <c:v>0.17536486357062617</c:v>
                </c:pt>
                <c:pt idx="31">
                  <c:v>0.17382941586211417</c:v>
                </c:pt>
                <c:pt idx="32">
                  <c:v>0.17894648249342673</c:v>
                </c:pt>
                <c:pt idx="33">
                  <c:v>0.19049512386893391</c:v>
                </c:pt>
                <c:pt idx="34">
                  <c:v>0.24781437898589642</c:v>
                </c:pt>
                <c:pt idx="35">
                  <c:v>0.26722286995724598</c:v>
                </c:pt>
                <c:pt idx="36">
                  <c:v>0.2737580322053299</c:v>
                </c:pt>
                <c:pt idx="37">
                  <c:v>0.27742660466512781</c:v>
                </c:pt>
                <c:pt idx="38">
                  <c:v>0.26265336865156813</c:v>
                </c:pt>
                <c:pt idx="39">
                  <c:v>0.25447308727015133</c:v>
                </c:pt>
                <c:pt idx="40">
                  <c:v>0.24625935362595958</c:v>
                </c:pt>
                <c:pt idx="41">
                  <c:v>0.233951705102945</c:v>
                </c:pt>
                <c:pt idx="42">
                  <c:v>0.22285450684926403</c:v>
                </c:pt>
                <c:pt idx="43">
                  <c:v>0.23111766358008184</c:v>
                </c:pt>
                <c:pt idx="44">
                  <c:v>0.23461632720662462</c:v>
                </c:pt>
                <c:pt idx="45">
                  <c:v>0.24266548378452682</c:v>
                </c:pt>
                <c:pt idx="46">
                  <c:v>0.24827322167732999</c:v>
                </c:pt>
                <c:pt idx="47">
                  <c:v>0.2526209401466043</c:v>
                </c:pt>
                <c:pt idx="48">
                  <c:v>0.24202118680281068</c:v>
                </c:pt>
                <c:pt idx="49">
                  <c:v>0.24689819106966954</c:v>
                </c:pt>
                <c:pt idx="50">
                  <c:v>0.2315503316311138</c:v>
                </c:pt>
                <c:pt idx="51">
                  <c:v>0.20571938581773455</c:v>
                </c:pt>
                <c:pt idx="52">
                  <c:v>0.1971991648677561</c:v>
                </c:pt>
                <c:pt idx="53">
                  <c:v>0.18965429625095376</c:v>
                </c:pt>
                <c:pt idx="54">
                  <c:v>0.17790488100928431</c:v>
                </c:pt>
                <c:pt idx="55">
                  <c:v>0.17617835028054191</c:v>
                </c:pt>
                <c:pt idx="56">
                  <c:v>0.16677207385807516</c:v>
                </c:pt>
                <c:pt idx="57">
                  <c:v>0.16251293917032816</c:v>
                </c:pt>
                <c:pt idx="58">
                  <c:v>0.15186097314585315</c:v>
                </c:pt>
                <c:pt idx="59">
                  <c:v>0.14515053476467707</c:v>
                </c:pt>
                <c:pt idx="60">
                  <c:v>0.13770557442952119</c:v>
                </c:pt>
                <c:pt idx="61">
                  <c:v>0.13403185113159549</c:v>
                </c:pt>
                <c:pt idx="62">
                  <c:v>0.13580448710465942</c:v>
                </c:pt>
                <c:pt idx="63">
                  <c:v>0.13246500000452022</c:v>
                </c:pt>
                <c:pt idx="64">
                  <c:v>0.13298845187940678</c:v>
                </c:pt>
                <c:pt idx="65">
                  <c:v>0.13773212524300232</c:v>
                </c:pt>
                <c:pt idx="66">
                  <c:v>0.14360183481710126</c:v>
                </c:pt>
                <c:pt idx="67">
                  <c:v>0.14695063688065862</c:v>
                </c:pt>
              </c:numCache>
            </c:numRef>
          </c:val>
          <c:smooth val="0"/>
        </c:ser>
        <c:dLbls>
          <c:showLegendKey val="0"/>
          <c:showVal val="0"/>
          <c:showCatName val="0"/>
          <c:showSerName val="0"/>
          <c:showPercent val="0"/>
          <c:showBubbleSize val="0"/>
        </c:dLbls>
        <c:marker val="1"/>
        <c:smooth val="0"/>
        <c:axId val="183583488"/>
        <c:axId val="183585024"/>
      </c:lineChart>
      <c:lineChart>
        <c:grouping val="standard"/>
        <c:varyColors val="0"/>
        <c:ser>
          <c:idx val="2"/>
          <c:order val="2"/>
          <c:tx>
            <c:v>Op. Crédito/Ativ Total</c:v>
          </c:tx>
          <c:spPr>
            <a:ln w="50800" cap="flat">
              <a:solidFill>
                <a:schemeClr val="tx2"/>
              </a:solidFill>
              <a:prstDash val="sysDot"/>
            </a:ln>
          </c:spPr>
          <c:marker>
            <c:symbol val="none"/>
          </c:marker>
          <c:val>
            <c:numRef>
              <c:f>'Médias Ponderadas'!$DR$3:$DR$70</c:f>
              <c:numCache>
                <c:formatCode>0.0000</c:formatCode>
                <c:ptCount val="68"/>
                <c:pt idx="0">
                  <c:v>0.39487383391704001</c:v>
                </c:pt>
                <c:pt idx="1">
                  <c:v>0.37356898502013536</c:v>
                </c:pt>
                <c:pt idx="2">
                  <c:v>0.3843892611184852</c:v>
                </c:pt>
                <c:pt idx="3">
                  <c:v>0.37745619543306302</c:v>
                </c:pt>
                <c:pt idx="4">
                  <c:v>0.35986554683134137</c:v>
                </c:pt>
                <c:pt idx="5">
                  <c:v>0.3051860130158624</c:v>
                </c:pt>
                <c:pt idx="6">
                  <c:v>0.29217171087285898</c:v>
                </c:pt>
                <c:pt idx="7">
                  <c:v>0.2844159979107761</c:v>
                </c:pt>
                <c:pt idx="8">
                  <c:v>0.29195974076580472</c:v>
                </c:pt>
                <c:pt idx="9">
                  <c:v>0.30533353820229159</c:v>
                </c:pt>
                <c:pt idx="10">
                  <c:v>0.27510010002654645</c:v>
                </c:pt>
                <c:pt idx="11">
                  <c:v>0.28155002131354029</c:v>
                </c:pt>
                <c:pt idx="12">
                  <c:v>0.27777246040570064</c:v>
                </c:pt>
                <c:pt idx="13">
                  <c:v>0.29528896444053254</c:v>
                </c:pt>
                <c:pt idx="14">
                  <c:v>0.29031870350107136</c:v>
                </c:pt>
                <c:pt idx="15">
                  <c:v>0.32982515645169708</c:v>
                </c:pt>
                <c:pt idx="16">
                  <c:v>0.29684362418655696</c:v>
                </c:pt>
                <c:pt idx="17">
                  <c:v>0.30928631001979884</c:v>
                </c:pt>
                <c:pt idx="18">
                  <c:v>0.31214735569102148</c:v>
                </c:pt>
                <c:pt idx="19">
                  <c:v>0.32982515645169708</c:v>
                </c:pt>
                <c:pt idx="20">
                  <c:v>0.33022303997416996</c:v>
                </c:pt>
                <c:pt idx="21">
                  <c:v>0.34931579060140749</c:v>
                </c:pt>
                <c:pt idx="22">
                  <c:v>0.34289197521867726</c:v>
                </c:pt>
                <c:pt idx="23">
                  <c:v>0.35440224613215721</c:v>
                </c:pt>
                <c:pt idx="24">
                  <c:v>0.35448946891422062</c:v>
                </c:pt>
                <c:pt idx="25">
                  <c:v>0.35789547751744172</c:v>
                </c:pt>
                <c:pt idx="26">
                  <c:v>0.36004626891082486</c:v>
                </c:pt>
                <c:pt idx="27">
                  <c:v>0.37515212348633215</c:v>
                </c:pt>
                <c:pt idx="28">
                  <c:v>0.36020319273758189</c:v>
                </c:pt>
                <c:pt idx="29">
                  <c:v>0.36637473328809883</c:v>
                </c:pt>
                <c:pt idx="30">
                  <c:v>0.35675270446048568</c:v>
                </c:pt>
                <c:pt idx="31">
                  <c:v>0.37290152805032201</c:v>
                </c:pt>
                <c:pt idx="32">
                  <c:v>0.36591245330484889</c:v>
                </c:pt>
                <c:pt idx="33">
                  <c:v>0.37301701319019015</c:v>
                </c:pt>
                <c:pt idx="34">
                  <c:v>0.35598830034194984</c:v>
                </c:pt>
                <c:pt idx="35">
                  <c:v>0.33260513409089043</c:v>
                </c:pt>
                <c:pt idx="36">
                  <c:v>0.33435745675884931</c:v>
                </c:pt>
                <c:pt idx="37">
                  <c:v>0.34471078206810868</c:v>
                </c:pt>
                <c:pt idx="38">
                  <c:v>0.35255903361013313</c:v>
                </c:pt>
                <c:pt idx="39">
                  <c:v>0.36650405472322667</c:v>
                </c:pt>
                <c:pt idx="40">
                  <c:v>0.36542878916798732</c:v>
                </c:pt>
                <c:pt idx="41">
                  <c:v>0.37878522359385963</c:v>
                </c:pt>
                <c:pt idx="42">
                  <c:v>0.37760603096461604</c:v>
                </c:pt>
                <c:pt idx="43">
                  <c:v>0.38504362083617699</c:v>
                </c:pt>
                <c:pt idx="44">
                  <c:v>0.37794312935207569</c:v>
                </c:pt>
                <c:pt idx="45">
                  <c:v>0.38617588554374099</c:v>
                </c:pt>
                <c:pt idx="46">
                  <c:v>0.38935647724425887</c:v>
                </c:pt>
                <c:pt idx="47">
                  <c:v>0.40048490862777841</c:v>
                </c:pt>
                <c:pt idx="48">
                  <c:v>0.39551074652660584</c:v>
                </c:pt>
                <c:pt idx="49">
                  <c:v>0.40851613882516513</c:v>
                </c:pt>
                <c:pt idx="50">
                  <c:v>0.40265763750828854</c:v>
                </c:pt>
                <c:pt idx="51">
                  <c:v>0.4151078209964717</c:v>
                </c:pt>
                <c:pt idx="52">
                  <c:v>0.42043283735784864</c:v>
                </c:pt>
                <c:pt idx="53">
                  <c:v>0.43569437674395539</c:v>
                </c:pt>
                <c:pt idx="54">
                  <c:v>0.43849606536308039</c:v>
                </c:pt>
                <c:pt idx="55">
                  <c:v>0.45736523708622751</c:v>
                </c:pt>
                <c:pt idx="56">
                  <c:v>0.4532192465309352</c:v>
                </c:pt>
                <c:pt idx="57">
                  <c:v>0.46314882733085144</c:v>
                </c:pt>
                <c:pt idx="58">
                  <c:v>0.46066238421221212</c:v>
                </c:pt>
                <c:pt idx="59">
                  <c:v>0.46826012136651834</c:v>
                </c:pt>
                <c:pt idx="60">
                  <c:v>0.46020539256905002</c:v>
                </c:pt>
                <c:pt idx="61">
                  <c:v>0.46905481462046511</c:v>
                </c:pt>
                <c:pt idx="62">
                  <c:v>0.46223938432168982</c:v>
                </c:pt>
                <c:pt idx="63">
                  <c:v>0.45899842580833988</c:v>
                </c:pt>
                <c:pt idx="64">
                  <c:v>0.45551935779957303</c:v>
                </c:pt>
                <c:pt idx="65">
                  <c:v>0.44546566374691787</c:v>
                </c:pt>
                <c:pt idx="66">
                  <c:v>0.43877588407536378</c:v>
                </c:pt>
                <c:pt idx="67">
                  <c:v>0.43587857356033588</c:v>
                </c:pt>
              </c:numCache>
            </c:numRef>
          </c:val>
          <c:smooth val="0"/>
        </c:ser>
        <c:dLbls>
          <c:showLegendKey val="0"/>
          <c:showVal val="0"/>
          <c:showCatName val="0"/>
          <c:showSerName val="0"/>
          <c:showPercent val="0"/>
          <c:showBubbleSize val="0"/>
        </c:dLbls>
        <c:marker val="1"/>
        <c:smooth val="0"/>
        <c:axId val="183601024"/>
        <c:axId val="183599104"/>
      </c:lineChart>
      <c:dateAx>
        <c:axId val="183583488"/>
        <c:scaling>
          <c:orientation val="minMax"/>
        </c:scaling>
        <c:delete val="0"/>
        <c:axPos val="b"/>
        <c:numFmt formatCode="mmm\-yy" sourceLinked="1"/>
        <c:majorTickMark val="none"/>
        <c:minorTickMark val="none"/>
        <c:tickLblPos val="nextTo"/>
        <c:crossAx val="183585024"/>
        <c:crossesAt val="5.000000000000001E-2"/>
        <c:auto val="1"/>
        <c:lblOffset val="100"/>
        <c:baseTimeUnit val="months"/>
        <c:majorUnit val="1"/>
        <c:majorTimeUnit val="years"/>
        <c:minorUnit val="12"/>
        <c:minorTimeUnit val="months"/>
      </c:dateAx>
      <c:valAx>
        <c:axId val="183585024"/>
        <c:scaling>
          <c:orientation val="minMax"/>
          <c:min val="5.000000000000001E-2"/>
        </c:scaling>
        <c:delete val="0"/>
        <c:axPos val="l"/>
        <c:numFmt formatCode="0%" sourceLinked="0"/>
        <c:majorTickMark val="none"/>
        <c:minorTickMark val="none"/>
        <c:tickLblPos val="nextTo"/>
        <c:spPr>
          <a:ln w="9525">
            <a:noFill/>
          </a:ln>
        </c:spPr>
        <c:crossAx val="183583488"/>
        <c:crosses val="autoZero"/>
        <c:crossBetween val="between"/>
      </c:valAx>
      <c:valAx>
        <c:axId val="183599104"/>
        <c:scaling>
          <c:orientation val="minMax"/>
        </c:scaling>
        <c:delete val="0"/>
        <c:axPos val="r"/>
        <c:title>
          <c:tx>
            <c:rich>
              <a:bodyPr/>
              <a:lstStyle/>
              <a:p>
                <a:pPr>
                  <a:defRPr/>
                </a:pPr>
                <a:r>
                  <a:rPr lang="pt-BR"/>
                  <a:t>Op. Crédito/ Ativo Total</a:t>
                </a:r>
              </a:p>
            </c:rich>
          </c:tx>
          <c:overlay val="0"/>
        </c:title>
        <c:numFmt formatCode="0%" sourceLinked="0"/>
        <c:majorTickMark val="out"/>
        <c:minorTickMark val="none"/>
        <c:tickLblPos val="nextTo"/>
        <c:crossAx val="183601024"/>
        <c:crosses val="max"/>
        <c:crossBetween val="between"/>
      </c:valAx>
      <c:catAx>
        <c:axId val="183601024"/>
        <c:scaling>
          <c:orientation val="minMax"/>
        </c:scaling>
        <c:delete val="1"/>
        <c:axPos val="b"/>
        <c:majorTickMark val="out"/>
        <c:minorTickMark val="none"/>
        <c:tickLblPos val="nextTo"/>
        <c:crossAx val="183599104"/>
        <c:crosses val="autoZero"/>
        <c:auto val="1"/>
        <c:lblAlgn val="ctr"/>
        <c:lblOffset val="100"/>
        <c:noMultiLvlLbl val="0"/>
      </c:catAx>
    </c:plotArea>
    <c:legend>
      <c:legendPos val="b"/>
      <c:layout>
        <c:manualLayout>
          <c:xMode val="edge"/>
          <c:yMode val="edge"/>
          <c:x val="5.0386392702609965E-2"/>
          <c:y val="0.88613960417110027"/>
          <c:w val="0.90898905473568248"/>
          <c:h val="8.5046020164883065E-2"/>
        </c:manualLayout>
      </c:layout>
      <c:overlay val="0"/>
    </c:legend>
    <c:plotVisOnly val="1"/>
    <c:dispBlanksAs val="gap"/>
    <c:showDLblsOverMax val="0"/>
  </c:chart>
  <c:spPr>
    <a:no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BB</c:v>
          </c:tx>
          <c:spPr>
            <a:ln>
              <a:solidFill>
                <a:schemeClr val="tx2"/>
              </a:solidFill>
            </a:ln>
          </c:spPr>
          <c:marker>
            <c:symbol val="none"/>
          </c:marker>
          <c:cat>
            <c:numRef>
              <c:f>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Índices!$E$3:$E$70</c:f>
              <c:numCache>
                <c:formatCode>0%</c:formatCode>
                <c:ptCount val="68"/>
                <c:pt idx="0">
                  <c:v>0.26811963387049653</c:v>
                </c:pt>
                <c:pt idx="1">
                  <c:v>0.20848137745563125</c:v>
                </c:pt>
                <c:pt idx="2">
                  <c:v>0.19902326158205577</c:v>
                </c:pt>
                <c:pt idx="3">
                  <c:v>0.20053852652568871</c:v>
                </c:pt>
                <c:pt idx="4">
                  <c:v>0.20102029253600773</c:v>
                </c:pt>
                <c:pt idx="5">
                  <c:v>0.20015615060508901</c:v>
                </c:pt>
                <c:pt idx="6">
                  <c:v>0.19562257776101416</c:v>
                </c:pt>
                <c:pt idx="7">
                  <c:v>0.16279177708744261</c:v>
                </c:pt>
                <c:pt idx="8">
                  <c:v>0.19806540252868143</c:v>
                </c:pt>
                <c:pt idx="9">
                  <c:v>0.18401693658367016</c:v>
                </c:pt>
                <c:pt idx="10">
                  <c:v>0.1908591344853367</c:v>
                </c:pt>
                <c:pt idx="11">
                  <c:v>0.19145213612025819</c:v>
                </c:pt>
                <c:pt idx="12">
                  <c:v>0.20121107229413759</c:v>
                </c:pt>
                <c:pt idx="13">
                  <c:v>0.21424428070921228</c:v>
                </c:pt>
                <c:pt idx="14">
                  <c:v>0.21560030050345255</c:v>
                </c:pt>
                <c:pt idx="15">
                  <c:v>0.17954787620760193</c:v>
                </c:pt>
                <c:pt idx="16">
                  <c:v>0.17693896952237662</c:v>
                </c:pt>
                <c:pt idx="17">
                  <c:v>0.1932471271132738</c:v>
                </c:pt>
                <c:pt idx="18">
                  <c:v>0.18288475263502893</c:v>
                </c:pt>
                <c:pt idx="19">
                  <c:v>0.17954787620760193</c:v>
                </c:pt>
                <c:pt idx="20">
                  <c:v>0.18581267834966805</c:v>
                </c:pt>
                <c:pt idx="21">
                  <c:v>0.19705674908747853</c:v>
                </c:pt>
                <c:pt idx="22">
                  <c:v>0.20208771208252796</c:v>
                </c:pt>
                <c:pt idx="23">
                  <c:v>0.21673565264122191</c:v>
                </c:pt>
                <c:pt idx="24">
                  <c:v>0.22635435740569065</c:v>
                </c:pt>
                <c:pt idx="25">
                  <c:v>0.21861822132999328</c:v>
                </c:pt>
                <c:pt idx="26">
                  <c:v>0.21811347256351704</c:v>
                </c:pt>
                <c:pt idx="27">
                  <c:v>0.21109595462940892</c:v>
                </c:pt>
                <c:pt idx="28">
                  <c:v>0.20543952833235823</c:v>
                </c:pt>
                <c:pt idx="29">
                  <c:v>0.20111087172637263</c:v>
                </c:pt>
                <c:pt idx="30">
                  <c:v>0.20465567455234368</c:v>
                </c:pt>
                <c:pt idx="31">
                  <c:v>0.20115431929025748</c:v>
                </c:pt>
                <c:pt idx="32">
                  <c:v>0.20045734491606521</c:v>
                </c:pt>
                <c:pt idx="33">
                  <c:v>0.21199312432278769</c:v>
                </c:pt>
                <c:pt idx="34">
                  <c:v>0.26746726317751429</c:v>
                </c:pt>
                <c:pt idx="35">
                  <c:v>0.28128986531285022</c:v>
                </c:pt>
                <c:pt idx="36">
                  <c:v>0.29921560191861074</c:v>
                </c:pt>
                <c:pt idx="37">
                  <c:v>0.31016988848719662</c:v>
                </c:pt>
                <c:pt idx="38">
                  <c:v>0.28428476209372849</c:v>
                </c:pt>
                <c:pt idx="39">
                  <c:v>0.27530367064532818</c:v>
                </c:pt>
                <c:pt idx="40">
                  <c:v>0.27735842895947554</c:v>
                </c:pt>
                <c:pt idx="41">
                  <c:v>0.26198635219744498</c:v>
                </c:pt>
                <c:pt idx="42">
                  <c:v>0.25128667291360923</c:v>
                </c:pt>
                <c:pt idx="43">
                  <c:v>0.26674328946187781</c:v>
                </c:pt>
                <c:pt idx="44">
                  <c:v>0.26872781165232451</c:v>
                </c:pt>
                <c:pt idx="45">
                  <c:v>0.27792698681488537</c:v>
                </c:pt>
                <c:pt idx="46">
                  <c:v>0.28719922105496937</c:v>
                </c:pt>
                <c:pt idx="47">
                  <c:v>0.29382441855215941</c:v>
                </c:pt>
                <c:pt idx="48">
                  <c:v>0.29403288644781683</c:v>
                </c:pt>
                <c:pt idx="49">
                  <c:v>0.29827356891658718</c:v>
                </c:pt>
                <c:pt idx="50">
                  <c:v>0.28555363458280297</c:v>
                </c:pt>
                <c:pt idx="51">
                  <c:v>0.25170911866265117</c:v>
                </c:pt>
                <c:pt idx="52">
                  <c:v>0.24133017775828622</c:v>
                </c:pt>
                <c:pt idx="53">
                  <c:v>0.23346322474574691</c:v>
                </c:pt>
                <c:pt idx="54">
                  <c:v>0.21593643086520414</c:v>
                </c:pt>
                <c:pt idx="55">
                  <c:v>0.21034929080962142</c:v>
                </c:pt>
                <c:pt idx="56">
                  <c:v>0.19287590396063786</c:v>
                </c:pt>
                <c:pt idx="57">
                  <c:v>0.18614632958123617</c:v>
                </c:pt>
                <c:pt idx="58">
                  <c:v>0.17241224473556754</c:v>
                </c:pt>
                <c:pt idx="59">
                  <c:v>0.16761851173786585</c:v>
                </c:pt>
                <c:pt idx="60">
                  <c:v>0.1565382571080691</c:v>
                </c:pt>
                <c:pt idx="61">
                  <c:v>0.14630752630291868</c:v>
                </c:pt>
                <c:pt idx="62">
                  <c:v>0.14756455413023359</c:v>
                </c:pt>
                <c:pt idx="63">
                  <c:v>0.14586675581207301</c:v>
                </c:pt>
                <c:pt idx="64">
                  <c:v>0.14433599411231571</c:v>
                </c:pt>
                <c:pt idx="65">
                  <c:v>0.14033554770705278</c:v>
                </c:pt>
                <c:pt idx="66">
                  <c:v>0.14083385641226256</c:v>
                </c:pt>
                <c:pt idx="67">
                  <c:v>0.14558848849950962</c:v>
                </c:pt>
              </c:numCache>
            </c:numRef>
          </c:val>
          <c:smooth val="0"/>
        </c:ser>
        <c:ser>
          <c:idx val="1"/>
          <c:order val="1"/>
          <c:tx>
            <c:v>CEF</c:v>
          </c:tx>
          <c:spPr>
            <a:ln>
              <a:solidFill>
                <a:schemeClr val="tx1">
                  <a:lumMod val="65000"/>
                  <a:lumOff val="35000"/>
                </a:schemeClr>
              </a:solidFill>
            </a:ln>
          </c:spPr>
          <c:marker>
            <c:symbol val="none"/>
          </c:marker>
          <c:val>
            <c:numRef>
              <c:f>Índices!$K$3:$K$70</c:f>
              <c:numCache>
                <c:formatCode>0%</c:formatCode>
                <c:ptCount val="68"/>
                <c:pt idx="0">
                  <c:v>0.23797419375961926</c:v>
                </c:pt>
                <c:pt idx="1">
                  <c:v>0.22414537478426311</c:v>
                </c:pt>
                <c:pt idx="2">
                  <c:v>0.21928148668927303</c:v>
                </c:pt>
                <c:pt idx="3">
                  <c:v>0.21366297565347764</c:v>
                </c:pt>
                <c:pt idx="4">
                  <c:v>0.21774821279072967</c:v>
                </c:pt>
                <c:pt idx="5">
                  <c:v>0.29243319082116037</c:v>
                </c:pt>
                <c:pt idx="6">
                  <c:v>0.27891254111306818</c:v>
                </c:pt>
                <c:pt idx="7">
                  <c:v>0.26780779009413275</c:v>
                </c:pt>
                <c:pt idx="8">
                  <c:v>0.25041457159101954</c:v>
                </c:pt>
                <c:pt idx="9">
                  <c:v>0.24004843618305788</c:v>
                </c:pt>
                <c:pt idx="10">
                  <c:v>0.21907338394011647</c:v>
                </c:pt>
                <c:pt idx="11">
                  <c:v>0.20357863372812429</c:v>
                </c:pt>
                <c:pt idx="12">
                  <c:v>0.19166573906887371</c:v>
                </c:pt>
                <c:pt idx="13">
                  <c:v>0.20049840036025468</c:v>
                </c:pt>
                <c:pt idx="14">
                  <c:v>0.19559151861315405</c:v>
                </c:pt>
                <c:pt idx="15">
                  <c:v>0.21344465113738648</c:v>
                </c:pt>
                <c:pt idx="16">
                  <c:v>0.17714419980218807</c:v>
                </c:pt>
                <c:pt idx="17">
                  <c:v>0.17354131525851441</c:v>
                </c:pt>
                <c:pt idx="18">
                  <c:v>0.20227714362675828</c:v>
                </c:pt>
                <c:pt idx="19">
                  <c:v>0.21344465113738648</c:v>
                </c:pt>
                <c:pt idx="20">
                  <c:v>0.23416552891389994</c:v>
                </c:pt>
                <c:pt idx="21">
                  <c:v>0.2264368184993889</c:v>
                </c:pt>
                <c:pt idx="22">
                  <c:v>0.22600425927959017</c:v>
                </c:pt>
                <c:pt idx="23">
                  <c:v>0.21433753986061055</c:v>
                </c:pt>
                <c:pt idx="24">
                  <c:v>0.2329857420149945</c:v>
                </c:pt>
                <c:pt idx="25">
                  <c:v>0.2233338037044181</c:v>
                </c:pt>
                <c:pt idx="26">
                  <c:v>0.2286215645156584</c:v>
                </c:pt>
                <c:pt idx="27">
                  <c:v>0.21058647329848151</c:v>
                </c:pt>
                <c:pt idx="28">
                  <c:v>0.20744621292194609</c:v>
                </c:pt>
                <c:pt idx="29">
                  <c:v>0.18464060857979137</c:v>
                </c:pt>
                <c:pt idx="30">
                  <c:v>0.18173448307247325</c:v>
                </c:pt>
                <c:pt idx="31">
                  <c:v>0.17302848239744614</c:v>
                </c:pt>
                <c:pt idx="32">
                  <c:v>0.1835855808945166</c:v>
                </c:pt>
                <c:pt idx="33">
                  <c:v>0.18071632838311641</c:v>
                </c:pt>
                <c:pt idx="34">
                  <c:v>0.17552771219618393</c:v>
                </c:pt>
                <c:pt idx="35">
                  <c:v>0.17169239864773014</c:v>
                </c:pt>
                <c:pt idx="36">
                  <c:v>0.17796599896314017</c:v>
                </c:pt>
                <c:pt idx="37">
                  <c:v>0.17226577752859154</c:v>
                </c:pt>
                <c:pt idx="38">
                  <c:v>0.16557189828618435</c:v>
                </c:pt>
                <c:pt idx="39">
                  <c:v>0.13322283342484106</c:v>
                </c:pt>
                <c:pt idx="40">
                  <c:v>0.13943510035566739</c:v>
                </c:pt>
                <c:pt idx="41">
                  <c:v>0.13438513253323045</c:v>
                </c:pt>
                <c:pt idx="42">
                  <c:v>0.13225247380983923</c:v>
                </c:pt>
                <c:pt idx="43">
                  <c:v>0.14045978923949429</c:v>
                </c:pt>
                <c:pt idx="44">
                  <c:v>0.145009996755466</c:v>
                </c:pt>
                <c:pt idx="45">
                  <c:v>0.14721313897788871</c:v>
                </c:pt>
                <c:pt idx="46">
                  <c:v>0.1414735255641266</c:v>
                </c:pt>
                <c:pt idx="47">
                  <c:v>0.13873242354141055</c:v>
                </c:pt>
                <c:pt idx="48">
                  <c:v>0.13882902560535157</c:v>
                </c:pt>
                <c:pt idx="49">
                  <c:v>0.14036923315243424</c:v>
                </c:pt>
                <c:pt idx="50">
                  <c:v>0.14123656730989978</c:v>
                </c:pt>
                <c:pt idx="51">
                  <c:v>0.14240650022054996</c:v>
                </c:pt>
                <c:pt idx="52">
                  <c:v>0.14895799434115753</c:v>
                </c:pt>
                <c:pt idx="53">
                  <c:v>0.14402449595716196</c:v>
                </c:pt>
                <c:pt idx="54">
                  <c:v>0.13846147165025635</c:v>
                </c:pt>
                <c:pt idx="55">
                  <c:v>0.13692865732304893</c:v>
                </c:pt>
                <c:pt idx="56">
                  <c:v>0.13828775194163032</c:v>
                </c:pt>
                <c:pt idx="57">
                  <c:v>0.14026370893329021</c:v>
                </c:pt>
                <c:pt idx="58">
                  <c:v>0.13866203640125355</c:v>
                </c:pt>
                <c:pt idx="59">
                  <c:v>0.1380405226806673</c:v>
                </c:pt>
                <c:pt idx="60">
                  <c:v>0.14138948439289772</c:v>
                </c:pt>
                <c:pt idx="61">
                  <c:v>0.14180574836272353</c:v>
                </c:pt>
                <c:pt idx="62">
                  <c:v>0.14776210405106813</c:v>
                </c:pt>
                <c:pt idx="63">
                  <c:v>0.14406361108198826</c:v>
                </c:pt>
                <c:pt idx="64">
                  <c:v>0.1438552943049391</c:v>
                </c:pt>
                <c:pt idx="65">
                  <c:v>0.15671859440464603</c:v>
                </c:pt>
                <c:pt idx="66">
                  <c:v>0.17242751084867283</c:v>
                </c:pt>
                <c:pt idx="67">
                  <c:v>0.17217107755802466</c:v>
                </c:pt>
              </c:numCache>
            </c:numRef>
          </c:val>
          <c:smooth val="0"/>
        </c:ser>
        <c:ser>
          <c:idx val="2"/>
          <c:order val="2"/>
          <c:tx>
            <c:v>Bradesco</c:v>
          </c:tx>
          <c:spPr>
            <a:ln>
              <a:solidFill>
                <a:schemeClr val="tx1"/>
              </a:solidFill>
            </a:ln>
          </c:spPr>
          <c:marker>
            <c:symbol val="none"/>
          </c:marker>
          <c:val>
            <c:numRef>
              <c:f>Índices!$Q$3:$Q$70</c:f>
              <c:numCache>
                <c:formatCode>0%</c:formatCode>
                <c:ptCount val="68"/>
                <c:pt idx="0">
                  <c:v>0.15054776768705744</c:v>
                </c:pt>
                <c:pt idx="1">
                  <c:v>0.13987242867200733</c:v>
                </c:pt>
                <c:pt idx="2">
                  <c:v>0.13721307447256822</c:v>
                </c:pt>
                <c:pt idx="3">
                  <c:v>0.14244784102139699</c:v>
                </c:pt>
                <c:pt idx="4">
                  <c:v>0.13784479243885983</c:v>
                </c:pt>
                <c:pt idx="5">
                  <c:v>0.14685228002978171</c:v>
                </c:pt>
                <c:pt idx="6">
                  <c:v>0.17888854035832183</c:v>
                </c:pt>
                <c:pt idx="7">
                  <c:v>0.17408238764333109</c:v>
                </c:pt>
                <c:pt idx="8">
                  <c:v>0.20235314604751908</c:v>
                </c:pt>
                <c:pt idx="9">
                  <c:v>0.21801742062057655</c:v>
                </c:pt>
                <c:pt idx="10">
                  <c:v>0.21215241289465916</c:v>
                </c:pt>
                <c:pt idx="11">
                  <c:v>0.20835751015519136</c:v>
                </c:pt>
                <c:pt idx="12">
                  <c:v>0.21122730858638628</c:v>
                </c:pt>
                <c:pt idx="13">
                  <c:v>0.20601218095243426</c:v>
                </c:pt>
                <c:pt idx="14">
                  <c:v>0.20590946167546664</c:v>
                </c:pt>
                <c:pt idx="15">
                  <c:v>0.2141780147237369</c:v>
                </c:pt>
                <c:pt idx="16">
                  <c:v>0.20971712862835018</c:v>
                </c:pt>
                <c:pt idx="17">
                  <c:v>0.21437715676748173</c:v>
                </c:pt>
                <c:pt idx="18">
                  <c:v>0.2040190678674034</c:v>
                </c:pt>
                <c:pt idx="19">
                  <c:v>0.2141780147237369</c:v>
                </c:pt>
                <c:pt idx="20">
                  <c:v>0.23042062693424975</c:v>
                </c:pt>
                <c:pt idx="21">
                  <c:v>0.23006356749171356</c:v>
                </c:pt>
                <c:pt idx="22">
                  <c:v>0.21666619413695096</c:v>
                </c:pt>
                <c:pt idx="23">
                  <c:v>0.2246394690191991</c:v>
                </c:pt>
                <c:pt idx="24">
                  <c:v>0.2124077134950027</c:v>
                </c:pt>
                <c:pt idx="25">
                  <c:v>0.22039791472698947</c:v>
                </c:pt>
                <c:pt idx="26">
                  <c:v>0.20390896558720364</c:v>
                </c:pt>
                <c:pt idx="27">
                  <c:v>0.18548698221084844</c:v>
                </c:pt>
                <c:pt idx="28">
                  <c:v>0.17547527916435887</c:v>
                </c:pt>
                <c:pt idx="29">
                  <c:v>0.15486748118535038</c:v>
                </c:pt>
                <c:pt idx="30">
                  <c:v>0.14416100688028824</c:v>
                </c:pt>
                <c:pt idx="31">
                  <c:v>0.14977849108764332</c:v>
                </c:pt>
                <c:pt idx="32">
                  <c:v>0.17649790904743365</c:v>
                </c:pt>
                <c:pt idx="33">
                  <c:v>0.1978953509797835</c:v>
                </c:pt>
                <c:pt idx="34">
                  <c:v>0.23180427756706679</c:v>
                </c:pt>
                <c:pt idx="35">
                  <c:v>0.27131463041855119</c:v>
                </c:pt>
                <c:pt idx="36">
                  <c:v>0.27171998567816297</c:v>
                </c:pt>
                <c:pt idx="37">
                  <c:v>0.26072899241724001</c:v>
                </c:pt>
                <c:pt idx="38">
                  <c:v>0.24925726549869201</c:v>
                </c:pt>
                <c:pt idx="39">
                  <c:v>0.22688015451194193</c:v>
                </c:pt>
                <c:pt idx="40">
                  <c:v>0.2180593656477644</c:v>
                </c:pt>
                <c:pt idx="41">
                  <c:v>0.21639567929099596</c:v>
                </c:pt>
                <c:pt idx="42">
                  <c:v>0.20217804070723022</c:v>
                </c:pt>
                <c:pt idx="43">
                  <c:v>0.19865334017153358</c:v>
                </c:pt>
                <c:pt idx="44">
                  <c:v>0.21229749726992561</c:v>
                </c:pt>
                <c:pt idx="45">
                  <c:v>0.2260021149525718</c:v>
                </c:pt>
                <c:pt idx="46">
                  <c:v>0.23325925617726936</c:v>
                </c:pt>
                <c:pt idx="47">
                  <c:v>0.20381433776410798</c:v>
                </c:pt>
                <c:pt idx="48">
                  <c:v>0.19169831964983741</c:v>
                </c:pt>
                <c:pt idx="49">
                  <c:v>0.18476915389668788</c:v>
                </c:pt>
                <c:pt idx="50">
                  <c:v>0.16795880825054799</c:v>
                </c:pt>
                <c:pt idx="51">
                  <c:v>0.15263093413979623</c:v>
                </c:pt>
                <c:pt idx="52">
                  <c:v>0.1421139619926122</c:v>
                </c:pt>
                <c:pt idx="53">
                  <c:v>0.14084658786720619</c:v>
                </c:pt>
                <c:pt idx="54">
                  <c:v>0.14154061163425169</c:v>
                </c:pt>
                <c:pt idx="55">
                  <c:v>0.13680260351934631</c:v>
                </c:pt>
                <c:pt idx="56">
                  <c:v>0.1368302550776829</c:v>
                </c:pt>
                <c:pt idx="57">
                  <c:v>0.12975778934000767</c:v>
                </c:pt>
                <c:pt idx="58">
                  <c:v>0.11861339178726543</c:v>
                </c:pt>
                <c:pt idx="59">
                  <c:v>0.10782010135606805</c:v>
                </c:pt>
                <c:pt idx="60">
                  <c:v>0.11303650286414463</c:v>
                </c:pt>
                <c:pt idx="61">
                  <c:v>0.10154465571116381</c:v>
                </c:pt>
                <c:pt idx="62">
                  <c:v>0.11277483028550643</c:v>
                </c:pt>
                <c:pt idx="63">
                  <c:v>9.9074711928889225E-2</c:v>
                </c:pt>
                <c:pt idx="64">
                  <c:v>9.4040370433248477E-2</c:v>
                </c:pt>
                <c:pt idx="65">
                  <c:v>8.0106924409025809E-2</c:v>
                </c:pt>
                <c:pt idx="66">
                  <c:v>0.1180006124880487</c:v>
                </c:pt>
                <c:pt idx="67">
                  <c:v>0.10662510823124208</c:v>
                </c:pt>
              </c:numCache>
            </c:numRef>
          </c:val>
          <c:smooth val="0"/>
        </c:ser>
        <c:ser>
          <c:idx val="3"/>
          <c:order val="3"/>
          <c:tx>
            <c:v>Itaú</c:v>
          </c:tx>
          <c:spPr>
            <a:ln>
              <a:solidFill>
                <a:srgbClr val="FF0000"/>
              </a:solidFill>
            </a:ln>
          </c:spPr>
          <c:marker>
            <c:symbol val="none"/>
          </c:marker>
          <c:val>
            <c:numRef>
              <c:f>Índices!$W$3:$W$70</c:f>
              <c:numCache>
                <c:formatCode>0%</c:formatCode>
                <c:ptCount val="68"/>
                <c:pt idx="0">
                  <c:v>7.5004476556920399E-2</c:v>
                </c:pt>
                <c:pt idx="1">
                  <c:v>6.8102590527885129E-2</c:v>
                </c:pt>
                <c:pt idx="2">
                  <c:v>6.6239749585950997E-2</c:v>
                </c:pt>
                <c:pt idx="3">
                  <c:v>9.000563999584657E-2</c:v>
                </c:pt>
                <c:pt idx="4">
                  <c:v>8.3161463112499348E-2</c:v>
                </c:pt>
                <c:pt idx="5">
                  <c:v>8.344281714434558E-2</c:v>
                </c:pt>
                <c:pt idx="6">
                  <c:v>7.5986166070605793E-2</c:v>
                </c:pt>
                <c:pt idx="7">
                  <c:v>6.8111643121247359E-2</c:v>
                </c:pt>
                <c:pt idx="8">
                  <c:v>7.3701412375419953E-2</c:v>
                </c:pt>
                <c:pt idx="9">
                  <c:v>7.742199635491008E-2</c:v>
                </c:pt>
                <c:pt idx="10">
                  <c:v>7.9813509816461237E-2</c:v>
                </c:pt>
                <c:pt idx="11">
                  <c:v>0.11008767057902569</c:v>
                </c:pt>
                <c:pt idx="12">
                  <c:v>0.13072541462668397</c:v>
                </c:pt>
                <c:pt idx="13">
                  <c:v>0.12159100416547619</c:v>
                </c:pt>
                <c:pt idx="14">
                  <c:v>0.10085922302017569</c:v>
                </c:pt>
                <c:pt idx="15">
                  <c:v>0.10291523484516296</c:v>
                </c:pt>
                <c:pt idx="16">
                  <c:v>7.9023723023118358E-2</c:v>
                </c:pt>
                <c:pt idx="17">
                  <c:v>8.3466512538365123E-2</c:v>
                </c:pt>
                <c:pt idx="18">
                  <c:v>8.3120871421580672E-2</c:v>
                </c:pt>
                <c:pt idx="19">
                  <c:v>0.10291523484516296</c:v>
                </c:pt>
                <c:pt idx="20">
                  <c:v>0.10804771589374035</c:v>
                </c:pt>
                <c:pt idx="21">
                  <c:v>0.12010336841644736</c:v>
                </c:pt>
                <c:pt idx="22">
                  <c:v>0.12482958591291626</c:v>
                </c:pt>
                <c:pt idx="23">
                  <c:v>0.14076934105834105</c:v>
                </c:pt>
                <c:pt idx="24">
                  <c:v>0.14702014313345879</c:v>
                </c:pt>
                <c:pt idx="25">
                  <c:v>0.14827393055157204</c:v>
                </c:pt>
                <c:pt idx="26">
                  <c:v>0.11333156692676916</c:v>
                </c:pt>
                <c:pt idx="27">
                  <c:v>9.6524383096960126E-2</c:v>
                </c:pt>
                <c:pt idx="28">
                  <c:v>9.4983812561419106E-2</c:v>
                </c:pt>
                <c:pt idx="29">
                  <c:v>0.11128842223270774</c:v>
                </c:pt>
                <c:pt idx="30">
                  <c:v>8.9945947438854437E-2</c:v>
                </c:pt>
                <c:pt idx="31">
                  <c:v>9.3287972101593022E-2</c:v>
                </c:pt>
                <c:pt idx="32">
                  <c:v>9.9257343573499524E-2</c:v>
                </c:pt>
                <c:pt idx="33">
                  <c:v>0.1193704278363851</c:v>
                </c:pt>
                <c:pt idx="34">
                  <c:v>0.19529657504941181</c:v>
                </c:pt>
                <c:pt idx="35">
                  <c:v>0.25591579073196569</c:v>
                </c:pt>
                <c:pt idx="36">
                  <c:v>0.24686023225775314</c:v>
                </c:pt>
                <c:pt idx="37">
                  <c:v>0.24269692445055333</c:v>
                </c:pt>
                <c:pt idx="38">
                  <c:v>0.2298780915176398</c:v>
                </c:pt>
                <c:pt idx="39">
                  <c:v>0.22388591797419075</c:v>
                </c:pt>
                <c:pt idx="40">
                  <c:v>0.19742559589394282</c:v>
                </c:pt>
                <c:pt idx="41">
                  <c:v>0.19083875821923912</c:v>
                </c:pt>
                <c:pt idx="42">
                  <c:v>0.18192492716036265</c:v>
                </c:pt>
                <c:pt idx="43">
                  <c:v>0.18869503429041851</c:v>
                </c:pt>
                <c:pt idx="44">
                  <c:v>0.18775089018837932</c:v>
                </c:pt>
                <c:pt idx="45">
                  <c:v>0.18882614863971844</c:v>
                </c:pt>
                <c:pt idx="46">
                  <c:v>0.18743371239529583</c:v>
                </c:pt>
                <c:pt idx="47">
                  <c:v>0.19947140872670369</c:v>
                </c:pt>
                <c:pt idx="48">
                  <c:v>0.16545191458810624</c:v>
                </c:pt>
                <c:pt idx="49">
                  <c:v>0.16098945802984238</c:v>
                </c:pt>
                <c:pt idx="50">
                  <c:v>0.14131485085849824</c:v>
                </c:pt>
                <c:pt idx="51">
                  <c:v>0.13604078843578918</c:v>
                </c:pt>
                <c:pt idx="52">
                  <c:v>0.12452664876401308</c:v>
                </c:pt>
                <c:pt idx="53">
                  <c:v>0.11867897293126578</c:v>
                </c:pt>
                <c:pt idx="54">
                  <c:v>0.11797113102708351</c:v>
                </c:pt>
                <c:pt idx="55">
                  <c:v>0.12544422527029098</c:v>
                </c:pt>
                <c:pt idx="56">
                  <c:v>0.12828085595521929</c:v>
                </c:pt>
                <c:pt idx="57">
                  <c:v>0.12609062561590836</c:v>
                </c:pt>
                <c:pt idx="58">
                  <c:v>0.12305572383039415</c:v>
                </c:pt>
                <c:pt idx="59">
                  <c:v>0.10764526663263686</c:v>
                </c:pt>
                <c:pt idx="60">
                  <c:v>8.8280113322092041E-2</c:v>
                </c:pt>
                <c:pt idx="61">
                  <c:v>8.6637288624890368E-2</c:v>
                </c:pt>
                <c:pt idx="62">
                  <c:v>9.9437399770406817E-2</c:v>
                </c:pt>
                <c:pt idx="63">
                  <c:v>9.0479111845544025E-2</c:v>
                </c:pt>
                <c:pt idx="64">
                  <c:v>8.4870697838619127E-2</c:v>
                </c:pt>
                <c:pt idx="65">
                  <c:v>0.11709808084701206</c:v>
                </c:pt>
                <c:pt idx="66">
                  <c:v>0.1179872064389218</c:v>
                </c:pt>
                <c:pt idx="67">
                  <c:v>0.13046852933937794</c:v>
                </c:pt>
              </c:numCache>
            </c:numRef>
          </c:val>
          <c:smooth val="0"/>
        </c:ser>
        <c:ser>
          <c:idx val="4"/>
          <c:order val="4"/>
          <c:tx>
            <c:v>Santander</c:v>
          </c:tx>
          <c:spPr>
            <a:ln>
              <a:solidFill>
                <a:schemeClr val="bg2">
                  <a:lumMod val="50000"/>
                </a:schemeClr>
              </a:solidFill>
            </a:ln>
          </c:spPr>
          <c:marker>
            <c:symbol val="none"/>
          </c:marker>
          <c:val>
            <c:numRef>
              <c:f>Índices!$AC$3:$AC$70</c:f>
              <c:numCache>
                <c:formatCode>0%</c:formatCode>
                <c:ptCount val="68"/>
                <c:pt idx="0">
                  <c:v>0.20922612563253082</c:v>
                </c:pt>
                <c:pt idx="1">
                  <c:v>0.18444366158797598</c:v>
                </c:pt>
                <c:pt idx="2">
                  <c:v>0.14805154688127789</c:v>
                </c:pt>
                <c:pt idx="3">
                  <c:v>0.15287686860237745</c:v>
                </c:pt>
                <c:pt idx="4">
                  <c:v>0.16597328501402292</c:v>
                </c:pt>
                <c:pt idx="5">
                  <c:v>0.15435801790147341</c:v>
                </c:pt>
                <c:pt idx="6">
                  <c:v>0.15485106191888612</c:v>
                </c:pt>
                <c:pt idx="7">
                  <c:v>0.17787802780364936</c:v>
                </c:pt>
                <c:pt idx="8">
                  <c:v>0.18396296837069104</c:v>
                </c:pt>
                <c:pt idx="9">
                  <c:v>0.1993174883577668</c:v>
                </c:pt>
                <c:pt idx="10">
                  <c:v>0.20088711324132424</c:v>
                </c:pt>
                <c:pt idx="11">
                  <c:v>0.238857716374098</c:v>
                </c:pt>
                <c:pt idx="12">
                  <c:v>0.26450722135978838</c:v>
                </c:pt>
                <c:pt idx="13">
                  <c:v>0.25290249108002583</c:v>
                </c:pt>
                <c:pt idx="14">
                  <c:v>0.1928325410781426</c:v>
                </c:pt>
                <c:pt idx="15">
                  <c:v>0.244310448574317</c:v>
                </c:pt>
                <c:pt idx="16">
                  <c:v>0.20995057559557531</c:v>
                </c:pt>
                <c:pt idx="17">
                  <c:v>0.19734187912974877</c:v>
                </c:pt>
                <c:pt idx="18">
                  <c:v>0.212920671950622</c:v>
                </c:pt>
                <c:pt idx="19">
                  <c:v>0.244310448574317</c:v>
                </c:pt>
                <c:pt idx="20">
                  <c:v>0.24181385738851013</c:v>
                </c:pt>
                <c:pt idx="21">
                  <c:v>0.27052496824483174</c:v>
                </c:pt>
                <c:pt idx="22">
                  <c:v>0.26487748592099114</c:v>
                </c:pt>
                <c:pt idx="23">
                  <c:v>0.26530400065038401</c:v>
                </c:pt>
                <c:pt idx="24">
                  <c:v>0.22660843954594126</c:v>
                </c:pt>
                <c:pt idx="25">
                  <c:v>0.2770395835156193</c:v>
                </c:pt>
                <c:pt idx="26">
                  <c:v>0.2871151853501277</c:v>
                </c:pt>
                <c:pt idx="27">
                  <c:v>0.22897919652450274</c:v>
                </c:pt>
                <c:pt idx="28">
                  <c:v>0.2299227665689893</c:v>
                </c:pt>
                <c:pt idx="29">
                  <c:v>0.22183097848979599</c:v>
                </c:pt>
                <c:pt idx="30">
                  <c:v>0.23602426737669385</c:v>
                </c:pt>
                <c:pt idx="31">
                  <c:v>0.24228146185563534</c:v>
                </c:pt>
                <c:pt idx="32">
                  <c:v>0.26817435274740881</c:v>
                </c:pt>
                <c:pt idx="33">
                  <c:v>0.30135026983875396</c:v>
                </c:pt>
                <c:pt idx="34">
                  <c:v>0.31313193137224299</c:v>
                </c:pt>
                <c:pt idx="35">
                  <c:v>0.29387606086457879</c:v>
                </c:pt>
                <c:pt idx="36">
                  <c:v>0.29982393793907264</c:v>
                </c:pt>
                <c:pt idx="37">
                  <c:v>0.30254343600207584</c:v>
                </c:pt>
                <c:pt idx="38">
                  <c:v>0.3053315539810203</c:v>
                </c:pt>
                <c:pt idx="39">
                  <c:v>0.26799641312946865</c:v>
                </c:pt>
                <c:pt idx="40">
                  <c:v>0.24909627447993368</c:v>
                </c:pt>
                <c:pt idx="41">
                  <c:v>0.20233992811422163</c:v>
                </c:pt>
                <c:pt idx="42">
                  <c:v>0.21651256380321027</c:v>
                </c:pt>
                <c:pt idx="43">
                  <c:v>0.2217070171593781</c:v>
                </c:pt>
                <c:pt idx="44">
                  <c:v>0.2199211705460247</c:v>
                </c:pt>
                <c:pt idx="45">
                  <c:v>0.21622182600897236</c:v>
                </c:pt>
                <c:pt idx="46">
                  <c:v>0.20588801120803391</c:v>
                </c:pt>
                <c:pt idx="47">
                  <c:v>0.22443820691197913</c:v>
                </c:pt>
                <c:pt idx="48">
                  <c:v>0.23561026913060792</c:v>
                </c:pt>
                <c:pt idx="49">
                  <c:v>0.21468586729533878</c:v>
                </c:pt>
                <c:pt idx="50">
                  <c:v>0.21134027235548505</c:v>
                </c:pt>
                <c:pt idx="51">
                  <c:v>0.21147588486930297</c:v>
                </c:pt>
                <c:pt idx="52">
                  <c:v>0.19951624356066783</c:v>
                </c:pt>
                <c:pt idx="53">
                  <c:v>0.19400665735163594</c:v>
                </c:pt>
                <c:pt idx="54">
                  <c:v>0.19805532041171806</c:v>
                </c:pt>
                <c:pt idx="55">
                  <c:v>0.1887822066340743</c:v>
                </c:pt>
                <c:pt idx="56">
                  <c:v>0.18020550100008981</c:v>
                </c:pt>
                <c:pt idx="57">
                  <c:v>0.18004857538580782</c:v>
                </c:pt>
                <c:pt idx="58">
                  <c:v>0.17478662418578447</c:v>
                </c:pt>
                <c:pt idx="59">
                  <c:v>0.15948425522063356</c:v>
                </c:pt>
                <c:pt idx="60">
                  <c:v>0.1501689920585321</c:v>
                </c:pt>
                <c:pt idx="61">
                  <c:v>0.1628875621833836</c:v>
                </c:pt>
                <c:pt idx="62">
                  <c:v>0.13648768402766739</c:v>
                </c:pt>
                <c:pt idx="63">
                  <c:v>0.13991895032942531</c:v>
                </c:pt>
                <c:pt idx="64">
                  <c:v>0.13970184470230443</c:v>
                </c:pt>
                <c:pt idx="65">
                  <c:v>0.13964650787941638</c:v>
                </c:pt>
                <c:pt idx="66">
                  <c:v>0.14746911285657796</c:v>
                </c:pt>
                <c:pt idx="67">
                  <c:v>0.14255870594784234</c:v>
                </c:pt>
              </c:numCache>
            </c:numRef>
          </c:val>
          <c:smooth val="0"/>
        </c:ser>
        <c:dLbls>
          <c:showLegendKey val="0"/>
          <c:showVal val="0"/>
          <c:showCatName val="0"/>
          <c:showSerName val="0"/>
          <c:showPercent val="0"/>
          <c:showBubbleSize val="0"/>
        </c:dLbls>
        <c:marker val="1"/>
        <c:smooth val="0"/>
        <c:axId val="184116352"/>
        <c:axId val="184117888"/>
      </c:lineChart>
      <c:dateAx>
        <c:axId val="184116352"/>
        <c:scaling>
          <c:orientation val="minMax"/>
          <c:max val="42705"/>
          <c:min val="36586"/>
        </c:scaling>
        <c:delete val="0"/>
        <c:axPos val="b"/>
        <c:numFmt formatCode="mmm\-yy" sourceLinked="1"/>
        <c:majorTickMark val="none"/>
        <c:minorTickMark val="none"/>
        <c:tickLblPos val="nextTo"/>
        <c:crossAx val="184117888"/>
        <c:crosses val="autoZero"/>
        <c:auto val="1"/>
        <c:lblOffset val="100"/>
        <c:baseTimeUnit val="months"/>
        <c:majorUnit val="1"/>
        <c:majorTimeUnit val="years"/>
      </c:dateAx>
      <c:valAx>
        <c:axId val="184117888"/>
        <c:scaling>
          <c:orientation val="minMax"/>
          <c:max val="0.32000000000000006"/>
          <c:min val="5.000000000000001E-2"/>
        </c:scaling>
        <c:delete val="0"/>
        <c:axPos val="l"/>
        <c:numFmt formatCode="0%" sourceLinked="1"/>
        <c:majorTickMark val="none"/>
        <c:minorTickMark val="none"/>
        <c:tickLblPos val="nextTo"/>
        <c:spPr>
          <a:ln w="9525">
            <a:noFill/>
          </a:ln>
        </c:spPr>
        <c:crossAx val="184116352"/>
        <c:crosses val="autoZero"/>
        <c:crossBetween val="between"/>
      </c:valAx>
      <c:spPr>
        <a:noFill/>
      </c:spPr>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'Médias Ponderadas'!$FN$2</c:f>
              <c:strCache>
                <c:ptCount val="1"/>
                <c:pt idx="0">
                  <c:v>Rec Tvm</c:v>
                </c:pt>
              </c:strCache>
            </c:strRef>
          </c:tx>
          <c:spPr>
            <a:ln>
              <a:solidFill>
                <a:schemeClr val="tx1"/>
              </a:solidFill>
            </a:ln>
          </c:spPr>
          <c:marker>
            <c:symbol val="none"/>
          </c:marker>
          <c:cat>
            <c:numRef>
              <c:f>'Médias Ponderadas'!$EI$3:$EI$70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'Médias Ponderadas'!$FN$3:$FN$70</c:f>
              <c:numCache>
                <c:formatCode>_-* #,##0_-;\-* #,##0_-;_-* "-"??_-;_-@_-</c:formatCode>
                <c:ptCount val="68"/>
                <c:pt idx="0">
                  <c:v>1235010.8275412163</c:v>
                </c:pt>
                <c:pt idx="1">
                  <c:v>1241736.6575643886</c:v>
                </c:pt>
                <c:pt idx="2">
                  <c:v>1205689.0475449183</c:v>
                </c:pt>
                <c:pt idx="3">
                  <c:v>1224072.6937568495</c:v>
                </c:pt>
                <c:pt idx="4">
                  <c:v>1767415.2294499532</c:v>
                </c:pt>
                <c:pt idx="5">
                  <c:v>1276279.3350064689</c:v>
                </c:pt>
                <c:pt idx="6">
                  <c:v>2234229.4527721219</c:v>
                </c:pt>
                <c:pt idx="7">
                  <c:v>1678860.7891325236</c:v>
                </c:pt>
                <c:pt idx="8">
                  <c:v>1815823.9060855065</c:v>
                </c:pt>
                <c:pt idx="9">
                  <c:v>2699242.1526834127</c:v>
                </c:pt>
                <c:pt idx="10">
                  <c:v>3596753.8553444492</c:v>
                </c:pt>
                <c:pt idx="11">
                  <c:v>3286290.6184585043</c:v>
                </c:pt>
                <c:pt idx="12">
                  <c:v>3277036.7622550214</c:v>
                </c:pt>
                <c:pt idx="13">
                  <c:v>2849296.9137658728</c:v>
                </c:pt>
                <c:pt idx="14">
                  <c:v>3295722.6105726226</c:v>
                </c:pt>
                <c:pt idx="15">
                  <c:v>1257289.6241553572</c:v>
                </c:pt>
                <c:pt idx="16">
                  <c:v>2331345.2878350457</c:v>
                </c:pt>
                <c:pt idx="17">
                  <c:v>2386255.458416102</c:v>
                </c:pt>
                <c:pt idx="18">
                  <c:v>2256380.3461436052</c:v>
                </c:pt>
                <c:pt idx="19">
                  <c:v>2249141.4203406004</c:v>
                </c:pt>
                <c:pt idx="20">
                  <c:v>2433772.1549811973</c:v>
                </c:pt>
                <c:pt idx="21">
                  <c:v>2584299.2464508321</c:v>
                </c:pt>
                <c:pt idx="22">
                  <c:v>2829301.3407777571</c:v>
                </c:pt>
                <c:pt idx="23">
                  <c:v>2999448.1037946204</c:v>
                </c:pt>
                <c:pt idx="24">
                  <c:v>3031255.3916695924</c:v>
                </c:pt>
                <c:pt idx="25">
                  <c:v>2656099.9319506739</c:v>
                </c:pt>
                <c:pt idx="26">
                  <c:v>2835307.514900445</c:v>
                </c:pt>
                <c:pt idx="27">
                  <c:v>2799187.3937680004</c:v>
                </c:pt>
                <c:pt idx="28">
                  <c:v>2754079.8669406534</c:v>
                </c:pt>
                <c:pt idx="29">
                  <c:v>3013272.854723413</c:v>
                </c:pt>
                <c:pt idx="30">
                  <c:v>2669324.6749410196</c:v>
                </c:pt>
                <c:pt idx="31">
                  <c:v>2346628.0194730735</c:v>
                </c:pt>
                <c:pt idx="32">
                  <c:v>3013849.3187467875</c:v>
                </c:pt>
                <c:pt idx="33">
                  <c:v>2794138.478036351</c:v>
                </c:pt>
                <c:pt idx="34">
                  <c:v>4435086.8973197108</c:v>
                </c:pt>
                <c:pt idx="35">
                  <c:v>6495848.8030762039</c:v>
                </c:pt>
                <c:pt idx="36">
                  <c:v>5267501.1404110407</c:v>
                </c:pt>
                <c:pt idx="37">
                  <c:v>4338141.351843005</c:v>
                </c:pt>
                <c:pt idx="38">
                  <c:v>4290921.9885485489</c:v>
                </c:pt>
                <c:pt idx="39">
                  <c:v>4286930.0617746701</c:v>
                </c:pt>
                <c:pt idx="40">
                  <c:v>4308720.0561412657</c:v>
                </c:pt>
                <c:pt idx="41">
                  <c:v>3921995.1991580795</c:v>
                </c:pt>
                <c:pt idx="42">
                  <c:v>4644906.9773800494</c:v>
                </c:pt>
                <c:pt idx="43">
                  <c:v>4778111.4873555079</c:v>
                </c:pt>
                <c:pt idx="44">
                  <c:v>4856288.9195282282</c:v>
                </c:pt>
                <c:pt idx="45">
                  <c:v>5329946.8002738683</c:v>
                </c:pt>
                <c:pt idx="46">
                  <c:v>7878339.205629345</c:v>
                </c:pt>
                <c:pt idx="47">
                  <c:v>5754365.3968185922</c:v>
                </c:pt>
                <c:pt idx="48">
                  <c:v>6172802.1091105379</c:v>
                </c:pt>
                <c:pt idx="49">
                  <c:v>6592545.2247688817</c:v>
                </c:pt>
                <c:pt idx="50">
                  <c:v>5783173.7538519688</c:v>
                </c:pt>
                <c:pt idx="51">
                  <c:v>5961363.9339659847</c:v>
                </c:pt>
                <c:pt idx="52">
                  <c:v>4868271.76170759</c:v>
                </c:pt>
                <c:pt idx="53">
                  <c:v>6133744.7563255848</c:v>
                </c:pt>
                <c:pt idx="54">
                  <c:v>6522353.9816524675</c:v>
                </c:pt>
                <c:pt idx="55">
                  <c:v>6374156.800655324</c:v>
                </c:pt>
                <c:pt idx="56">
                  <c:v>7160884.0272564888</c:v>
                </c:pt>
                <c:pt idx="57">
                  <c:v>8066140.4005300011</c:v>
                </c:pt>
                <c:pt idx="58">
                  <c:v>9057458.8553017713</c:v>
                </c:pt>
                <c:pt idx="59">
                  <c:v>10076137.794101669</c:v>
                </c:pt>
                <c:pt idx="60">
                  <c:v>12013450.871940384</c:v>
                </c:pt>
                <c:pt idx="61">
                  <c:v>10115938.612129029</c:v>
                </c:pt>
                <c:pt idx="62">
                  <c:v>14002124.532131754</c:v>
                </c:pt>
                <c:pt idx="63">
                  <c:v>10833709.073399574</c:v>
                </c:pt>
                <c:pt idx="64">
                  <c:v>13349796.84053082</c:v>
                </c:pt>
                <c:pt idx="65">
                  <c:v>12753169.108233932</c:v>
                </c:pt>
                <c:pt idx="66">
                  <c:v>13995241.472849581</c:v>
                </c:pt>
                <c:pt idx="67">
                  <c:v>12822093.77837134</c:v>
                </c:pt>
              </c:numCache>
            </c:numRef>
          </c:val>
          <c:smooth val="0"/>
        </c:ser>
        <c:ser>
          <c:idx val="1"/>
          <c:order val="1"/>
          <c:tx>
            <c:strRef>
              <c:f>'Médias Ponderadas'!$FO$2</c:f>
              <c:strCache>
                <c:ptCount val="1"/>
                <c:pt idx="0">
                  <c:v>Rec. Crédito</c:v>
                </c:pt>
              </c:strCache>
            </c:strRef>
          </c:tx>
          <c:spPr>
            <a:ln>
              <a:solidFill>
                <a:srgbClr val="FF0000">
                  <a:alpha val="97000"/>
                </a:srgbClr>
              </a:solidFill>
            </a:ln>
          </c:spPr>
          <c:marker>
            <c:symbol val="none"/>
          </c:marker>
          <c:cat>
            <c:numRef>
              <c:f>'Médias Ponderadas'!$EI$3:$EI$70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'Médias Ponderadas'!$FO$3:$FO$70</c:f>
              <c:numCache>
                <c:formatCode>_-* #,##0_-;\-* #,##0_-;_-* "-"??_-;_-@_-</c:formatCode>
                <c:ptCount val="68"/>
                <c:pt idx="0">
                  <c:v>1827787.3631122077</c:v>
                </c:pt>
                <c:pt idx="1">
                  <c:v>1896321.3332844735</c:v>
                </c:pt>
                <c:pt idx="2">
                  <c:v>1950570.6573211481</c:v>
                </c:pt>
                <c:pt idx="3">
                  <c:v>2510874.2497589295</c:v>
                </c:pt>
                <c:pt idx="4">
                  <c:v>2215702.8011538698</c:v>
                </c:pt>
                <c:pt idx="5">
                  <c:v>2365975.9804513748</c:v>
                </c:pt>
                <c:pt idx="6">
                  <c:v>2726749.889133404</c:v>
                </c:pt>
                <c:pt idx="7">
                  <c:v>2075716.6617697733</c:v>
                </c:pt>
                <c:pt idx="8">
                  <c:v>2327740.7832480525</c:v>
                </c:pt>
                <c:pt idx="9">
                  <c:v>3310067.256175973</c:v>
                </c:pt>
                <c:pt idx="10">
                  <c:v>4143316.4947120044</c:v>
                </c:pt>
                <c:pt idx="11">
                  <c:v>2524503.5364054157</c:v>
                </c:pt>
                <c:pt idx="12">
                  <c:v>2934315.5512284855</c:v>
                </c:pt>
                <c:pt idx="13">
                  <c:v>3015194.9934769333</c:v>
                </c:pt>
                <c:pt idx="14">
                  <c:v>3284088.6080804574</c:v>
                </c:pt>
                <c:pt idx="15">
                  <c:v>3273370.5524810799</c:v>
                </c:pt>
                <c:pt idx="16">
                  <c:v>3114440.8891726513</c:v>
                </c:pt>
                <c:pt idx="17">
                  <c:v>3332361.1488537239</c:v>
                </c:pt>
                <c:pt idx="18">
                  <c:v>3150970.6278831256</c:v>
                </c:pt>
                <c:pt idx="19">
                  <c:v>3379800.6144542806</c:v>
                </c:pt>
                <c:pt idx="20">
                  <c:v>3700566.5560999955</c:v>
                </c:pt>
                <c:pt idx="21">
                  <c:v>3880454.4159715795</c:v>
                </c:pt>
                <c:pt idx="22">
                  <c:v>4306481.6222880734</c:v>
                </c:pt>
                <c:pt idx="23">
                  <c:v>4496168.6067047622</c:v>
                </c:pt>
                <c:pt idx="24">
                  <c:v>4621853.8428441873</c:v>
                </c:pt>
                <c:pt idx="25">
                  <c:v>4695309.8318714537</c:v>
                </c:pt>
                <c:pt idx="26">
                  <c:v>5284571.6910145227</c:v>
                </c:pt>
                <c:pt idx="27">
                  <c:v>5209421.4609782612</c:v>
                </c:pt>
                <c:pt idx="28">
                  <c:v>5515061.7264586333</c:v>
                </c:pt>
                <c:pt idx="29">
                  <c:v>5890211.7175170602</c:v>
                </c:pt>
                <c:pt idx="30">
                  <c:v>6258354.8874593144</c:v>
                </c:pt>
                <c:pt idx="31">
                  <c:v>6689870.0536325155</c:v>
                </c:pt>
                <c:pt idx="32">
                  <c:v>7352503.4889920047</c:v>
                </c:pt>
                <c:pt idx="33">
                  <c:v>8106547.365526434</c:v>
                </c:pt>
                <c:pt idx="34">
                  <c:v>7223170.6911133034</c:v>
                </c:pt>
                <c:pt idx="35">
                  <c:v>10822011.940266088</c:v>
                </c:pt>
                <c:pt idx="36">
                  <c:v>8304565.9788619913</c:v>
                </c:pt>
                <c:pt idx="37">
                  <c:v>8438480.3105472587</c:v>
                </c:pt>
                <c:pt idx="38">
                  <c:v>8643479.9750463683</c:v>
                </c:pt>
                <c:pt idx="39">
                  <c:v>9331298.9900762122</c:v>
                </c:pt>
                <c:pt idx="40">
                  <c:v>9580371.3521635011</c:v>
                </c:pt>
                <c:pt idx="41">
                  <c:v>10093951.884954786</c:v>
                </c:pt>
                <c:pt idx="42">
                  <c:v>10904337.167758007</c:v>
                </c:pt>
                <c:pt idx="43">
                  <c:v>11410667.414114859</c:v>
                </c:pt>
                <c:pt idx="44">
                  <c:v>11694958.110963494</c:v>
                </c:pt>
                <c:pt idx="45">
                  <c:v>12533958.361299915</c:v>
                </c:pt>
                <c:pt idx="46">
                  <c:v>14020645.806036362</c:v>
                </c:pt>
                <c:pt idx="47">
                  <c:v>13705980.256245302</c:v>
                </c:pt>
                <c:pt idx="48">
                  <c:v>13599381.438809892</c:v>
                </c:pt>
                <c:pt idx="49">
                  <c:v>14164058.748832127</c:v>
                </c:pt>
                <c:pt idx="50">
                  <c:v>13528418.068672393</c:v>
                </c:pt>
                <c:pt idx="51">
                  <c:v>13424248.238868488</c:v>
                </c:pt>
                <c:pt idx="52">
                  <c:v>13145179.61806</c:v>
                </c:pt>
                <c:pt idx="53">
                  <c:v>14121647.060284182</c:v>
                </c:pt>
                <c:pt idx="54">
                  <c:v>14360904.905517424</c:v>
                </c:pt>
                <c:pt idx="55">
                  <c:v>15210184.966392787</c:v>
                </c:pt>
                <c:pt idx="56">
                  <c:v>15409892.78695954</c:v>
                </c:pt>
                <c:pt idx="57">
                  <c:v>16178587.107800309</c:v>
                </c:pt>
                <c:pt idx="58">
                  <c:v>18105084.638247717</c:v>
                </c:pt>
                <c:pt idx="59">
                  <c:v>18535685.089086685</c:v>
                </c:pt>
                <c:pt idx="60">
                  <c:v>20521508.892443068</c:v>
                </c:pt>
                <c:pt idx="61">
                  <c:v>18829906.922400638</c:v>
                </c:pt>
                <c:pt idx="62">
                  <c:v>24379978.403601721</c:v>
                </c:pt>
                <c:pt idx="63">
                  <c:v>20497014.021759946</c:v>
                </c:pt>
                <c:pt idx="64">
                  <c:v>19618714.490604438</c:v>
                </c:pt>
                <c:pt idx="65">
                  <c:v>20652494.257847667</c:v>
                </c:pt>
                <c:pt idx="66">
                  <c:v>22284579.313585773</c:v>
                </c:pt>
                <c:pt idx="67">
                  <c:v>23024884.763682075</c:v>
                </c:pt>
              </c:numCache>
            </c:numRef>
          </c:val>
          <c:smooth val="0"/>
        </c:ser>
        <c:dLbls>
          <c:showLegendKey val="0"/>
          <c:showVal val="0"/>
          <c:showCatName val="0"/>
          <c:showSerName val="0"/>
          <c:showPercent val="0"/>
          <c:showBubbleSize val="0"/>
        </c:dLbls>
        <c:marker val="1"/>
        <c:smooth val="0"/>
        <c:axId val="185676928"/>
        <c:axId val="185678464"/>
      </c:lineChart>
      <c:lineChart>
        <c:grouping val="standard"/>
        <c:varyColors val="0"/>
        <c:ser>
          <c:idx val="2"/>
          <c:order val="2"/>
          <c:tx>
            <c:v>Selic</c:v>
          </c:tx>
          <c:spPr>
            <a:ln w="44450" cap="sq">
              <a:solidFill>
                <a:schemeClr val="accent1"/>
              </a:solidFill>
              <a:prstDash val="sysDot"/>
            </a:ln>
          </c:spPr>
          <c:marker>
            <c:symbol val="none"/>
          </c:marker>
          <c:val>
            <c:numRef>
              <c:f>'Médias Ponderadas'!$FS$3:$FS$70</c:f>
              <c:numCache>
                <c:formatCode>General</c:formatCode>
                <c:ptCount val="68"/>
                <c:pt idx="0">
                  <c:v>1.4533256997232991</c:v>
                </c:pt>
                <c:pt idx="1">
                  <c:v>1.3911740679925051</c:v>
                </c:pt>
                <c:pt idx="2">
                  <c:v>1.3110424272700911</c:v>
                </c:pt>
                <c:pt idx="3">
                  <c:v>1.2360715074725706</c:v>
                </c:pt>
                <c:pt idx="4">
                  <c:v>1.1774021177104341</c:v>
                </c:pt>
                <c:pt idx="5">
                  <c:v>1.2651785694684461</c:v>
                </c:pt>
                <c:pt idx="6">
                  <c:v>1.4686840924099924</c:v>
                </c:pt>
                <c:pt idx="7">
                  <c:v>1.4351821044699482</c:v>
                </c:pt>
                <c:pt idx="8">
                  <c:v>1.3786076062858048</c:v>
                </c:pt>
                <c:pt idx="9">
                  <c:v>1.4053273216519699</c:v>
                </c:pt>
                <c:pt idx="10">
                  <c:v>1.4518467155992933</c:v>
                </c:pt>
                <c:pt idx="11">
                  <c:v>1.6412874087043989</c:v>
                </c:pt>
                <c:pt idx="12">
                  <c:v>1.858285505325707</c:v>
                </c:pt>
                <c:pt idx="13">
                  <c:v>1.8993584168032136</c:v>
                </c:pt>
                <c:pt idx="14">
                  <c:v>1.835616534607676</c:v>
                </c:pt>
                <c:pt idx="15">
                  <c:v>1.4439641287068481</c:v>
                </c:pt>
                <c:pt idx="16">
                  <c:v>1.2369975922002701</c:v>
                </c:pt>
                <c:pt idx="17">
                  <c:v>1.2131022550991997</c:v>
                </c:pt>
                <c:pt idx="18">
                  <c:v>1.2765264301904449</c:v>
                </c:pt>
                <c:pt idx="19">
                  <c:v>1.30813439936734</c:v>
                </c:pt>
                <c:pt idx="20">
                  <c:v>1.3708084808293817</c:v>
                </c:pt>
                <c:pt idx="21">
                  <c:v>1.4981978356696044</c:v>
                </c:pt>
                <c:pt idx="22">
                  <c:v>1.5549822339205996</c:v>
                </c:pt>
                <c:pt idx="23">
                  <c:v>1.4195101795346332</c:v>
                </c:pt>
                <c:pt idx="24">
                  <c:v>1.3267041085477007</c:v>
                </c:pt>
                <c:pt idx="25">
                  <c:v>1.177168351565764</c:v>
                </c:pt>
                <c:pt idx="26">
                  <c:v>1.1604348349965938</c:v>
                </c:pt>
                <c:pt idx="27">
                  <c:v>1.0324934092722444</c:v>
                </c:pt>
                <c:pt idx="28">
                  <c:v>0.99550650541655084</c:v>
                </c:pt>
                <c:pt idx="29">
                  <c:v>0.95866930795040461</c:v>
                </c:pt>
                <c:pt idx="30">
                  <c:v>0.9158667769611808</c:v>
                </c:pt>
                <c:pt idx="31">
                  <c:v>0.86898812201733111</c:v>
                </c:pt>
                <c:pt idx="32">
                  <c:v>0.85496973320578895</c:v>
                </c:pt>
                <c:pt idx="33">
                  <c:v>0.91270859058273401</c:v>
                </c:pt>
                <c:pt idx="34">
                  <c:v>1.0628179440641463</c:v>
                </c:pt>
                <c:pt idx="35">
                  <c:v>1.1046721384889424</c:v>
                </c:pt>
                <c:pt idx="36">
                  <c:v>0.9567970512449997</c:v>
                </c:pt>
                <c:pt idx="37">
                  <c:v>0.7892135526586499</c:v>
                </c:pt>
                <c:pt idx="38">
                  <c:v>0.72184135166710361</c:v>
                </c:pt>
                <c:pt idx="39">
                  <c:v>0.69274270665669579</c:v>
                </c:pt>
                <c:pt idx="40">
                  <c:v>0.66640233965514206</c:v>
                </c:pt>
                <c:pt idx="41">
                  <c:v>0.73494423196659497</c:v>
                </c:pt>
                <c:pt idx="42">
                  <c:v>0.86650111893849058</c:v>
                </c:pt>
                <c:pt idx="43">
                  <c:v>0.84817277614567621</c:v>
                </c:pt>
                <c:pt idx="44">
                  <c:v>0.87268033207124684</c:v>
                </c:pt>
                <c:pt idx="45">
                  <c:v>0.92767368630191049</c:v>
                </c:pt>
                <c:pt idx="46">
                  <c:v>0.99180841448419443</c:v>
                </c:pt>
                <c:pt idx="47">
                  <c:v>0.88309516145137534</c:v>
                </c:pt>
                <c:pt idx="48">
                  <c:v>0.8180032719265431</c:v>
                </c:pt>
                <c:pt idx="49">
                  <c:v>0.69538184423915417</c:v>
                </c:pt>
                <c:pt idx="50">
                  <c:v>0.6327768580748806</c:v>
                </c:pt>
                <c:pt idx="51">
                  <c:v>0.56931383524913293</c:v>
                </c:pt>
                <c:pt idx="52">
                  <c:v>0.54479946610378482</c:v>
                </c:pt>
                <c:pt idx="53">
                  <c:v>0.60664828400336324</c:v>
                </c:pt>
                <c:pt idx="54">
                  <c:v>0.7133178051956991</c:v>
                </c:pt>
                <c:pt idx="55">
                  <c:v>0.77235127686471738</c:v>
                </c:pt>
                <c:pt idx="56">
                  <c:v>0.80262419508806193</c:v>
                </c:pt>
                <c:pt idx="57">
                  <c:v>0.83633894210184667</c:v>
                </c:pt>
                <c:pt idx="58">
                  <c:v>0.90941354154618947</c:v>
                </c:pt>
                <c:pt idx="59">
                  <c:v>0.91500761437719758</c:v>
                </c:pt>
                <c:pt idx="60">
                  <c:v>0.92894859403561914</c:v>
                </c:pt>
                <c:pt idx="61">
                  <c:v>1.0021072231582642</c:v>
                </c:pt>
                <c:pt idx="62">
                  <c:v>1.1328593365811341</c:v>
                </c:pt>
                <c:pt idx="63">
                  <c:v>1.1092487409042937</c:v>
                </c:pt>
                <c:pt idx="64">
                  <c:v>1.0713251117031228</c:v>
                </c:pt>
                <c:pt idx="65">
                  <c:v>1.1092487409042937</c:v>
                </c:pt>
                <c:pt idx="66">
                  <c:v>1.1455180305636874</c:v>
                </c:pt>
                <c:pt idx="67">
                  <c:v>1.0694165159526263</c:v>
                </c:pt>
              </c:numCache>
            </c:numRef>
          </c:val>
          <c:smooth val="0"/>
        </c:ser>
        <c:dLbls>
          <c:showLegendKey val="0"/>
          <c:showVal val="0"/>
          <c:showCatName val="0"/>
          <c:showSerName val="0"/>
          <c:showPercent val="0"/>
          <c:showBubbleSize val="0"/>
        </c:dLbls>
        <c:marker val="1"/>
        <c:smooth val="0"/>
        <c:axId val="185703040"/>
        <c:axId val="185701120"/>
      </c:lineChart>
      <c:dateAx>
        <c:axId val="185676928"/>
        <c:scaling>
          <c:orientation val="minMax"/>
        </c:scaling>
        <c:delete val="0"/>
        <c:axPos val="b"/>
        <c:numFmt formatCode="mmm\-yy" sourceLinked="1"/>
        <c:majorTickMark val="none"/>
        <c:minorTickMark val="none"/>
        <c:tickLblPos val="nextTo"/>
        <c:crossAx val="185678464"/>
        <c:crosses val="autoZero"/>
        <c:auto val="0"/>
        <c:lblOffset val="100"/>
        <c:baseTimeUnit val="months"/>
        <c:majorUnit val="1"/>
        <c:majorTimeUnit val="years"/>
      </c:dateAx>
      <c:valAx>
        <c:axId val="185678464"/>
        <c:scaling>
          <c:orientation val="minMax"/>
        </c:scaling>
        <c:delete val="0"/>
        <c:axPos val="l"/>
        <c:numFmt formatCode="_-* #,##0_-;\-* #,##0_-;_-* &quot;-&quot;??_-;_-@_-" sourceLinked="0"/>
        <c:majorTickMark val="out"/>
        <c:minorTickMark val="none"/>
        <c:tickLblPos val="nextTo"/>
        <c:spPr>
          <a:ln w="9525">
            <a:noFill/>
          </a:ln>
        </c:spPr>
        <c:crossAx val="185676928"/>
        <c:crosses val="autoZero"/>
        <c:crossBetween val="midCat"/>
        <c:dispUnits>
          <c:builtInUnit val="thousands"/>
          <c:dispUnitsLbl/>
        </c:dispUnits>
      </c:valAx>
      <c:valAx>
        <c:axId val="185701120"/>
        <c:scaling>
          <c:orientation val="minMax"/>
          <c:max val="2"/>
          <c:min val="0.5"/>
        </c:scaling>
        <c:delete val="0"/>
        <c:axPos val="r"/>
        <c:title>
          <c:tx>
            <c:rich>
              <a:bodyPr rot="-5400000" vert="horz"/>
              <a:lstStyle/>
              <a:p>
                <a:pPr>
                  <a:defRPr/>
                </a:pPr>
                <a:r>
                  <a:rPr lang="pt-BR"/>
                  <a:t>Selic a.t</a:t>
                </a:r>
              </a:p>
            </c:rich>
          </c:tx>
          <c:layout>
            <c:manualLayout>
              <c:xMode val="edge"/>
              <c:yMode val="edge"/>
              <c:x val="0.94072889037018526"/>
              <c:y val="0.28885885532965094"/>
            </c:manualLayout>
          </c:layout>
          <c:overlay val="0"/>
        </c:title>
        <c:numFmt formatCode="General" sourceLinked="1"/>
        <c:majorTickMark val="out"/>
        <c:minorTickMark val="none"/>
        <c:tickLblPos val="nextTo"/>
        <c:crossAx val="185703040"/>
        <c:crosses val="max"/>
        <c:crossBetween val="between"/>
      </c:valAx>
      <c:catAx>
        <c:axId val="185703040"/>
        <c:scaling>
          <c:orientation val="minMax"/>
        </c:scaling>
        <c:delete val="1"/>
        <c:axPos val="b"/>
        <c:majorTickMark val="out"/>
        <c:minorTickMark val="none"/>
        <c:tickLblPos val="nextTo"/>
        <c:crossAx val="185701120"/>
        <c:crosses val="autoZero"/>
        <c:auto val="1"/>
        <c:lblAlgn val="ctr"/>
        <c:lblOffset val="100"/>
        <c:noMultiLvlLbl val="0"/>
      </c:catAx>
      <c:spPr>
        <a:ln>
          <a:noFill/>
        </a:ln>
      </c:spPr>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BB</c:v>
          </c:tx>
          <c:spPr>
            <a:ln>
              <a:solidFill>
                <a:schemeClr val="tx2"/>
              </a:solidFill>
            </a:ln>
          </c:spPr>
          <c:marker>
            <c:symbol val="none"/>
          </c:marker>
          <c:cat>
            <c:numRef>
              <c:f>'[Balanços1 final (1).xlsx]Índices'!$A$3:$A$70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 (1).xlsx]Índices'!$F$3:$F$70</c:f>
              <c:numCache>
                <c:formatCode>0%</c:formatCode>
                <c:ptCount val="68"/>
                <c:pt idx="0">
                  <c:v>6.277911397990682E-2</c:v>
                </c:pt>
                <c:pt idx="1">
                  <c:v>6.2494699955183954E-2</c:v>
                </c:pt>
                <c:pt idx="2">
                  <c:v>6.1603671404841083E-2</c:v>
                </c:pt>
                <c:pt idx="3">
                  <c:v>5.8973568687104592E-2</c:v>
                </c:pt>
                <c:pt idx="4">
                  <c:v>6.1094203146327311E-2</c:v>
                </c:pt>
                <c:pt idx="5">
                  <c:v>7.1115530200064794E-2</c:v>
                </c:pt>
                <c:pt idx="6">
                  <c:v>6.88800769880486E-2</c:v>
                </c:pt>
                <c:pt idx="7">
                  <c:v>6.5156208172086491E-2</c:v>
                </c:pt>
                <c:pt idx="8">
                  <c:v>6.3868544283292319E-2</c:v>
                </c:pt>
                <c:pt idx="9">
                  <c:v>7.4839001459334628E-2</c:v>
                </c:pt>
                <c:pt idx="10">
                  <c:v>7.5230932234896325E-2</c:v>
                </c:pt>
                <c:pt idx="11">
                  <c:v>6.1164037387186114E-2</c:v>
                </c:pt>
                <c:pt idx="12">
                  <c:v>6.7605042619182792E-2</c:v>
                </c:pt>
                <c:pt idx="13">
                  <c:v>6.5978358833043357E-2</c:v>
                </c:pt>
                <c:pt idx="14">
                  <c:v>6.7187941125216533E-2</c:v>
                </c:pt>
                <c:pt idx="15">
                  <c:v>5.522978983169094E-2</c:v>
                </c:pt>
                <c:pt idx="16">
                  <c:v>6.0137958781402941E-2</c:v>
                </c:pt>
                <c:pt idx="17">
                  <c:v>5.9755222107044127E-2</c:v>
                </c:pt>
                <c:pt idx="18">
                  <c:v>5.5838351831915482E-2</c:v>
                </c:pt>
                <c:pt idx="19">
                  <c:v>5.6735597521077312E-2</c:v>
                </c:pt>
                <c:pt idx="20">
                  <c:v>5.5609265901568061E-2</c:v>
                </c:pt>
                <c:pt idx="21">
                  <c:v>5.5509827085470975E-2</c:v>
                </c:pt>
                <c:pt idx="22">
                  <c:v>5.8706046145844883E-2</c:v>
                </c:pt>
                <c:pt idx="23">
                  <c:v>5.5692834998719035E-2</c:v>
                </c:pt>
                <c:pt idx="24">
                  <c:v>5.4453735293918774E-2</c:v>
                </c:pt>
                <c:pt idx="25">
                  <c:v>5.3096380123634275E-2</c:v>
                </c:pt>
                <c:pt idx="26">
                  <c:v>5.1011197236409005E-2</c:v>
                </c:pt>
                <c:pt idx="27">
                  <c:v>4.8811415831067101E-2</c:v>
                </c:pt>
                <c:pt idx="28">
                  <c:v>4.8588903241043521E-2</c:v>
                </c:pt>
                <c:pt idx="29">
                  <c:v>4.6286872453682612E-2</c:v>
                </c:pt>
                <c:pt idx="30">
                  <c:v>4.8200457162719507E-2</c:v>
                </c:pt>
                <c:pt idx="31">
                  <c:v>4.5669934342488408E-2</c:v>
                </c:pt>
                <c:pt idx="32">
                  <c:v>4.5000887517451696E-2</c:v>
                </c:pt>
                <c:pt idx="33">
                  <c:v>4.0538231015426363E-2</c:v>
                </c:pt>
                <c:pt idx="34">
                  <c:v>4.6653891665584327E-2</c:v>
                </c:pt>
                <c:pt idx="35">
                  <c:v>5.1991720998947992E-2</c:v>
                </c:pt>
                <c:pt idx="36">
                  <c:v>3.8561084389749853E-2</c:v>
                </c:pt>
                <c:pt idx="37">
                  <c:v>4.2962518468958995E-2</c:v>
                </c:pt>
                <c:pt idx="38">
                  <c:v>3.9033324155133789E-2</c:v>
                </c:pt>
                <c:pt idx="39">
                  <c:v>4.1892992140677716E-2</c:v>
                </c:pt>
                <c:pt idx="40">
                  <c:v>4.2310225751530074E-2</c:v>
                </c:pt>
                <c:pt idx="41">
                  <c:v>4.0376860912453988E-2</c:v>
                </c:pt>
                <c:pt idx="42">
                  <c:v>4.2790970683512827E-2</c:v>
                </c:pt>
                <c:pt idx="43">
                  <c:v>4.0779651650800657E-2</c:v>
                </c:pt>
                <c:pt idx="44">
                  <c:v>4.1701873662300541E-2</c:v>
                </c:pt>
                <c:pt idx="45">
                  <c:v>4.2571280236970405E-2</c:v>
                </c:pt>
                <c:pt idx="46">
                  <c:v>4.5400747943448248E-2</c:v>
                </c:pt>
                <c:pt idx="47">
                  <c:v>4.0436365600169902E-2</c:v>
                </c:pt>
                <c:pt idx="48">
                  <c:v>4.0700009161578357E-2</c:v>
                </c:pt>
                <c:pt idx="49">
                  <c:v>3.9998293317122069E-2</c:v>
                </c:pt>
                <c:pt idx="50">
                  <c:v>3.5719213886673949E-2</c:v>
                </c:pt>
                <c:pt idx="51">
                  <c:v>3.3235177242211464E-2</c:v>
                </c:pt>
                <c:pt idx="52">
                  <c:v>3.2514068575264239E-2</c:v>
                </c:pt>
                <c:pt idx="53">
                  <c:v>3.1953379786351724E-2</c:v>
                </c:pt>
                <c:pt idx="54">
                  <c:v>3.2287761464947759E-2</c:v>
                </c:pt>
                <c:pt idx="55">
                  <c:v>3.2565836669921508E-2</c:v>
                </c:pt>
                <c:pt idx="56">
                  <c:v>3.2062435038370696E-2</c:v>
                </c:pt>
                <c:pt idx="57">
                  <c:v>3.2134233221314597E-2</c:v>
                </c:pt>
                <c:pt idx="58">
                  <c:v>3.7117791714509102E-2</c:v>
                </c:pt>
                <c:pt idx="59">
                  <c:v>3.651116615833612E-2</c:v>
                </c:pt>
                <c:pt idx="60">
                  <c:v>4.1589671308863922E-2</c:v>
                </c:pt>
                <c:pt idx="61">
                  <c:v>3.2762041323724053E-2</c:v>
                </c:pt>
                <c:pt idx="62">
                  <c:v>4.8873239757312247E-2</c:v>
                </c:pt>
                <c:pt idx="63">
                  <c:v>3.5918975353636036E-2</c:v>
                </c:pt>
                <c:pt idx="64">
                  <c:v>3.4111519984994718E-2</c:v>
                </c:pt>
                <c:pt idx="65">
                  <c:v>3.727972978151721E-2</c:v>
                </c:pt>
                <c:pt idx="66">
                  <c:v>4.1527707965869638E-2</c:v>
                </c:pt>
                <c:pt idx="67">
                  <c:v>4.7713584234003896E-2</c:v>
                </c:pt>
              </c:numCache>
            </c:numRef>
          </c:val>
          <c:smooth val="0"/>
        </c:ser>
        <c:ser>
          <c:idx val="2"/>
          <c:order val="1"/>
          <c:tx>
            <c:v>CEF</c:v>
          </c:tx>
          <c:spPr>
            <a:ln>
              <a:solidFill>
                <a:schemeClr val="tx1">
                  <a:lumMod val="65000"/>
                  <a:lumOff val="35000"/>
                </a:schemeClr>
              </a:solidFill>
            </a:ln>
          </c:spPr>
          <c:marker>
            <c:symbol val="none"/>
          </c:marker>
          <c:cat>
            <c:numRef>
              <c:f>'[Balanços1 final (1).xlsx]Índices'!$A$3:$A$70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 (1).xlsx]Índices'!$L$3:$L$70</c:f>
              <c:numCache>
                <c:formatCode>0%</c:formatCode>
                <c:ptCount val="68"/>
                <c:pt idx="0">
                  <c:v>3.5538942999295262E-2</c:v>
                </c:pt>
                <c:pt idx="1">
                  <c:v>3.6175675699381626E-2</c:v>
                </c:pt>
                <c:pt idx="2">
                  <c:v>3.4990316240729138E-2</c:v>
                </c:pt>
                <c:pt idx="3">
                  <c:v>5.984704433150996E-2</c:v>
                </c:pt>
                <c:pt idx="4">
                  <c:v>3.9146388766014825E-2</c:v>
                </c:pt>
                <c:pt idx="5">
                  <c:v>6.6633395161730904E-2</c:v>
                </c:pt>
                <c:pt idx="6">
                  <c:v>3.8327937731959895E-2</c:v>
                </c:pt>
                <c:pt idx="7">
                  <c:v>3.9030951478146891E-2</c:v>
                </c:pt>
                <c:pt idx="8">
                  <c:v>4.0817895923292553E-2</c:v>
                </c:pt>
                <c:pt idx="9">
                  <c:v>4.1271195549050801E-2</c:v>
                </c:pt>
                <c:pt idx="10">
                  <c:v>4.4409171659680328E-2</c:v>
                </c:pt>
                <c:pt idx="11">
                  <c:v>4.8900785563179013E-2</c:v>
                </c:pt>
                <c:pt idx="12">
                  <c:v>5.426049157745165E-2</c:v>
                </c:pt>
                <c:pt idx="13">
                  <c:v>5.7566865681665573E-2</c:v>
                </c:pt>
                <c:pt idx="14">
                  <c:v>5.5276398582033676E-2</c:v>
                </c:pt>
                <c:pt idx="15">
                  <c:v>5.6465802226985815E-2</c:v>
                </c:pt>
                <c:pt idx="16">
                  <c:v>5.2020312418494322E-2</c:v>
                </c:pt>
                <c:pt idx="17">
                  <c:v>4.9300142910000948E-2</c:v>
                </c:pt>
                <c:pt idx="18">
                  <c:v>5.1801525295065445E-2</c:v>
                </c:pt>
                <c:pt idx="19">
                  <c:v>5.4052544111131202E-2</c:v>
                </c:pt>
                <c:pt idx="20">
                  <c:v>5.0832648036175251E-2</c:v>
                </c:pt>
                <c:pt idx="21">
                  <c:v>5.419308933875603E-2</c:v>
                </c:pt>
                <c:pt idx="22">
                  <c:v>5.6232037299121344E-2</c:v>
                </c:pt>
                <c:pt idx="23">
                  <c:v>5.6326490690670798E-2</c:v>
                </c:pt>
                <c:pt idx="24">
                  <c:v>5.2734573418917706E-2</c:v>
                </c:pt>
                <c:pt idx="25">
                  <c:v>5.1770021221883622E-2</c:v>
                </c:pt>
                <c:pt idx="26">
                  <c:v>5.1870337344267534E-2</c:v>
                </c:pt>
                <c:pt idx="27">
                  <c:v>5.1744446301457962E-2</c:v>
                </c:pt>
                <c:pt idx="28">
                  <c:v>4.6851246782517231E-2</c:v>
                </c:pt>
                <c:pt idx="29">
                  <c:v>4.6049126875044602E-2</c:v>
                </c:pt>
                <c:pt idx="30">
                  <c:v>4.4676881527554828E-2</c:v>
                </c:pt>
                <c:pt idx="31">
                  <c:v>4.2090677050849325E-2</c:v>
                </c:pt>
                <c:pt idx="32">
                  <c:v>4.1047796399582212E-2</c:v>
                </c:pt>
                <c:pt idx="33">
                  <c:v>3.9397100205947611E-2</c:v>
                </c:pt>
                <c:pt idx="34">
                  <c:v>4.1169433648954312E-2</c:v>
                </c:pt>
                <c:pt idx="35">
                  <c:v>3.9544574300359576E-2</c:v>
                </c:pt>
                <c:pt idx="36">
                  <c:v>3.7377211376703717E-2</c:v>
                </c:pt>
                <c:pt idx="37">
                  <c:v>3.4139859293506818E-2</c:v>
                </c:pt>
                <c:pt idx="38">
                  <c:v>3.2598981029237105E-2</c:v>
                </c:pt>
                <c:pt idx="39">
                  <c:v>3.1629432921810155E-2</c:v>
                </c:pt>
                <c:pt idx="40">
                  <c:v>3.1073908637074332E-2</c:v>
                </c:pt>
                <c:pt idx="41">
                  <c:v>3.1063539816635368E-2</c:v>
                </c:pt>
                <c:pt idx="42">
                  <c:v>3.2088831246701963E-2</c:v>
                </c:pt>
                <c:pt idx="43">
                  <c:v>3.1488492887635895E-2</c:v>
                </c:pt>
                <c:pt idx="44">
                  <c:v>3.2560462642387024E-2</c:v>
                </c:pt>
                <c:pt idx="45">
                  <c:v>3.150906137362891E-2</c:v>
                </c:pt>
                <c:pt idx="46">
                  <c:v>3.3009646088246698E-2</c:v>
                </c:pt>
                <c:pt idx="47">
                  <c:v>3.1194915578347696E-2</c:v>
                </c:pt>
                <c:pt idx="48">
                  <c:v>3.0380931082718859E-2</c:v>
                </c:pt>
                <c:pt idx="49">
                  <c:v>2.8125885561194362E-2</c:v>
                </c:pt>
                <c:pt idx="50">
                  <c:v>2.666446183060674E-2</c:v>
                </c:pt>
                <c:pt idx="51">
                  <c:v>2.6008927326414341E-2</c:v>
                </c:pt>
                <c:pt idx="52">
                  <c:v>2.5845026312134339E-2</c:v>
                </c:pt>
                <c:pt idx="53">
                  <c:v>2.5877427929417114E-2</c:v>
                </c:pt>
                <c:pt idx="54">
                  <c:v>2.7439120384463205E-2</c:v>
                </c:pt>
                <c:pt idx="55">
                  <c:v>2.7168343577713933E-2</c:v>
                </c:pt>
                <c:pt idx="56">
                  <c:v>2.8308289376711059E-2</c:v>
                </c:pt>
                <c:pt idx="57">
                  <c:v>2.9309229400699442E-2</c:v>
                </c:pt>
                <c:pt idx="58">
                  <c:v>3.1080486817738062E-2</c:v>
                </c:pt>
                <c:pt idx="59">
                  <c:v>3.0553705846163261E-2</c:v>
                </c:pt>
                <c:pt idx="60">
                  <c:v>3.1733007921092717E-2</c:v>
                </c:pt>
                <c:pt idx="61">
                  <c:v>3.3221870488384049E-2</c:v>
                </c:pt>
                <c:pt idx="62">
                  <c:v>3.5295811508060278E-2</c:v>
                </c:pt>
                <c:pt idx="63">
                  <c:v>3.4051972042264914E-2</c:v>
                </c:pt>
                <c:pt idx="64">
                  <c:v>3.3449711968150102E-2</c:v>
                </c:pt>
                <c:pt idx="65">
                  <c:v>3.4328514742041211E-2</c:v>
                </c:pt>
                <c:pt idx="66">
                  <c:v>3.5592854392108006E-2</c:v>
                </c:pt>
                <c:pt idx="67">
                  <c:v>3.4293092890328052E-2</c:v>
                </c:pt>
              </c:numCache>
            </c:numRef>
          </c:val>
          <c:smooth val="0"/>
        </c:ser>
        <c:ser>
          <c:idx val="3"/>
          <c:order val="2"/>
          <c:tx>
            <c:v>Bradesco</c:v>
          </c:tx>
          <c:spPr>
            <a:ln>
              <a:solidFill>
                <a:schemeClr val="tx1"/>
              </a:solidFill>
            </a:ln>
          </c:spPr>
          <c:marker>
            <c:symbol val="none"/>
          </c:marker>
          <c:cat>
            <c:numRef>
              <c:f>'[Balanços1 final (1).xlsx]Índices'!$A$3:$A$70</c:f>
              <c:numCache>
                <c:formatCode>mmm\-yy</c:formatCode>
                <c:ptCount val="68"/>
                <c:pt idx="0">
                  <c:v>36586</c:v>
                </c:pt>
                <c:pt idx="1">
                  <c:v>36678</c:v>
                </c:pt>
                <c:pt idx="2">
                  <c:v>36770</c:v>
                </c:pt>
                <c:pt idx="3">
                  <c:v>36861</c:v>
                </c:pt>
                <c:pt idx="4">
                  <c:v>36951</c:v>
                </c:pt>
                <c:pt idx="5">
                  <c:v>37043</c:v>
                </c:pt>
                <c:pt idx="6">
                  <c:v>37135</c:v>
                </c:pt>
                <c:pt idx="7">
                  <c:v>37226</c:v>
                </c:pt>
                <c:pt idx="8">
                  <c:v>37316</c:v>
                </c:pt>
                <c:pt idx="9">
                  <c:v>37408</c:v>
                </c:pt>
                <c:pt idx="10">
                  <c:v>37500</c:v>
                </c:pt>
                <c:pt idx="11">
                  <c:v>37591</c:v>
                </c:pt>
                <c:pt idx="12">
                  <c:v>37681</c:v>
                </c:pt>
                <c:pt idx="13">
                  <c:v>37773</c:v>
                </c:pt>
                <c:pt idx="14">
                  <c:v>37865</c:v>
                </c:pt>
                <c:pt idx="15">
                  <c:v>37956</c:v>
                </c:pt>
                <c:pt idx="16">
                  <c:v>38047</c:v>
                </c:pt>
                <c:pt idx="17">
                  <c:v>38139</c:v>
                </c:pt>
                <c:pt idx="18">
                  <c:v>38231</c:v>
                </c:pt>
                <c:pt idx="19">
                  <c:v>38322</c:v>
                </c:pt>
                <c:pt idx="20">
                  <c:v>38412</c:v>
                </c:pt>
                <c:pt idx="21">
                  <c:v>38504</c:v>
                </c:pt>
                <c:pt idx="22">
                  <c:v>38596</c:v>
                </c:pt>
                <c:pt idx="23">
                  <c:v>38687</c:v>
                </c:pt>
                <c:pt idx="24">
                  <c:v>38777</c:v>
                </c:pt>
                <c:pt idx="25">
                  <c:v>38869</c:v>
                </c:pt>
                <c:pt idx="26">
                  <c:v>38961</c:v>
                </c:pt>
                <c:pt idx="27">
                  <c:v>39052</c:v>
                </c:pt>
                <c:pt idx="28">
                  <c:v>39142</c:v>
                </c:pt>
                <c:pt idx="29">
                  <c:v>39234</c:v>
                </c:pt>
                <c:pt idx="30">
                  <c:v>39326</c:v>
                </c:pt>
                <c:pt idx="31">
                  <c:v>39417</c:v>
                </c:pt>
                <c:pt idx="32">
                  <c:v>39508</c:v>
                </c:pt>
                <c:pt idx="33">
                  <c:v>39600</c:v>
                </c:pt>
                <c:pt idx="34">
                  <c:v>39692</c:v>
                </c:pt>
                <c:pt idx="35">
                  <c:v>39783</c:v>
                </c:pt>
                <c:pt idx="36">
                  <c:v>39873</c:v>
                </c:pt>
                <c:pt idx="37">
                  <c:v>39965</c:v>
                </c:pt>
                <c:pt idx="38">
                  <c:v>40057</c:v>
                </c:pt>
                <c:pt idx="39">
                  <c:v>40148</c:v>
                </c:pt>
                <c:pt idx="40">
                  <c:v>40238</c:v>
                </c:pt>
                <c:pt idx="41">
                  <c:v>40330</c:v>
                </c:pt>
                <c:pt idx="42">
                  <c:v>40422</c:v>
                </c:pt>
                <c:pt idx="43">
                  <c:v>40513</c:v>
                </c:pt>
                <c:pt idx="44">
                  <c:v>40603</c:v>
                </c:pt>
                <c:pt idx="45">
                  <c:v>40695</c:v>
                </c:pt>
                <c:pt idx="46">
                  <c:v>40787</c:v>
                </c:pt>
                <c:pt idx="47">
                  <c:v>40878</c:v>
                </c:pt>
                <c:pt idx="48">
                  <c:v>40969</c:v>
                </c:pt>
                <c:pt idx="49">
                  <c:v>41061</c:v>
                </c:pt>
                <c:pt idx="50">
                  <c:v>41153</c:v>
                </c:pt>
                <c:pt idx="51">
                  <c:v>41244</c:v>
                </c:pt>
                <c:pt idx="52">
                  <c:v>41334</c:v>
                </c:pt>
                <c:pt idx="53">
                  <c:v>41426</c:v>
                </c:pt>
                <c:pt idx="54">
                  <c:v>41518</c:v>
                </c:pt>
                <c:pt idx="55">
                  <c:v>41609</c:v>
                </c:pt>
                <c:pt idx="56">
                  <c:v>41699</c:v>
                </c:pt>
                <c:pt idx="57">
                  <c:v>41791</c:v>
                </c:pt>
                <c:pt idx="58">
                  <c:v>41883</c:v>
                </c:pt>
                <c:pt idx="59">
                  <c:v>41974</c:v>
                </c:pt>
                <c:pt idx="60">
                  <c:v>42064</c:v>
                </c:pt>
                <c:pt idx="61">
                  <c:v>42156</c:v>
                </c:pt>
                <c:pt idx="62">
                  <c:v>42248</c:v>
                </c:pt>
                <c:pt idx="63">
                  <c:v>42339</c:v>
                </c:pt>
                <c:pt idx="64">
                  <c:v>42430</c:v>
                </c:pt>
                <c:pt idx="65">
                  <c:v>42522</c:v>
                </c:pt>
                <c:pt idx="66">
                  <c:v>42614</c:v>
                </c:pt>
                <c:pt idx="67">
                  <c:v>42705</c:v>
                </c:pt>
              </c:numCache>
            </c:numRef>
          </c:cat>
          <c:val>
            <c:numRef>
              <c:f>'[Balanços1 final (1).xlsx]Índices'!$R$3:$R$70</c:f>
              <c:numCache>
                <c:formatCode>0%</c:formatCode>
                <c:ptCount val="68"/>
                <c:pt idx="0">
                  <c:v>9.0615458265250859E-2</c:v>
                </c:pt>
                <c:pt idx="1">
                  <c:v>8.7605307243085878E-2</c:v>
                </c:pt>
                <c:pt idx="2">
                  <c:v>8.3169124961416166E-2</c:v>
                </c:pt>
                <c:pt idx="3">
                  <c:v>7.8310548053857607E-2</c:v>
                </c:pt>
                <c:pt idx="4">
                  <c:v>8.0369201193807374E-2</c:v>
                </c:pt>
                <c:pt idx="5">
                  <c:v>8.2457513814764696E-2</c:v>
                </c:pt>
                <c:pt idx="6">
                  <c:v>9.8235003429722773E-2</c:v>
                </c:pt>
                <c:pt idx="7">
                  <c:v>6.6641890383695959E-2</c:v>
                </c:pt>
                <c:pt idx="8">
                  <c:v>7.1193397429089852E-2</c:v>
                </c:pt>
                <c:pt idx="9">
                  <c:v>0.10148306836146541</c:v>
                </c:pt>
                <c:pt idx="10">
                  <c:v>0.12846543274520328</c:v>
                </c:pt>
                <c:pt idx="11">
                  <c:v>6.9859020152574433E-2</c:v>
                </c:pt>
                <c:pt idx="12">
                  <c:v>8.3752627043580871E-2</c:v>
                </c:pt>
                <c:pt idx="13">
                  <c:v>7.8879403529772282E-2</c:v>
                </c:pt>
                <c:pt idx="14">
                  <c:v>8.577918505453197E-2</c:v>
                </c:pt>
                <c:pt idx="15">
                  <c:v>5.8774317088362109E-2</c:v>
                </c:pt>
                <c:pt idx="16">
                  <c:v>7.312819908963572E-2</c:v>
                </c:pt>
                <c:pt idx="17">
                  <c:v>7.3619112253103344E-2</c:v>
                </c:pt>
                <c:pt idx="18">
                  <c:v>6.6461924635733041E-2</c:v>
                </c:pt>
                <c:pt idx="19">
                  <c:v>6.4665375967235261E-2</c:v>
                </c:pt>
                <c:pt idx="20">
                  <c:v>6.9005211487057183E-2</c:v>
                </c:pt>
                <c:pt idx="21">
                  <c:v>6.7094020206813279E-2</c:v>
                </c:pt>
                <c:pt idx="22">
                  <c:v>7.1414629388521417E-2</c:v>
                </c:pt>
                <c:pt idx="23">
                  <c:v>7.4601105102436935E-2</c:v>
                </c:pt>
                <c:pt idx="24">
                  <c:v>6.8930393689076538E-2</c:v>
                </c:pt>
                <c:pt idx="25">
                  <c:v>7.1751087881010478E-2</c:v>
                </c:pt>
                <c:pt idx="26">
                  <c:v>7.0183894910511427E-2</c:v>
                </c:pt>
                <c:pt idx="27">
                  <c:v>6.7482336398389103E-2</c:v>
                </c:pt>
                <c:pt idx="28">
                  <c:v>6.4428327744337058E-2</c:v>
                </c:pt>
                <c:pt idx="29">
                  <c:v>6.564221381044992E-2</c:v>
                </c:pt>
                <c:pt idx="30">
                  <c:v>6.4560886146819693E-2</c:v>
                </c:pt>
                <c:pt idx="31">
                  <c:v>6.2773759616645969E-2</c:v>
                </c:pt>
                <c:pt idx="32">
                  <c:v>6.6945956676246671E-2</c:v>
                </c:pt>
                <c:pt idx="33">
                  <c:v>6.9039718883166817E-2</c:v>
                </c:pt>
                <c:pt idx="34">
                  <c:v>5.960634831259537E-2</c:v>
                </c:pt>
                <c:pt idx="35">
                  <c:v>6.2927775105786551E-2</c:v>
                </c:pt>
                <c:pt idx="36">
                  <c:v>5.5607237624955605E-2</c:v>
                </c:pt>
                <c:pt idx="37">
                  <c:v>5.5693618660679012E-2</c:v>
                </c:pt>
                <c:pt idx="38">
                  <c:v>5.427637776812478E-2</c:v>
                </c:pt>
                <c:pt idx="39">
                  <c:v>5.3219530977138836E-2</c:v>
                </c:pt>
                <c:pt idx="40">
                  <c:v>5.189710729651098E-2</c:v>
                </c:pt>
                <c:pt idx="41">
                  <c:v>5.2937634927678112E-2</c:v>
                </c:pt>
                <c:pt idx="42">
                  <c:v>5.2692823197470935E-2</c:v>
                </c:pt>
                <c:pt idx="43">
                  <c:v>5.2125868257368188E-2</c:v>
                </c:pt>
                <c:pt idx="44">
                  <c:v>5.0434343858442907E-2</c:v>
                </c:pt>
                <c:pt idx="45">
                  <c:v>5.1620390344300382E-2</c:v>
                </c:pt>
                <c:pt idx="46">
                  <c:v>5.3255482075904331E-2</c:v>
                </c:pt>
                <c:pt idx="47">
                  <c:v>5.099297994454341E-2</c:v>
                </c:pt>
                <c:pt idx="48">
                  <c:v>5.0728985375858654E-2</c:v>
                </c:pt>
                <c:pt idx="49">
                  <c:v>5.1283449084729607E-2</c:v>
                </c:pt>
                <c:pt idx="50">
                  <c:v>4.9826844650808957E-2</c:v>
                </c:pt>
                <c:pt idx="51">
                  <c:v>4.8200449103239798E-2</c:v>
                </c:pt>
                <c:pt idx="52">
                  <c:v>4.5578273418008859E-2</c:v>
                </c:pt>
                <c:pt idx="53">
                  <c:v>4.7546898743864099E-2</c:v>
                </c:pt>
                <c:pt idx="54">
                  <c:v>4.7220632241039756E-2</c:v>
                </c:pt>
                <c:pt idx="55">
                  <c:v>4.668635657054445E-2</c:v>
                </c:pt>
                <c:pt idx="56">
                  <c:v>4.5960666423018208E-2</c:v>
                </c:pt>
                <c:pt idx="57">
                  <c:v>4.8022916289181768E-2</c:v>
                </c:pt>
                <c:pt idx="58">
                  <c:v>4.9340504060414979E-2</c:v>
                </c:pt>
                <c:pt idx="59">
                  <c:v>4.8633362255672351E-2</c:v>
                </c:pt>
                <c:pt idx="60">
                  <c:v>4.8862134823741375E-2</c:v>
                </c:pt>
                <c:pt idx="61">
                  <c:v>4.9936315317596451E-2</c:v>
                </c:pt>
                <c:pt idx="62">
                  <c:v>5.3479744339620543E-2</c:v>
                </c:pt>
                <c:pt idx="63">
                  <c:v>5.3119325935794846E-2</c:v>
                </c:pt>
                <c:pt idx="64">
                  <c:v>5.4201928393639777E-2</c:v>
                </c:pt>
                <c:pt idx="65">
                  <c:v>5.7163529128071253E-2</c:v>
                </c:pt>
                <c:pt idx="66">
                  <c:v>5.7993072118159711E-2</c:v>
                </c:pt>
                <c:pt idx="67">
                  <c:v>5.9457203585413301E-2</c:v>
                </c:pt>
              </c:numCache>
            </c:numRef>
          </c:val>
          <c:smooth val="0"/>
        </c:ser>
        <c:ser>
          <c:idx val="0"/>
          <c:order val="3"/>
          <c:tx>
            <c:v>Itaú</c:v>
          </c:tx>
          <c:spPr>
            <a:ln>
              <a:solidFill>
                <a:srgbClr val="FF0000"/>
              </a:solidFill>
            </a:ln>
          </c:spPr>
          <c:marker>
            <c:symbol val="none"/>
          </c:marker>
          <c:val>
            <c:numRef>
              <c:f>'[Balanços1 final (1).xlsx]Índices'!$X$3:$X$70</c:f>
              <c:numCache>
                <c:formatCode>0%</c:formatCode>
                <c:ptCount val="68"/>
                <c:pt idx="0">
                  <c:v>6.79744467132566E-2</c:v>
                </c:pt>
                <c:pt idx="1">
                  <c:v>7.1243086905323161E-2</c:v>
                </c:pt>
                <c:pt idx="2">
                  <c:v>6.945186297296127E-2</c:v>
                </c:pt>
                <c:pt idx="3">
                  <c:v>7.2865082362184905E-2</c:v>
                </c:pt>
                <c:pt idx="4">
                  <c:v>7.5205532934702932E-2</c:v>
                </c:pt>
                <c:pt idx="5">
                  <c:v>8.1964050807405403E-2</c:v>
                </c:pt>
                <c:pt idx="6">
                  <c:v>9.2889679335810577E-2</c:v>
                </c:pt>
                <c:pt idx="7">
                  <c:v>5.2357006562624264E-2</c:v>
                </c:pt>
                <c:pt idx="8">
                  <c:v>7.5337005787529387E-2</c:v>
                </c:pt>
                <c:pt idx="9">
                  <c:v>0.10061539536059257</c:v>
                </c:pt>
                <c:pt idx="10">
                  <c:v>0.10946392880866281</c:v>
                </c:pt>
                <c:pt idx="11">
                  <c:v>5.5817915415908789E-2</c:v>
                </c:pt>
                <c:pt idx="12">
                  <c:v>6.5506782620292858E-2</c:v>
                </c:pt>
                <c:pt idx="13">
                  <c:v>7.3001636018820357E-2</c:v>
                </c:pt>
                <c:pt idx="14">
                  <c:v>8.4121653660884602E-2</c:v>
                </c:pt>
                <c:pt idx="15">
                  <c:v>8.7107324040859635E-2</c:v>
                </c:pt>
                <c:pt idx="16">
                  <c:v>7.5237503955855933E-2</c:v>
                </c:pt>
                <c:pt idx="17">
                  <c:v>8.1394101410083089E-2</c:v>
                </c:pt>
                <c:pt idx="18">
                  <c:v>7.5704240603426967E-2</c:v>
                </c:pt>
                <c:pt idx="19">
                  <c:v>8.3567049786226047E-2</c:v>
                </c:pt>
                <c:pt idx="20">
                  <c:v>9.4997513338814996E-2</c:v>
                </c:pt>
                <c:pt idx="21">
                  <c:v>0.10107156403871481</c:v>
                </c:pt>
                <c:pt idx="22">
                  <c:v>0.10912411937909162</c:v>
                </c:pt>
                <c:pt idx="23">
                  <c:v>0.10293196957531164</c:v>
                </c:pt>
                <c:pt idx="24">
                  <c:v>0.10895087448129245</c:v>
                </c:pt>
                <c:pt idx="25">
                  <c:v>9.8266595785083885E-2</c:v>
                </c:pt>
                <c:pt idx="26">
                  <c:v>0.11264255769667911</c:v>
                </c:pt>
                <c:pt idx="27">
                  <c:v>9.9660357712795924E-2</c:v>
                </c:pt>
                <c:pt idx="28">
                  <c:v>9.9689974012044227E-2</c:v>
                </c:pt>
                <c:pt idx="29">
                  <c:v>0.10777499614297574</c:v>
                </c:pt>
                <c:pt idx="30">
                  <c:v>0.10789162775890684</c:v>
                </c:pt>
                <c:pt idx="31">
                  <c:v>0.10912493492229135</c:v>
                </c:pt>
                <c:pt idx="32">
                  <c:v>0.11086945407859061</c:v>
                </c:pt>
                <c:pt idx="33">
                  <c:v>0.12064393089754434</c:v>
                </c:pt>
                <c:pt idx="34">
                  <c:v>7.5623219618190241E-2</c:v>
                </c:pt>
                <c:pt idx="35">
                  <c:v>8.2788690474800128E-2</c:v>
                </c:pt>
                <c:pt idx="36">
                  <c:v>6.3454184370788161E-2</c:v>
                </c:pt>
                <c:pt idx="37">
                  <c:v>6.3660047362727054E-2</c:v>
                </c:pt>
                <c:pt idx="38">
                  <c:v>6.2828614595568918E-2</c:v>
                </c:pt>
                <c:pt idx="39">
                  <c:v>6.3013010681330694E-2</c:v>
                </c:pt>
                <c:pt idx="40">
                  <c:v>6.1265290137548646E-2</c:v>
                </c:pt>
                <c:pt idx="41">
                  <c:v>6.1245709551208581E-2</c:v>
                </c:pt>
                <c:pt idx="42">
                  <c:v>6.068527691238098E-2</c:v>
                </c:pt>
                <c:pt idx="43">
                  <c:v>6.1305832453046778E-2</c:v>
                </c:pt>
                <c:pt idx="44">
                  <c:v>5.8161703970486867E-2</c:v>
                </c:pt>
                <c:pt idx="45">
                  <c:v>5.9327025203193016E-2</c:v>
                </c:pt>
                <c:pt idx="46">
                  <c:v>6.2327608344730764E-2</c:v>
                </c:pt>
                <c:pt idx="47">
                  <c:v>6.0073843273911166E-2</c:v>
                </c:pt>
                <c:pt idx="48">
                  <c:v>5.6427519222625379E-2</c:v>
                </c:pt>
                <c:pt idx="49">
                  <c:v>5.6361999395868757E-2</c:v>
                </c:pt>
                <c:pt idx="50">
                  <c:v>5.2921120430818855E-2</c:v>
                </c:pt>
                <c:pt idx="51">
                  <c:v>5.0883402218748541E-2</c:v>
                </c:pt>
                <c:pt idx="52">
                  <c:v>4.7280666736290868E-2</c:v>
                </c:pt>
                <c:pt idx="53">
                  <c:v>5.069140520354596E-2</c:v>
                </c:pt>
                <c:pt idx="54">
                  <c:v>4.7450681748777368E-2</c:v>
                </c:pt>
                <c:pt idx="55">
                  <c:v>4.8186303170133477E-2</c:v>
                </c:pt>
                <c:pt idx="56">
                  <c:v>4.7795889342892153E-2</c:v>
                </c:pt>
                <c:pt idx="57">
                  <c:v>4.8889141312549698E-2</c:v>
                </c:pt>
                <c:pt idx="58">
                  <c:v>5.1340085852061387E-2</c:v>
                </c:pt>
                <c:pt idx="59">
                  <c:v>5.0361939466659247E-2</c:v>
                </c:pt>
                <c:pt idx="60">
                  <c:v>5.1247884587517729E-2</c:v>
                </c:pt>
                <c:pt idx="61">
                  <c:v>4.9485396351334796E-2</c:v>
                </c:pt>
                <c:pt idx="62">
                  <c:v>5.7014036507041413E-2</c:v>
                </c:pt>
                <c:pt idx="63">
                  <c:v>4.9226885717852616E-2</c:v>
                </c:pt>
                <c:pt idx="64">
                  <c:v>4.9484018704946786E-2</c:v>
                </c:pt>
                <c:pt idx="65">
                  <c:v>4.6678664513743216E-2</c:v>
                </c:pt>
                <c:pt idx="66">
                  <c:v>4.9297677173019999E-2</c:v>
                </c:pt>
                <c:pt idx="67">
                  <c:v>4.859585585081861E-2</c:v>
                </c:pt>
              </c:numCache>
            </c:numRef>
          </c:val>
          <c:smooth val="0"/>
        </c:ser>
        <c:ser>
          <c:idx val="4"/>
          <c:order val="4"/>
          <c:tx>
            <c:v>Santander</c:v>
          </c:tx>
          <c:spPr>
            <a:ln>
              <a:solidFill>
                <a:schemeClr val="bg2">
                  <a:lumMod val="50000"/>
                </a:schemeClr>
              </a:solidFill>
            </a:ln>
          </c:spPr>
          <c:marker>
            <c:symbol val="none"/>
          </c:marker>
          <c:val>
            <c:numRef>
              <c:f>'[Balanços1 final (1).xlsx]Índices'!$AD$3:$AD$70</c:f>
              <c:numCache>
                <c:formatCode>0%</c:formatCode>
                <c:ptCount val="68"/>
                <c:pt idx="0">
                  <c:v>0.10066057272048082</c:v>
                </c:pt>
                <c:pt idx="1">
                  <c:v>9.1850829331630024E-2</c:v>
                </c:pt>
                <c:pt idx="2">
                  <c:v>9.7477627200599437E-2</c:v>
                </c:pt>
                <c:pt idx="3">
                  <c:v>9.2302924324862284E-2</c:v>
                </c:pt>
                <c:pt idx="4">
                  <c:v>7.9219401927693833E-2</c:v>
                </c:pt>
                <c:pt idx="5">
                  <c:v>8.7484290763821415E-2</c:v>
                </c:pt>
                <c:pt idx="6">
                  <c:v>9.2277873771827348E-2</c:v>
                </c:pt>
                <c:pt idx="7">
                  <c:v>7.3059736469849701E-2</c:v>
                </c:pt>
                <c:pt idx="8">
                  <c:v>7.8103125078191213E-2</c:v>
                </c:pt>
                <c:pt idx="9">
                  <c:v>8.6544521575626671E-2</c:v>
                </c:pt>
                <c:pt idx="10">
                  <c:v>0.10698518560480726</c:v>
                </c:pt>
                <c:pt idx="11">
                  <c:v>6.8383416662804022E-2</c:v>
                </c:pt>
                <c:pt idx="12">
                  <c:v>8.0184028762990647E-2</c:v>
                </c:pt>
                <c:pt idx="13">
                  <c:v>8.6952575560454035E-2</c:v>
                </c:pt>
                <c:pt idx="14">
                  <c:v>7.7277301272388285E-2</c:v>
                </c:pt>
                <c:pt idx="15">
                  <c:v>6.9897832482202674E-2</c:v>
                </c:pt>
                <c:pt idx="16">
                  <c:v>6.9384205776596986E-2</c:v>
                </c:pt>
                <c:pt idx="17">
                  <c:v>7.1150245576976731E-2</c:v>
                </c:pt>
                <c:pt idx="18">
                  <c:v>6.5320349351180237E-2</c:v>
                </c:pt>
                <c:pt idx="19">
                  <c:v>6.560625549202144E-2</c:v>
                </c:pt>
                <c:pt idx="20">
                  <c:v>6.9746537247117088E-2</c:v>
                </c:pt>
                <c:pt idx="21">
                  <c:v>6.626961436221418E-2</c:v>
                </c:pt>
                <c:pt idx="22">
                  <c:v>7.0347638863496223E-2</c:v>
                </c:pt>
                <c:pt idx="23">
                  <c:v>7.5562516579922023E-2</c:v>
                </c:pt>
                <c:pt idx="24">
                  <c:v>7.0218465773907973E-2</c:v>
                </c:pt>
                <c:pt idx="25">
                  <c:v>7.1001215607300952E-2</c:v>
                </c:pt>
                <c:pt idx="26">
                  <c:v>6.8892478093685067E-2</c:v>
                </c:pt>
                <c:pt idx="27">
                  <c:v>5.7242956274404747E-2</c:v>
                </c:pt>
                <c:pt idx="28">
                  <c:v>6.0083745754781231E-2</c:v>
                </c:pt>
                <c:pt idx="29">
                  <c:v>5.9977000912678512E-2</c:v>
                </c:pt>
                <c:pt idx="30">
                  <c:v>6.0992685758866606E-2</c:v>
                </c:pt>
                <c:pt idx="31">
                  <c:v>6.4035039104637079E-2</c:v>
                </c:pt>
                <c:pt idx="32">
                  <c:v>6.0324965023685298E-2</c:v>
                </c:pt>
                <c:pt idx="33">
                  <c:v>5.5865306861534035E-2</c:v>
                </c:pt>
                <c:pt idx="34">
                  <c:v>5.0271762601911317E-2</c:v>
                </c:pt>
                <c:pt idx="35">
                  <c:v>8.7437085706417561E-2</c:v>
                </c:pt>
                <c:pt idx="36">
                  <c:v>5.8586287785509235E-2</c:v>
                </c:pt>
                <c:pt idx="37">
                  <c:v>5.232517674899325E-2</c:v>
                </c:pt>
                <c:pt idx="38">
                  <c:v>5.5479054480569848E-2</c:v>
                </c:pt>
                <c:pt idx="39">
                  <c:v>5.5326177684630856E-2</c:v>
                </c:pt>
                <c:pt idx="40">
                  <c:v>5.569057119712395E-2</c:v>
                </c:pt>
                <c:pt idx="41">
                  <c:v>5.5359119780205225E-2</c:v>
                </c:pt>
                <c:pt idx="42">
                  <c:v>5.4749585260707258E-2</c:v>
                </c:pt>
                <c:pt idx="43">
                  <c:v>5.5428202918012724E-2</c:v>
                </c:pt>
                <c:pt idx="44">
                  <c:v>5.7537877056595972E-2</c:v>
                </c:pt>
                <c:pt idx="45">
                  <c:v>5.7040038783152676E-2</c:v>
                </c:pt>
                <c:pt idx="46">
                  <c:v>5.9175174074717334E-2</c:v>
                </c:pt>
                <c:pt idx="47">
                  <c:v>5.8593960204961194E-2</c:v>
                </c:pt>
                <c:pt idx="48">
                  <c:v>5.7517278645026114E-2</c:v>
                </c:pt>
                <c:pt idx="49">
                  <c:v>5.9196006005305106E-2</c:v>
                </c:pt>
                <c:pt idx="50">
                  <c:v>5.7196972687673257E-2</c:v>
                </c:pt>
                <c:pt idx="51">
                  <c:v>5.2612792603644362E-2</c:v>
                </c:pt>
                <c:pt idx="52">
                  <c:v>4.9809565305461795E-2</c:v>
                </c:pt>
                <c:pt idx="53">
                  <c:v>4.9314536789415407E-2</c:v>
                </c:pt>
                <c:pt idx="54">
                  <c:v>5.0797188753857685E-2</c:v>
                </c:pt>
                <c:pt idx="55">
                  <c:v>5.1823628043424143E-2</c:v>
                </c:pt>
                <c:pt idx="56">
                  <c:v>5.0584705485154466E-2</c:v>
                </c:pt>
                <c:pt idx="57">
                  <c:v>5.023652507120023E-2</c:v>
                </c:pt>
                <c:pt idx="58">
                  <c:v>4.9528680897235909E-2</c:v>
                </c:pt>
                <c:pt idx="59">
                  <c:v>4.9458203650646647E-2</c:v>
                </c:pt>
                <c:pt idx="60">
                  <c:v>4.5552954829246144E-2</c:v>
                </c:pt>
                <c:pt idx="61">
                  <c:v>4.9420101410355036E-2</c:v>
                </c:pt>
                <c:pt idx="62">
                  <c:v>5.0795543517609822E-2</c:v>
                </c:pt>
                <c:pt idx="63">
                  <c:v>5.1942873108512269E-2</c:v>
                </c:pt>
                <c:pt idx="64">
                  <c:v>5.0169924909449631E-2</c:v>
                </c:pt>
                <c:pt idx="65">
                  <c:v>5.186059053229345E-2</c:v>
                </c:pt>
                <c:pt idx="66">
                  <c:v>5.424457570764496E-2</c:v>
                </c:pt>
                <c:pt idx="67">
                  <c:v>5.4393281235669007E-2</c:v>
                </c:pt>
              </c:numCache>
            </c:numRef>
          </c:val>
          <c:smooth val="0"/>
        </c:ser>
        <c:dLbls>
          <c:showLegendKey val="0"/>
          <c:showVal val="0"/>
          <c:showCatName val="0"/>
          <c:showSerName val="0"/>
          <c:showPercent val="0"/>
          <c:showBubbleSize val="0"/>
        </c:dLbls>
        <c:marker val="1"/>
        <c:smooth val="0"/>
        <c:axId val="187016704"/>
        <c:axId val="187018240"/>
      </c:lineChart>
      <c:dateAx>
        <c:axId val="187016704"/>
        <c:scaling>
          <c:orientation val="minMax"/>
          <c:max val="42705"/>
          <c:min val="36586"/>
        </c:scaling>
        <c:delete val="0"/>
        <c:axPos val="b"/>
        <c:numFmt formatCode="mmm\-yy" sourceLinked="1"/>
        <c:majorTickMark val="none"/>
        <c:minorTickMark val="none"/>
        <c:tickLblPos val="nextTo"/>
        <c:crossAx val="187018240"/>
        <c:crosses val="autoZero"/>
        <c:auto val="1"/>
        <c:lblOffset val="100"/>
        <c:baseTimeUnit val="months"/>
        <c:majorUnit val="1"/>
        <c:majorTimeUnit val="years"/>
      </c:dateAx>
      <c:valAx>
        <c:axId val="187018240"/>
        <c:scaling>
          <c:orientation val="minMax"/>
          <c:max val="0.14000000000000001"/>
          <c:min val="2.0000000000000004E-2"/>
        </c:scaling>
        <c:delete val="0"/>
        <c:axPos val="l"/>
        <c:majorGridlines>
          <c:spPr>
            <a:ln>
              <a:noFill/>
            </a:ln>
          </c:spPr>
        </c:majorGridlines>
        <c:numFmt formatCode="0%" sourceLinked="1"/>
        <c:majorTickMark val="none"/>
        <c:minorTickMark val="none"/>
        <c:tickLblPos val="nextTo"/>
        <c:spPr>
          <a:ln w="9525">
            <a:noFill/>
          </a:ln>
        </c:spPr>
        <c:crossAx val="187016704"/>
        <c:crosses val="autoZero"/>
        <c:crossBetween val="between"/>
      </c:valAx>
      <c:spPr>
        <a:noFill/>
        <a:ln>
          <a:noFill/>
        </a:ln>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64AA3-17C5-420D-A1A0-DD0FFAA77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54</Pages>
  <Words>15859</Words>
  <Characters>85640</Characters>
  <Application>Microsoft Office Word</Application>
  <DocSecurity>0</DocSecurity>
  <Lines>713</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Dedehh</dc:creator>
  <cp:lastModifiedBy>André</cp:lastModifiedBy>
  <cp:revision>15</cp:revision>
  <dcterms:created xsi:type="dcterms:W3CDTF">2017-06-04T17:33:00Z</dcterms:created>
  <dcterms:modified xsi:type="dcterms:W3CDTF">2017-06-05T00:13:00Z</dcterms:modified>
</cp:coreProperties>
</file>