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A61" w:rsidRPr="00CB3A61" w:rsidRDefault="00CB3A61" w:rsidP="00CB3A61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AVALIAÇÃO DE MERCADO DAS AÇÕES</w:t>
      </w:r>
      <w:r w:rsidRPr="00CB3A61">
        <w:rPr>
          <w:rFonts w:ascii="Arial" w:hAnsi="Arial" w:cs="Arial"/>
          <w:b/>
          <w:sz w:val="24"/>
        </w:rPr>
        <w:t xml:space="preserve"> IBOVESPA</w:t>
      </w:r>
      <w:r>
        <w:rPr>
          <w:rFonts w:ascii="Arial" w:hAnsi="Arial" w:cs="Arial"/>
          <w:b/>
          <w:sz w:val="24"/>
        </w:rPr>
        <w:t>, SANB11 E</w:t>
      </w:r>
      <w:r w:rsidRPr="00CB3A61">
        <w:rPr>
          <w:rFonts w:ascii="Arial" w:hAnsi="Arial" w:cs="Arial"/>
          <w:b/>
          <w:sz w:val="24"/>
        </w:rPr>
        <w:t xml:space="preserve"> CIEL3</w:t>
      </w:r>
    </w:p>
    <w:p w:rsidR="00A17838" w:rsidRPr="00895DCD" w:rsidRDefault="00A17838" w:rsidP="00A17838">
      <w:pPr>
        <w:rPr>
          <w:rFonts w:ascii="Arial" w:hAnsi="Arial" w:cs="Arial"/>
          <w:sz w:val="24"/>
        </w:rPr>
      </w:pPr>
    </w:p>
    <w:p w:rsidR="00A17838" w:rsidRDefault="00A17838" w:rsidP="00A17838">
      <w:pPr>
        <w:jc w:val="center"/>
        <w:rPr>
          <w:rFonts w:ascii="Arial" w:hAnsi="Arial" w:cs="Arial"/>
          <w:sz w:val="24"/>
        </w:rPr>
      </w:pPr>
    </w:p>
    <w:p w:rsidR="00A17838" w:rsidRDefault="00A17838" w:rsidP="00A17838">
      <w:pPr>
        <w:jc w:val="center"/>
        <w:rPr>
          <w:rFonts w:ascii="Arial" w:hAnsi="Arial" w:cs="Arial"/>
          <w:sz w:val="24"/>
        </w:rPr>
      </w:pPr>
    </w:p>
    <w:p w:rsidR="00A17838" w:rsidRPr="00895DCD" w:rsidRDefault="00A17838" w:rsidP="00CB3A61">
      <w:pPr>
        <w:jc w:val="center"/>
        <w:rPr>
          <w:rFonts w:ascii="Arial" w:hAnsi="Arial" w:cs="Arial"/>
          <w:sz w:val="24"/>
        </w:rPr>
      </w:pPr>
    </w:p>
    <w:p w:rsidR="00A17838" w:rsidRPr="00CB3A61" w:rsidRDefault="00A17838" w:rsidP="00CB3A61">
      <w:pPr>
        <w:jc w:val="center"/>
        <w:rPr>
          <w:rFonts w:ascii="Arial" w:hAnsi="Arial" w:cs="Arial"/>
          <w:b/>
        </w:rPr>
      </w:pPr>
      <w:r w:rsidRPr="00CB3A61">
        <w:rPr>
          <w:rFonts w:ascii="Arial" w:hAnsi="Arial" w:cs="Arial"/>
          <w:b/>
        </w:rPr>
        <w:t>Victor Henrique Brandão de Souza</w:t>
      </w:r>
    </w:p>
    <w:p w:rsidR="00A17838" w:rsidRPr="00895DCD" w:rsidRDefault="00A17838" w:rsidP="00A17838">
      <w:pPr>
        <w:jc w:val="center"/>
        <w:rPr>
          <w:rFonts w:ascii="Arial" w:hAnsi="Arial" w:cs="Arial"/>
          <w:sz w:val="24"/>
        </w:rPr>
      </w:pPr>
    </w:p>
    <w:p w:rsidR="00A17838" w:rsidRDefault="00A17838" w:rsidP="00A17838">
      <w:pPr>
        <w:rPr>
          <w:rFonts w:ascii="Arial" w:hAnsi="Arial" w:cs="Arial"/>
          <w:sz w:val="24"/>
        </w:rPr>
      </w:pPr>
    </w:p>
    <w:p w:rsidR="00A17838" w:rsidRDefault="00A17838" w:rsidP="00A17838">
      <w:pPr>
        <w:rPr>
          <w:rFonts w:ascii="Arial" w:hAnsi="Arial" w:cs="Arial"/>
          <w:sz w:val="24"/>
        </w:rPr>
      </w:pPr>
    </w:p>
    <w:p w:rsidR="00A17838" w:rsidRPr="00895DCD" w:rsidRDefault="00CB3A61" w:rsidP="00CB3A61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15 de outubro de 2017</w:t>
      </w:r>
    </w:p>
    <w:p w:rsidR="00A17838" w:rsidRPr="00CB3A61" w:rsidRDefault="00A17838" w:rsidP="00CB3A61">
      <w:pPr>
        <w:rPr>
          <w:rFonts w:ascii="Arial" w:hAnsi="Arial" w:cs="Arial"/>
          <w:b/>
          <w:sz w:val="24"/>
        </w:rPr>
      </w:pPr>
    </w:p>
    <w:p w:rsidR="003B77C1" w:rsidRDefault="00CB3A61" w:rsidP="003B77C1">
      <w:pPr>
        <w:rPr>
          <w:rFonts w:ascii="Arial" w:hAnsi="Arial" w:cs="Arial"/>
          <w:sz w:val="24"/>
        </w:rPr>
      </w:pPr>
      <w:r w:rsidRPr="00CB3A61">
        <w:rPr>
          <w:rFonts w:ascii="Arial" w:hAnsi="Arial" w:cs="Arial"/>
          <w:b/>
          <w:sz w:val="24"/>
        </w:rPr>
        <w:t xml:space="preserve">Resumo: </w:t>
      </w:r>
      <w:r>
        <w:rPr>
          <w:rFonts w:ascii="Arial" w:hAnsi="Arial" w:cs="Arial"/>
          <w:sz w:val="24"/>
        </w:rPr>
        <w:t xml:space="preserve">O presente estudo aborda o período de análise entre 2011 e 2017 das ações da Ibovespa (IBOV), Santander (SANB11) e Cielo (CIEL3) utilizando como método as análises fundamentalista e técnica. O objetivo do artigo é clarificar a visão histórica das três ações e a possibilidade de compra e venda das mesmas. </w:t>
      </w:r>
    </w:p>
    <w:p w:rsidR="00CB3A61" w:rsidRDefault="00CB3A61" w:rsidP="003B77C1">
      <w:pPr>
        <w:rPr>
          <w:rFonts w:ascii="Arial" w:hAnsi="Arial" w:cs="Arial"/>
          <w:sz w:val="24"/>
        </w:rPr>
      </w:pPr>
    </w:p>
    <w:p w:rsidR="00CB3A61" w:rsidRPr="00CB3A61" w:rsidRDefault="00CB3A61" w:rsidP="003B77C1">
      <w:pPr>
        <w:rPr>
          <w:rFonts w:ascii="Arial" w:hAnsi="Arial" w:cs="Arial"/>
          <w:sz w:val="24"/>
        </w:rPr>
        <w:sectPr w:rsidR="00CB3A61" w:rsidRPr="00CB3A61" w:rsidSect="001479E4">
          <w:foot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CB3A61">
        <w:rPr>
          <w:rFonts w:ascii="Arial" w:hAnsi="Arial" w:cs="Arial"/>
          <w:b/>
          <w:sz w:val="24"/>
        </w:rPr>
        <w:t xml:space="preserve">Palavras-Chave: </w:t>
      </w:r>
      <w:r>
        <w:rPr>
          <w:rFonts w:ascii="Arial" w:hAnsi="Arial" w:cs="Arial"/>
          <w:sz w:val="24"/>
        </w:rPr>
        <w:t>Santander; Cielo; Ibovespa; Análise.</w:t>
      </w:r>
    </w:p>
    <w:p w:rsidR="00192A0A" w:rsidRDefault="00192A0A"/>
    <w:p w:rsidR="00CE1355" w:rsidRDefault="00192A0A" w:rsidP="00CE1355">
      <w:pPr>
        <w:pStyle w:val="PargrafodaLista"/>
        <w:numPr>
          <w:ilvl w:val="0"/>
          <w:numId w:val="6"/>
        </w:numPr>
        <w:ind w:left="0" w:firstLine="0"/>
        <w:rPr>
          <w:rFonts w:ascii="Arial" w:hAnsi="Arial" w:cs="Arial"/>
          <w:b/>
          <w:sz w:val="24"/>
          <w:szCs w:val="24"/>
        </w:rPr>
      </w:pPr>
      <w:r w:rsidRPr="00192A0A">
        <w:rPr>
          <w:rFonts w:ascii="Arial" w:hAnsi="Arial" w:cs="Arial"/>
          <w:b/>
          <w:sz w:val="24"/>
          <w:szCs w:val="24"/>
        </w:rPr>
        <w:t>INTRODUÇÃO</w:t>
      </w:r>
    </w:p>
    <w:p w:rsidR="003B77C1" w:rsidRDefault="003B77C1" w:rsidP="00A9371A">
      <w:pPr>
        <w:spacing w:after="0"/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análise técnica pode ser considerada a principal ferramenta para oportunidades de investimento dentro do mercado de ações, principalmente quando se fala em day trade e swing trade. Ela tem a possibilidade de nos dizer qual o mais provável cenário em relação ao preço das ações; se haverá alta ou queda. Isso porque seu cerne é baseado na </w:t>
      </w:r>
      <w:r>
        <w:rPr>
          <w:rFonts w:ascii="Arial" w:hAnsi="Arial" w:cs="Arial"/>
          <w:b/>
          <w:sz w:val="24"/>
          <w:szCs w:val="24"/>
        </w:rPr>
        <w:t>lei da oferta e da procura</w:t>
      </w:r>
      <w:r>
        <w:rPr>
          <w:rFonts w:ascii="Arial" w:hAnsi="Arial" w:cs="Arial"/>
          <w:sz w:val="24"/>
          <w:szCs w:val="24"/>
        </w:rPr>
        <w:t xml:space="preserve">. Ou seja: o preço da ação é o reflexo entre a interação de compradores e vendedores. </w:t>
      </w:r>
    </w:p>
    <w:p w:rsidR="003B77C1" w:rsidRDefault="003B77C1" w:rsidP="00A9371A">
      <w:pPr>
        <w:spacing w:after="0"/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últimos anos, devido a instabilidade econômica e política na qual nosso país vive, ela tem sido utilizada com ainda mais força pelo mercado. Empresas que pareciam sólidas desmontam, outras que pareciam frágeis se fortalecem e, assim, o cenário não se torna favorável para a análise fundamentalista. </w:t>
      </w:r>
    </w:p>
    <w:p w:rsidR="003B77C1" w:rsidRDefault="003B77C1" w:rsidP="00A9371A">
      <w:pPr>
        <w:spacing w:after="0"/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Esse trabalho busca analisar o comportamento de uma empresa e um banco, além do Ibovespa, no período que se compreende entre 2011 e 2017. </w:t>
      </w:r>
      <w:r w:rsidR="00A9371A">
        <w:rPr>
          <w:rFonts w:ascii="Arial" w:hAnsi="Arial" w:cs="Arial"/>
          <w:sz w:val="24"/>
          <w:szCs w:val="24"/>
        </w:rPr>
        <w:t xml:space="preserve">O banco é o espanhol Santander, enquanto que a empresa é a Cielo. Serão analisados suas séries, candles semanais, principais tendências e topos e fundos, além dos padrões de comportamento, com o objetivo de demonstrar o nível de risco e ganho com as mesmas. </w:t>
      </w:r>
    </w:p>
    <w:p w:rsidR="00A9371A" w:rsidRDefault="00A9371A" w:rsidP="00A9371A">
      <w:pPr>
        <w:spacing w:after="0"/>
        <w:ind w:firstLine="851"/>
        <w:rPr>
          <w:rFonts w:ascii="Arial" w:hAnsi="Arial" w:cs="Arial"/>
          <w:sz w:val="24"/>
          <w:szCs w:val="24"/>
        </w:rPr>
      </w:pPr>
    </w:p>
    <w:p w:rsidR="00A9371A" w:rsidRDefault="00A9371A" w:rsidP="00A9371A">
      <w:pPr>
        <w:spacing w:after="0"/>
        <w:ind w:firstLine="851"/>
        <w:rPr>
          <w:rFonts w:ascii="Arial" w:hAnsi="Arial" w:cs="Arial"/>
          <w:sz w:val="24"/>
          <w:szCs w:val="24"/>
        </w:rPr>
      </w:pPr>
    </w:p>
    <w:p w:rsidR="00A9371A" w:rsidRDefault="00A9371A" w:rsidP="00A9371A">
      <w:pPr>
        <w:spacing w:after="0"/>
        <w:ind w:firstLine="851"/>
        <w:rPr>
          <w:rFonts w:ascii="Arial" w:hAnsi="Arial" w:cs="Arial"/>
          <w:sz w:val="24"/>
          <w:szCs w:val="24"/>
        </w:rPr>
      </w:pPr>
    </w:p>
    <w:p w:rsidR="00A9371A" w:rsidRDefault="00A9371A" w:rsidP="00A9371A">
      <w:pPr>
        <w:spacing w:after="0"/>
        <w:ind w:firstLine="851"/>
        <w:rPr>
          <w:rFonts w:ascii="Arial" w:hAnsi="Arial" w:cs="Arial"/>
          <w:sz w:val="24"/>
          <w:szCs w:val="24"/>
        </w:rPr>
      </w:pPr>
    </w:p>
    <w:p w:rsidR="00A9371A" w:rsidRDefault="00A9371A" w:rsidP="00A9371A">
      <w:pPr>
        <w:spacing w:after="0"/>
        <w:ind w:firstLine="851"/>
        <w:rPr>
          <w:rFonts w:ascii="Arial" w:hAnsi="Arial" w:cs="Arial"/>
          <w:sz w:val="24"/>
          <w:szCs w:val="24"/>
        </w:rPr>
      </w:pPr>
    </w:p>
    <w:p w:rsidR="00A9371A" w:rsidRDefault="00A9371A" w:rsidP="00A9371A">
      <w:pPr>
        <w:spacing w:after="0"/>
        <w:ind w:firstLine="851"/>
        <w:rPr>
          <w:rFonts w:ascii="Arial" w:hAnsi="Arial" w:cs="Arial"/>
          <w:sz w:val="24"/>
          <w:szCs w:val="24"/>
        </w:rPr>
      </w:pPr>
    </w:p>
    <w:p w:rsidR="00A9371A" w:rsidRDefault="00A9371A" w:rsidP="00A9371A">
      <w:pPr>
        <w:spacing w:after="0"/>
        <w:ind w:firstLine="851"/>
        <w:rPr>
          <w:rFonts w:ascii="Arial" w:hAnsi="Arial" w:cs="Arial"/>
          <w:sz w:val="24"/>
          <w:szCs w:val="24"/>
        </w:rPr>
      </w:pPr>
    </w:p>
    <w:p w:rsidR="00A9371A" w:rsidRDefault="00A9371A" w:rsidP="00A9371A">
      <w:pPr>
        <w:spacing w:after="0"/>
        <w:ind w:firstLine="851"/>
        <w:rPr>
          <w:rFonts w:ascii="Arial" w:hAnsi="Arial" w:cs="Arial"/>
          <w:sz w:val="24"/>
          <w:szCs w:val="24"/>
        </w:rPr>
      </w:pPr>
    </w:p>
    <w:p w:rsidR="00A9371A" w:rsidRDefault="00A9371A" w:rsidP="00A9371A">
      <w:pPr>
        <w:spacing w:after="0"/>
        <w:ind w:firstLine="851"/>
        <w:rPr>
          <w:rFonts w:ascii="Arial" w:hAnsi="Arial" w:cs="Arial"/>
          <w:sz w:val="24"/>
          <w:szCs w:val="24"/>
        </w:rPr>
      </w:pPr>
    </w:p>
    <w:p w:rsidR="00A9371A" w:rsidRDefault="00A9371A" w:rsidP="00A9371A">
      <w:pPr>
        <w:spacing w:after="0"/>
        <w:ind w:firstLine="851"/>
        <w:rPr>
          <w:rFonts w:ascii="Arial" w:hAnsi="Arial" w:cs="Arial"/>
          <w:sz w:val="24"/>
          <w:szCs w:val="24"/>
        </w:rPr>
      </w:pPr>
    </w:p>
    <w:p w:rsidR="00A9371A" w:rsidRDefault="00A9371A" w:rsidP="00A9371A">
      <w:pPr>
        <w:spacing w:after="0"/>
        <w:ind w:firstLine="851"/>
        <w:rPr>
          <w:rFonts w:ascii="Arial" w:hAnsi="Arial" w:cs="Arial"/>
          <w:sz w:val="24"/>
          <w:szCs w:val="24"/>
        </w:rPr>
      </w:pPr>
    </w:p>
    <w:p w:rsidR="00A9371A" w:rsidRDefault="00A9371A" w:rsidP="00A9371A">
      <w:pPr>
        <w:spacing w:after="0"/>
        <w:ind w:firstLine="851"/>
        <w:rPr>
          <w:rFonts w:ascii="Arial" w:hAnsi="Arial" w:cs="Arial"/>
          <w:sz w:val="24"/>
          <w:szCs w:val="24"/>
        </w:rPr>
      </w:pPr>
    </w:p>
    <w:p w:rsidR="00A9371A" w:rsidRDefault="00A9371A" w:rsidP="00A9371A">
      <w:pPr>
        <w:spacing w:after="0"/>
        <w:ind w:firstLine="851"/>
        <w:rPr>
          <w:rFonts w:ascii="Arial" w:hAnsi="Arial" w:cs="Arial"/>
          <w:sz w:val="24"/>
          <w:szCs w:val="24"/>
        </w:rPr>
      </w:pPr>
    </w:p>
    <w:p w:rsidR="00A9371A" w:rsidRDefault="00A9371A" w:rsidP="00A9371A">
      <w:pPr>
        <w:spacing w:after="0"/>
        <w:ind w:firstLine="851"/>
        <w:rPr>
          <w:rFonts w:ascii="Arial" w:hAnsi="Arial" w:cs="Arial"/>
          <w:sz w:val="24"/>
          <w:szCs w:val="24"/>
        </w:rPr>
      </w:pPr>
    </w:p>
    <w:p w:rsidR="00A9371A" w:rsidRDefault="00A9371A" w:rsidP="00A9371A">
      <w:pPr>
        <w:spacing w:after="0"/>
        <w:ind w:firstLine="851"/>
        <w:rPr>
          <w:rFonts w:ascii="Arial" w:hAnsi="Arial" w:cs="Arial"/>
          <w:sz w:val="24"/>
          <w:szCs w:val="24"/>
        </w:rPr>
      </w:pPr>
    </w:p>
    <w:p w:rsidR="00A9371A" w:rsidRDefault="00A9371A" w:rsidP="00A9371A">
      <w:pPr>
        <w:spacing w:after="0"/>
        <w:ind w:firstLine="851"/>
        <w:rPr>
          <w:rFonts w:ascii="Arial" w:hAnsi="Arial" w:cs="Arial"/>
          <w:sz w:val="24"/>
          <w:szCs w:val="24"/>
        </w:rPr>
      </w:pPr>
    </w:p>
    <w:p w:rsidR="00A9371A" w:rsidRDefault="00A9371A" w:rsidP="00A9371A">
      <w:pPr>
        <w:spacing w:after="0"/>
        <w:ind w:firstLine="851"/>
        <w:rPr>
          <w:rFonts w:ascii="Arial" w:hAnsi="Arial" w:cs="Arial"/>
          <w:sz w:val="24"/>
          <w:szCs w:val="24"/>
        </w:rPr>
      </w:pPr>
    </w:p>
    <w:p w:rsidR="00A9371A" w:rsidRDefault="00A9371A" w:rsidP="00A9371A">
      <w:pPr>
        <w:spacing w:after="0"/>
        <w:ind w:firstLine="851"/>
        <w:rPr>
          <w:rFonts w:ascii="Arial" w:hAnsi="Arial" w:cs="Arial"/>
          <w:sz w:val="24"/>
          <w:szCs w:val="24"/>
        </w:rPr>
      </w:pPr>
    </w:p>
    <w:p w:rsidR="00A9371A" w:rsidRDefault="00A9371A" w:rsidP="00A9371A">
      <w:pPr>
        <w:spacing w:after="0"/>
        <w:ind w:firstLine="851"/>
        <w:rPr>
          <w:rFonts w:ascii="Arial" w:hAnsi="Arial" w:cs="Arial"/>
          <w:sz w:val="24"/>
          <w:szCs w:val="24"/>
        </w:rPr>
      </w:pPr>
    </w:p>
    <w:p w:rsidR="00A9371A" w:rsidRDefault="00A9371A" w:rsidP="00A9371A">
      <w:pPr>
        <w:spacing w:after="0"/>
        <w:ind w:firstLine="851"/>
        <w:rPr>
          <w:rFonts w:ascii="Arial" w:hAnsi="Arial" w:cs="Arial"/>
          <w:sz w:val="24"/>
          <w:szCs w:val="24"/>
        </w:rPr>
      </w:pPr>
    </w:p>
    <w:p w:rsidR="00A9371A" w:rsidRDefault="00A9371A" w:rsidP="00A9371A">
      <w:pPr>
        <w:spacing w:after="0"/>
        <w:ind w:firstLine="851"/>
        <w:rPr>
          <w:rFonts w:ascii="Arial" w:hAnsi="Arial" w:cs="Arial"/>
          <w:sz w:val="24"/>
          <w:szCs w:val="24"/>
        </w:rPr>
      </w:pPr>
    </w:p>
    <w:p w:rsidR="00A9371A" w:rsidRDefault="00A9371A" w:rsidP="00A9371A">
      <w:pPr>
        <w:spacing w:after="0"/>
        <w:ind w:firstLine="851"/>
        <w:rPr>
          <w:rFonts w:ascii="Arial" w:hAnsi="Arial" w:cs="Arial"/>
          <w:sz w:val="24"/>
          <w:szCs w:val="24"/>
        </w:rPr>
      </w:pPr>
    </w:p>
    <w:p w:rsidR="00CE1355" w:rsidRPr="00CE1355" w:rsidRDefault="00CE1355" w:rsidP="00A9371A">
      <w:pPr>
        <w:spacing w:after="0"/>
        <w:rPr>
          <w:rFonts w:ascii="Arial" w:hAnsi="Arial" w:cs="Arial"/>
          <w:b/>
          <w:sz w:val="24"/>
          <w:szCs w:val="24"/>
        </w:rPr>
      </w:pPr>
    </w:p>
    <w:p w:rsidR="00CE1355" w:rsidRDefault="00CE1355" w:rsidP="00192A0A">
      <w:pPr>
        <w:pStyle w:val="PargrafodaLista"/>
        <w:numPr>
          <w:ilvl w:val="0"/>
          <w:numId w:val="6"/>
        </w:numPr>
        <w:ind w:left="0"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SANB11</w:t>
      </w:r>
    </w:p>
    <w:p w:rsidR="00CE1355" w:rsidRPr="00CE1355" w:rsidRDefault="00A9371A" w:rsidP="00CE135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2.1 </w:t>
      </w:r>
      <w:r w:rsidR="004945CE">
        <w:rPr>
          <w:rFonts w:ascii="Arial" w:hAnsi="Arial" w:cs="Arial"/>
          <w:b/>
          <w:sz w:val="24"/>
          <w:szCs w:val="24"/>
        </w:rPr>
        <w:t>Apresentação do g</w:t>
      </w:r>
      <w:r w:rsidR="00CE1355">
        <w:rPr>
          <w:rFonts w:ascii="Arial" w:hAnsi="Arial" w:cs="Arial"/>
          <w:b/>
          <w:sz w:val="24"/>
          <w:szCs w:val="24"/>
        </w:rPr>
        <w:t>ráfico da série temporal SANB11 (2011-2017)</w:t>
      </w:r>
    </w:p>
    <w:p w:rsidR="00CE1355" w:rsidRPr="00CE1355" w:rsidRDefault="00CE1355" w:rsidP="00CE1355">
      <w:pPr>
        <w:ind w:left="-85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6372225" cy="3124200"/>
            <wp:effectExtent l="19050" t="0" r="9525" b="0"/>
            <wp:docPr id="2" name="Imagem 1" descr="C:\Users\User\Desktop\Victor\PUC\PUC\8º Período\Optativa Fred\Gráficos\Santande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ictor\PUC\PUC\8º Período\Optativa Fred\Gráficos\Santander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223" cy="312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A0A" w:rsidRDefault="000E2D86" w:rsidP="00A40244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Fonte: Trading View (2017)</w:t>
      </w:r>
    </w:p>
    <w:p w:rsidR="00A9371A" w:rsidRDefault="00A9371A" w:rsidP="00A40244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CE5BEC" w:rsidRDefault="00CE5BEC" w:rsidP="00A40244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192A0A" w:rsidRPr="004945CE" w:rsidRDefault="00A9371A" w:rsidP="00192A0A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2.2 Análise Fundamentalista</w:t>
      </w:r>
    </w:p>
    <w:p w:rsidR="00CE1355" w:rsidRDefault="00CE1355" w:rsidP="00192A0A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CE5BEC" w:rsidRDefault="00CE5BEC" w:rsidP="00A9371A">
      <w:pPr>
        <w:pStyle w:val="PargrafodaLista"/>
        <w:ind w:left="0"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banco Santander Brasil está no mercado brasileiro desde 1982, sendo o terceiro maior banco privado do Bras</w:t>
      </w:r>
      <w:r w:rsidR="004945CE">
        <w:rPr>
          <w:rFonts w:ascii="Arial" w:hAnsi="Arial" w:cs="Arial"/>
          <w:sz w:val="24"/>
          <w:szCs w:val="24"/>
        </w:rPr>
        <w:t xml:space="preserve">il, atrás de Itaú e Bradesco. O Santander tem uma presença global, e, de acordo com a Toro Investimentos, sua operação no setor de varejo no Brasil é uma das mais relevantes no âmbito do mercado brasileiro. Pesam contra ele a atual situação política e econômica da Espanha, podendo (ou não) ter repercussões nas operações brasileiras, além das perspectivas de queda da taxa de juros no Brasil. </w:t>
      </w:r>
    </w:p>
    <w:p w:rsidR="004945CE" w:rsidRDefault="004945CE" w:rsidP="00A9371A">
      <w:pPr>
        <w:pStyle w:val="PargrafodaLista"/>
        <w:ind w:left="0"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condições macroeconômicas permanecem incertas dentro do país, porém os indicadores começam a demonstrar sinais de melhora; o PIB, por exemplo, já tem uma expectativa de leve alta neste período. </w:t>
      </w:r>
    </w:p>
    <w:p w:rsidR="004945CE" w:rsidRDefault="004945CE" w:rsidP="00192A0A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as constantes quedas de inflação e juros e o histórico brasileiro de alta concessão de crédito nos períodos de alta (caso a expectativa e o retorno de crescimento econômico se confirme), o ativo pode ser uma boa oportunidade para compra à longo prazo. </w:t>
      </w:r>
    </w:p>
    <w:p w:rsidR="004945CE" w:rsidRDefault="004945CE" w:rsidP="00A9371A">
      <w:pPr>
        <w:pStyle w:val="PargrafodaLista"/>
        <w:ind w:left="0"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Apenas no primeiro trimestre de 2017 o Santander já conquistou sua maior rentabilidade dos últimos 5 anos, superando a meta estipulada para o próximo ano. </w:t>
      </w:r>
    </w:p>
    <w:p w:rsidR="004945CE" w:rsidRPr="004945CE" w:rsidRDefault="004945CE" w:rsidP="00A9371A">
      <w:pPr>
        <w:pStyle w:val="PargrafodaLista"/>
        <w:ind w:left="0" w:firstLine="851"/>
        <w:rPr>
          <w:rFonts w:ascii="Arial" w:hAnsi="Arial" w:cs="Arial"/>
          <w:color w:val="000000" w:themeColor="text1"/>
          <w:sz w:val="32"/>
          <w:szCs w:val="24"/>
        </w:rPr>
      </w:pPr>
      <w:r w:rsidRPr="004945CE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t>O lucro líqu</w:t>
      </w:r>
      <w:r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t>ido gerencial totalizou R$ 2,3</w:t>
      </w:r>
      <w:r w:rsidRPr="004945CE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t xml:space="preserve"> bilhões no 2T17, atingindo o maior patamar histórico no acumulado do 1S17 em R$ 4,615 bilhões, com um </w:t>
      </w:r>
      <w:r w:rsidRPr="004945CE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lastRenderedPageBreak/>
        <w:t>crescimento de 33,2% na comparação anual. As receitas totais somaram R$ 25,467 bilhões no semestre, uma expansão de 17,9% nos últimos 12 meses, com destaque para a boa performance da margem financeira por volumes e spreads. A margem financeira totalizou R$ 9,098 bilhões no trimestre, com expansão de 16,5%, devido às maiores receitas de crédito, captações de clientes e atividades com o mercado. O ROE médio ajustado pelo ágio atingiu 15,9% no primeiro semestre do ano, com um crescimento de 3,1 p.p em 12 meses.</w:t>
      </w:r>
    </w:p>
    <w:p w:rsidR="00CB45D0" w:rsidRDefault="00CB45D0" w:rsidP="00192A0A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CB45D0" w:rsidRDefault="004945CE" w:rsidP="00192A0A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391150" cy="3781425"/>
            <wp:effectExtent l="19050" t="0" r="0" b="0"/>
            <wp:docPr id="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5D0" w:rsidRDefault="00CB45D0" w:rsidP="00192A0A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CB45D0" w:rsidRDefault="004945CE" w:rsidP="00192A0A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Fonte: Toro Investimentos</w:t>
      </w:r>
    </w:p>
    <w:p w:rsidR="00CB45D0" w:rsidRDefault="00CB45D0" w:rsidP="00192A0A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4945CE" w:rsidRDefault="004945CE" w:rsidP="00192A0A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A9371A" w:rsidRDefault="00A9371A" w:rsidP="00192A0A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A9371A" w:rsidRDefault="00A9371A" w:rsidP="00192A0A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A9371A" w:rsidRDefault="00A9371A" w:rsidP="00192A0A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A9371A" w:rsidRDefault="00A9371A" w:rsidP="00192A0A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A9371A" w:rsidRDefault="00A9371A" w:rsidP="00192A0A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A9371A" w:rsidRDefault="00A9371A" w:rsidP="00192A0A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A9371A" w:rsidRDefault="00A9371A" w:rsidP="00192A0A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A9371A" w:rsidRDefault="00A9371A" w:rsidP="00192A0A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A9371A" w:rsidRDefault="00A9371A" w:rsidP="00192A0A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A9371A" w:rsidRDefault="00A9371A" w:rsidP="00192A0A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A9371A" w:rsidRDefault="00A9371A" w:rsidP="00192A0A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A9371A" w:rsidRDefault="00A9371A" w:rsidP="00192A0A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A9371A" w:rsidRDefault="00A9371A" w:rsidP="00192A0A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CE1355" w:rsidRDefault="00A9371A" w:rsidP="00192A0A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2.3 </w:t>
      </w:r>
      <w:r w:rsidR="00CE1355">
        <w:rPr>
          <w:rFonts w:ascii="Arial" w:hAnsi="Arial" w:cs="Arial"/>
          <w:b/>
          <w:sz w:val="24"/>
          <w:szCs w:val="24"/>
        </w:rPr>
        <w:t>Identificação e análise das principais tendências SANB11</w:t>
      </w:r>
    </w:p>
    <w:p w:rsidR="00CB45D0" w:rsidRDefault="00CB45D0" w:rsidP="00CB45D0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6248457" cy="3609975"/>
            <wp:effectExtent l="19050" t="0" r="0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57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5D0" w:rsidRDefault="00CB45D0" w:rsidP="00A40244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A40244" w:rsidRDefault="00A40244" w:rsidP="00A40244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Fonte: Trading View (2017)</w:t>
      </w:r>
    </w:p>
    <w:p w:rsidR="00CB45D0" w:rsidRDefault="00CB45D0" w:rsidP="00CB45D0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CB45D0" w:rsidRDefault="00A9371A" w:rsidP="00CB45D0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2.4 </w:t>
      </w:r>
      <w:r w:rsidR="00CB45D0">
        <w:rPr>
          <w:rFonts w:ascii="Arial" w:hAnsi="Arial" w:cs="Arial"/>
          <w:b/>
          <w:sz w:val="24"/>
          <w:szCs w:val="24"/>
        </w:rPr>
        <w:t>Identificação de topos e fundos do gráfico, usando como parâmetro variação mínima de 15% nos preços</w:t>
      </w:r>
    </w:p>
    <w:p w:rsidR="00CB45D0" w:rsidRDefault="00CB45D0" w:rsidP="00CB45D0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6276975" cy="3631125"/>
            <wp:effectExtent l="19050" t="0" r="9525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374" cy="363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244" w:rsidRDefault="00A40244" w:rsidP="00A40244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Fonte: Trading View (2017)</w:t>
      </w:r>
    </w:p>
    <w:p w:rsidR="00A9371A" w:rsidRDefault="00A9371A" w:rsidP="00A40244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CE5BEC" w:rsidRDefault="00A9371A" w:rsidP="0098283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2.5 </w:t>
      </w:r>
      <w:r w:rsidR="00CE5BEC">
        <w:rPr>
          <w:rFonts w:ascii="Arial" w:hAnsi="Arial" w:cs="Arial"/>
          <w:b/>
          <w:sz w:val="24"/>
          <w:szCs w:val="24"/>
        </w:rPr>
        <w:t>Identificação e análise das principais figuras e padrões de candles</w:t>
      </w:r>
    </w:p>
    <w:p w:rsidR="00CE5BEC" w:rsidRDefault="00CE5BEC" w:rsidP="0098283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CE5BEC" w:rsidRDefault="00CE5BEC" w:rsidP="00CE5BEC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6343650" cy="2729895"/>
            <wp:effectExtent l="19050" t="0" r="0" b="0"/>
            <wp:docPr id="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7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BEC" w:rsidRDefault="00CE5BEC" w:rsidP="0098283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A9371A" w:rsidRDefault="00A9371A" w:rsidP="00A9371A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Fonte: Trading View (2017)</w:t>
      </w:r>
    </w:p>
    <w:p w:rsidR="00CE5BEC" w:rsidRDefault="00CE5BEC" w:rsidP="0098283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982831" w:rsidRDefault="00A9371A" w:rsidP="0098283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2.6 </w:t>
      </w:r>
      <w:r w:rsidR="00982831">
        <w:rPr>
          <w:rFonts w:ascii="Arial" w:hAnsi="Arial" w:cs="Arial"/>
          <w:b/>
          <w:sz w:val="24"/>
          <w:szCs w:val="24"/>
        </w:rPr>
        <w:t>Análise do Volume Relacionado ao Preço</w:t>
      </w:r>
    </w:p>
    <w:p w:rsidR="00982831" w:rsidRDefault="00982831" w:rsidP="0098283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982831" w:rsidRDefault="00982831" w:rsidP="00982831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6482476" cy="2828925"/>
            <wp:effectExtent l="19050" t="0" r="0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76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831" w:rsidRDefault="00982831" w:rsidP="0098283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A9371A" w:rsidRDefault="00A9371A" w:rsidP="00A9371A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Fonte: Trading View (2017)</w:t>
      </w:r>
    </w:p>
    <w:p w:rsidR="004945CE" w:rsidRDefault="004945CE" w:rsidP="0098283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4945CE" w:rsidRDefault="004945CE" w:rsidP="0098283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4945CE" w:rsidRDefault="004945CE" w:rsidP="0098283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4945CE" w:rsidRDefault="004945CE" w:rsidP="0098283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4945CE" w:rsidRDefault="004945CE" w:rsidP="0098283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4945CE" w:rsidRDefault="004945CE" w:rsidP="0098283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982831" w:rsidRDefault="00A9371A" w:rsidP="0098283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2.7 </w:t>
      </w:r>
      <w:r w:rsidR="00982831">
        <w:rPr>
          <w:rFonts w:ascii="Arial" w:hAnsi="Arial" w:cs="Arial"/>
          <w:b/>
          <w:sz w:val="24"/>
          <w:szCs w:val="24"/>
        </w:rPr>
        <w:t>Análise da Volatilidade Relacionada Ao Preço</w:t>
      </w:r>
    </w:p>
    <w:p w:rsidR="00982831" w:rsidRDefault="00817CE7" w:rsidP="00817CE7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6429608" cy="2771775"/>
            <wp:effectExtent l="19050" t="0" r="9292" b="0"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868" cy="277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71A" w:rsidRDefault="00A9371A" w:rsidP="00A9371A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Fonte: Trading View (2017)</w:t>
      </w:r>
    </w:p>
    <w:p w:rsidR="004945CE" w:rsidRDefault="004945CE" w:rsidP="00817CE7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A9371A" w:rsidRDefault="00A9371A" w:rsidP="00817CE7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A9371A" w:rsidRDefault="004945CE" w:rsidP="00A9371A">
      <w:pPr>
        <w:pStyle w:val="PargrafodaLista"/>
        <w:numPr>
          <w:ilvl w:val="0"/>
          <w:numId w:val="6"/>
        </w:numPr>
        <w:ind w:left="0"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CIEL3</w:t>
      </w:r>
    </w:p>
    <w:p w:rsidR="00A9371A" w:rsidRPr="00A9371A" w:rsidRDefault="00A9371A" w:rsidP="00A9371A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4945CE" w:rsidRPr="00A9371A" w:rsidRDefault="00A9371A" w:rsidP="00A9371A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  <w:r w:rsidRPr="00A9371A">
        <w:rPr>
          <w:rFonts w:ascii="Arial" w:hAnsi="Arial" w:cs="Arial"/>
          <w:b/>
          <w:sz w:val="24"/>
          <w:szCs w:val="24"/>
        </w:rPr>
        <w:t xml:space="preserve">3.1 </w:t>
      </w:r>
      <w:r w:rsidR="004945CE" w:rsidRPr="00A9371A">
        <w:rPr>
          <w:rFonts w:ascii="Arial" w:hAnsi="Arial" w:cs="Arial"/>
          <w:b/>
          <w:sz w:val="24"/>
          <w:szCs w:val="24"/>
        </w:rPr>
        <w:t>Apresentação do gráfico da série temporal CIEL3 (2011-2017)</w:t>
      </w:r>
    </w:p>
    <w:p w:rsidR="004945CE" w:rsidRDefault="00A65872" w:rsidP="00A65872">
      <w:pPr>
        <w:ind w:left="-851"/>
        <w:rPr>
          <w:rFonts w:ascii="Arial" w:hAnsi="Arial" w:cs="Arial"/>
          <w:b/>
          <w:sz w:val="24"/>
          <w:szCs w:val="24"/>
        </w:rPr>
      </w:pPr>
      <w:r w:rsidRPr="00A65872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6430010" cy="2609850"/>
            <wp:effectExtent l="19050" t="0" r="8890" b="0"/>
            <wp:docPr id="10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9371A" w:rsidRDefault="00A9371A" w:rsidP="00A9371A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Fonte: Trading View (2017)</w:t>
      </w:r>
    </w:p>
    <w:p w:rsidR="00A9371A" w:rsidRDefault="00A9371A" w:rsidP="004945CE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4945CE" w:rsidRDefault="00A9371A" w:rsidP="004945CE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3.2 Análise Fundamentalista</w:t>
      </w:r>
    </w:p>
    <w:p w:rsidR="004945CE" w:rsidRPr="004945CE" w:rsidRDefault="004945CE" w:rsidP="004945CE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FD3CEE" w:rsidRDefault="00FD3CEE" w:rsidP="00A9371A">
      <w:pPr>
        <w:pStyle w:val="NormalWeb"/>
        <w:shd w:val="clear" w:color="auto" w:fill="FFFFFF"/>
        <w:spacing w:before="0" w:beforeAutospacing="0" w:after="0" w:afterAutospacing="0" w:line="255" w:lineRule="atLeast"/>
        <w:ind w:firstLine="851"/>
        <w:rPr>
          <w:rFonts w:ascii="Arial" w:hAnsi="Arial" w:cs="Arial"/>
        </w:rPr>
      </w:pPr>
      <w:r>
        <w:rPr>
          <w:rFonts w:ascii="Arial" w:hAnsi="Arial" w:cs="Arial"/>
        </w:rPr>
        <w:t xml:space="preserve">Surgiu em 1995 quando uma série de grandes bancos e a Visa Inrernacional se uniram com o objetivo de centralizar a rede de relacionamento e pagamentos com afiliados em todo Brasil, reduzindo os custos e otimizando suas margens de lucro. Atualmente é a maior empresa do ramo, operando </w:t>
      </w:r>
      <w:r>
        <w:rPr>
          <w:rFonts w:ascii="Arial" w:hAnsi="Arial" w:cs="Arial"/>
        </w:rPr>
        <w:lastRenderedPageBreak/>
        <w:t xml:space="preserve">praticamente toda a cadeia de bandeiras de cartões no país. Seu ponto mais positivo é a liderança total do segmento e, mesmo que algumas empresas comecem a ter destaque, sua posição é pouco provável de ser tomada visto a força interna e o apoio das empresas e bancos que a criaram; além de que seus principais acionistas são o Banco do Brasil e o Bradesco. </w:t>
      </w:r>
    </w:p>
    <w:p w:rsidR="00FD3CEE" w:rsidRPr="00FD3CEE" w:rsidRDefault="00FD3CEE" w:rsidP="00A9371A">
      <w:pPr>
        <w:pStyle w:val="NormalWeb"/>
        <w:shd w:val="clear" w:color="auto" w:fill="FFFFFF"/>
        <w:spacing w:before="0" w:beforeAutospacing="0" w:after="0" w:afterAutospacing="0" w:line="255" w:lineRule="atLeast"/>
        <w:ind w:firstLine="851"/>
        <w:rPr>
          <w:rFonts w:ascii="Arial" w:hAnsi="Arial" w:cs="Arial"/>
          <w:color w:val="000000" w:themeColor="text1"/>
        </w:rPr>
      </w:pPr>
      <w:r w:rsidRPr="00FD3CEE">
        <w:rPr>
          <w:rFonts w:ascii="Arial" w:hAnsi="Arial" w:cs="Arial"/>
          <w:color w:val="000000" w:themeColor="text1"/>
        </w:rPr>
        <w:t xml:space="preserve">No segundo trimestre de 2017 a companhia apresentou um volume financeiro de transações total de R$ 147,3 bilhões, aumento de 8,4% comparado ao mesmo período do exercício anterior. Os dados indicam os primeiros sinais de reação do setor varejista, o que ainda não reflete na totalidade dos resultados financeiros da Cielo (CIEL3). A Receita Operacional Líquida totalizou R$ 2,8 bilhões no 2T17, representando uma queda de 7,8% comparada ao 2T16. A redução da receita líquida deve-se especialmente à redução do preço médio, crescimento da participação do produto débito, concentração em clientes do segmento Grandes Contas e do ambiente competitivo. </w:t>
      </w:r>
    </w:p>
    <w:p w:rsidR="00FD3CEE" w:rsidRDefault="00FD3CEE" w:rsidP="00A9371A">
      <w:pPr>
        <w:pStyle w:val="NormalWeb"/>
        <w:shd w:val="clear" w:color="auto" w:fill="FFFFFF"/>
        <w:spacing w:before="0" w:beforeAutospacing="0" w:after="0" w:afterAutospacing="0" w:line="255" w:lineRule="atLeast"/>
        <w:ind w:firstLine="851"/>
        <w:rPr>
          <w:rFonts w:ascii="Arial" w:hAnsi="Arial" w:cs="Arial"/>
          <w:color w:val="000000" w:themeColor="text1"/>
        </w:rPr>
      </w:pPr>
      <w:r w:rsidRPr="00FD3CEE">
        <w:rPr>
          <w:rFonts w:ascii="Arial" w:hAnsi="Arial" w:cs="Arial"/>
          <w:color w:val="000000" w:themeColor="text1"/>
        </w:rPr>
        <w:t xml:space="preserve">Mantendo a estratégia e foco em obter maior eficiência operacional e controle dos gastos, a companhia apresentou uma redução de 8,9% sobre os gastos totais comparado ao segundo semestre de 2016, somando R$ 1,789 milhões no 2T17. Apesar dos esforços o lucro líquido no período totalizou R$ 875,1 milhões, representando uma queda de 14,3% em relação ao 2T16. Já geração de caixa medida pelo EBITDA somou R$ 1,3 bilhões, uma redução de 5,1% em relação ao 2T16, com uma margem EBITDA de 45,2%, aumento de 1,2 ponto percentual em comparação ao mesmo período do ano anterior. A queda nos resultados foram influenciadas principalmente pelo cenário macroeconômico ainda recessivo. </w:t>
      </w:r>
    </w:p>
    <w:p w:rsidR="007444F4" w:rsidRDefault="007444F4" w:rsidP="00FD3CEE">
      <w:pPr>
        <w:pStyle w:val="NormalWeb"/>
        <w:shd w:val="clear" w:color="auto" w:fill="FFFFFF"/>
        <w:spacing w:before="0" w:beforeAutospacing="0" w:after="150" w:afterAutospacing="0" w:line="255" w:lineRule="atLeast"/>
        <w:rPr>
          <w:rFonts w:ascii="Arial" w:hAnsi="Arial" w:cs="Arial"/>
          <w:color w:val="000000" w:themeColor="text1"/>
        </w:rPr>
      </w:pPr>
    </w:p>
    <w:p w:rsidR="007444F4" w:rsidRPr="00FD3CEE" w:rsidRDefault="007444F4" w:rsidP="00FD3CEE">
      <w:pPr>
        <w:pStyle w:val="NormalWeb"/>
        <w:shd w:val="clear" w:color="auto" w:fill="FFFFFF"/>
        <w:spacing w:before="0" w:beforeAutospacing="0" w:after="150" w:afterAutospacing="0" w:line="255" w:lineRule="atLeast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391150" cy="3609975"/>
            <wp:effectExtent l="19050" t="0" r="0" b="0"/>
            <wp:docPr id="17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AAB" w:rsidRPr="00A9371A" w:rsidRDefault="007444F4" w:rsidP="004945CE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Fonte: Toro Investimentos</w:t>
      </w:r>
    </w:p>
    <w:p w:rsidR="00922AAB" w:rsidRDefault="00922AAB" w:rsidP="004945CE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4945CE" w:rsidRDefault="00A9371A" w:rsidP="004945CE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3.3 </w:t>
      </w:r>
      <w:r w:rsidR="004945CE">
        <w:rPr>
          <w:rFonts w:ascii="Arial" w:hAnsi="Arial" w:cs="Arial"/>
          <w:b/>
          <w:sz w:val="24"/>
          <w:szCs w:val="24"/>
        </w:rPr>
        <w:t xml:space="preserve">Identificação e análise das principais tendências </w:t>
      </w:r>
      <w:r w:rsidR="00FD3CEE">
        <w:rPr>
          <w:rFonts w:ascii="Arial" w:hAnsi="Arial" w:cs="Arial"/>
          <w:b/>
          <w:sz w:val="24"/>
          <w:szCs w:val="24"/>
        </w:rPr>
        <w:t>CIEL3</w:t>
      </w:r>
    </w:p>
    <w:p w:rsidR="004945CE" w:rsidRDefault="004945CE" w:rsidP="004945CE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922AAB" w:rsidRDefault="00922AAB" w:rsidP="00922AAB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6057899" cy="3028950"/>
            <wp:effectExtent l="19050" t="0" r="1" b="0"/>
            <wp:docPr id="1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899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71A" w:rsidRDefault="00A9371A" w:rsidP="00A9371A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Fonte: Trading View (2017)</w:t>
      </w:r>
    </w:p>
    <w:p w:rsidR="00922AAB" w:rsidRDefault="00922AAB" w:rsidP="004945CE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A9371A" w:rsidRDefault="00A9371A" w:rsidP="004945CE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4945CE" w:rsidRDefault="00A9371A" w:rsidP="004945CE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3.4 </w:t>
      </w:r>
      <w:r w:rsidR="004945CE">
        <w:rPr>
          <w:rFonts w:ascii="Arial" w:hAnsi="Arial" w:cs="Arial"/>
          <w:b/>
          <w:sz w:val="24"/>
          <w:szCs w:val="24"/>
        </w:rPr>
        <w:t>Identificação de topos e fundos do gráfico, usando como parâmetro variação mínima de 15% nos preços</w:t>
      </w:r>
    </w:p>
    <w:p w:rsidR="001237B0" w:rsidRDefault="001237B0" w:rsidP="004945CE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1237B0" w:rsidRDefault="001237B0" w:rsidP="001237B0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6057900" cy="3007544"/>
            <wp:effectExtent l="19050" t="0" r="0" b="0"/>
            <wp:docPr id="1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00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872" w:rsidRDefault="00A65872" w:rsidP="004945CE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A9371A" w:rsidRDefault="00A9371A" w:rsidP="00A9371A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Fonte: Trading View (2017)</w:t>
      </w:r>
    </w:p>
    <w:p w:rsidR="00FD3CEE" w:rsidRDefault="00FD3CEE" w:rsidP="00A65872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FD3CEE" w:rsidRDefault="00FD3CEE" w:rsidP="00A65872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A9371A" w:rsidRDefault="00A9371A" w:rsidP="00A65872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FD3CEE" w:rsidRDefault="00FD3CEE" w:rsidP="00A65872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5A43D5" w:rsidRDefault="00A9371A" w:rsidP="00A65872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3.5 </w:t>
      </w:r>
      <w:r w:rsidR="00A65872">
        <w:rPr>
          <w:rFonts w:ascii="Arial" w:hAnsi="Arial" w:cs="Arial"/>
          <w:b/>
          <w:sz w:val="24"/>
          <w:szCs w:val="24"/>
        </w:rPr>
        <w:t>Identificação e análise das principais figuras e padrões de candles</w:t>
      </w:r>
    </w:p>
    <w:p w:rsidR="005A43D5" w:rsidRDefault="005A43D5" w:rsidP="00A65872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5A43D5" w:rsidRDefault="00FD3CEE" w:rsidP="00A9371A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6591300" cy="2864770"/>
            <wp:effectExtent l="19050" t="0" r="0" b="0"/>
            <wp:docPr id="16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86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71A" w:rsidRDefault="00A9371A" w:rsidP="00A9371A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Fonte: Trading View (2017)</w:t>
      </w:r>
    </w:p>
    <w:p w:rsidR="005A43D5" w:rsidRDefault="005A43D5" w:rsidP="00A65872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A9371A" w:rsidRDefault="00A9371A" w:rsidP="00A65872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A65872" w:rsidRDefault="00A9371A" w:rsidP="00A65872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3.6 </w:t>
      </w:r>
      <w:r w:rsidR="00A65872">
        <w:rPr>
          <w:rFonts w:ascii="Arial" w:hAnsi="Arial" w:cs="Arial"/>
          <w:b/>
          <w:sz w:val="24"/>
          <w:szCs w:val="24"/>
        </w:rPr>
        <w:t>Análise do Volume Relacionado ao Preço</w:t>
      </w:r>
    </w:p>
    <w:p w:rsidR="005A43D5" w:rsidRDefault="005A43D5" w:rsidP="00A65872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FD3CEE" w:rsidRDefault="005A43D5" w:rsidP="00A9371A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6391275" cy="2998376"/>
            <wp:effectExtent l="19050" t="0" r="9525" b="0"/>
            <wp:docPr id="1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99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71A" w:rsidRDefault="00A9371A" w:rsidP="00A9371A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Fonte: Trading View (2017)</w:t>
      </w:r>
    </w:p>
    <w:p w:rsidR="00FD3CEE" w:rsidRDefault="00FD3CEE" w:rsidP="00A65872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FD3CEE" w:rsidRDefault="00FD3CEE" w:rsidP="00A65872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FD3CEE" w:rsidRDefault="00FD3CEE" w:rsidP="00A65872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FD3CEE" w:rsidRDefault="00FD3CEE" w:rsidP="00A65872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FD3CEE" w:rsidRDefault="00FD3CEE" w:rsidP="00A65872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FD3CEE" w:rsidRDefault="00FD3CEE" w:rsidP="00A65872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A65872" w:rsidRDefault="00A9371A" w:rsidP="00A65872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3.7 </w:t>
      </w:r>
      <w:r w:rsidR="00A65872">
        <w:rPr>
          <w:rFonts w:ascii="Arial" w:hAnsi="Arial" w:cs="Arial"/>
          <w:b/>
          <w:sz w:val="24"/>
          <w:szCs w:val="24"/>
        </w:rPr>
        <w:t>Análise da Volatilidade Relacionada Ao Preço</w:t>
      </w:r>
    </w:p>
    <w:p w:rsidR="00A65872" w:rsidRDefault="00A65872" w:rsidP="00A65872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A65872" w:rsidRDefault="003F2AC2" w:rsidP="00A9371A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6391275" cy="2992381"/>
            <wp:effectExtent l="19050" t="0" r="9525" b="0"/>
            <wp:docPr id="14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99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71A" w:rsidRDefault="00A9371A" w:rsidP="00A9371A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Fonte: Trading View (2017)</w:t>
      </w:r>
    </w:p>
    <w:p w:rsidR="004945CE" w:rsidRDefault="004945CE" w:rsidP="004945CE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4945CE" w:rsidRDefault="004945CE" w:rsidP="004945CE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3B77C1" w:rsidRPr="00A9371A" w:rsidRDefault="003B77C1" w:rsidP="00A9371A">
      <w:pPr>
        <w:pStyle w:val="PargrafodaLista"/>
        <w:numPr>
          <w:ilvl w:val="0"/>
          <w:numId w:val="6"/>
        </w:numPr>
        <w:ind w:left="0" w:firstLine="0"/>
        <w:rPr>
          <w:rFonts w:ascii="Arial" w:hAnsi="Arial" w:cs="Arial"/>
          <w:b/>
          <w:sz w:val="24"/>
          <w:szCs w:val="24"/>
        </w:rPr>
      </w:pPr>
      <w:r w:rsidRPr="00A9371A">
        <w:rPr>
          <w:rFonts w:ascii="Arial" w:hAnsi="Arial" w:cs="Arial"/>
          <w:b/>
          <w:sz w:val="24"/>
          <w:szCs w:val="24"/>
        </w:rPr>
        <w:t>IBOVESPA</w:t>
      </w:r>
    </w:p>
    <w:p w:rsidR="003B77C1" w:rsidRPr="00D5620A" w:rsidRDefault="00A9371A" w:rsidP="003B77C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4.1 </w:t>
      </w:r>
      <w:r w:rsidR="003B77C1">
        <w:rPr>
          <w:rFonts w:ascii="Arial" w:hAnsi="Arial" w:cs="Arial"/>
          <w:b/>
          <w:sz w:val="24"/>
          <w:szCs w:val="24"/>
        </w:rPr>
        <w:t>Apresentação do gráfico da série temporal</w:t>
      </w:r>
    </w:p>
    <w:p w:rsidR="003B77C1" w:rsidRDefault="003B77C1" w:rsidP="003B77C1">
      <w:pPr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6819900" cy="3143250"/>
            <wp:effectExtent l="19050" t="0" r="0" b="0"/>
            <wp:docPr id="26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241" cy="314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71A" w:rsidRDefault="00A9371A" w:rsidP="00A9371A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Fonte: Trading View (2017)</w:t>
      </w:r>
    </w:p>
    <w:p w:rsidR="00A9371A" w:rsidRDefault="00A9371A" w:rsidP="003B77C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A9371A" w:rsidRDefault="00A9371A" w:rsidP="003B77C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A9371A" w:rsidRDefault="00A9371A" w:rsidP="003B77C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A9371A" w:rsidRDefault="00A9371A" w:rsidP="003B77C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3B77C1" w:rsidRDefault="00A9371A" w:rsidP="003B77C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4.2 </w:t>
      </w:r>
      <w:r w:rsidR="003B77C1">
        <w:rPr>
          <w:rFonts w:ascii="Arial" w:hAnsi="Arial" w:cs="Arial"/>
          <w:b/>
          <w:sz w:val="24"/>
          <w:szCs w:val="24"/>
        </w:rPr>
        <w:t>Identificação e análise das principais tendências</w:t>
      </w:r>
    </w:p>
    <w:p w:rsidR="003B77C1" w:rsidRDefault="003B77C1" w:rsidP="003B77C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3B77C1" w:rsidRDefault="003B77C1" w:rsidP="003B77C1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6391275" cy="2687497"/>
            <wp:effectExtent l="19050" t="0" r="9525" b="0"/>
            <wp:docPr id="27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68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971" w:rsidRDefault="005C1971" w:rsidP="005C1971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Fonte: Trading View (2017)</w:t>
      </w:r>
    </w:p>
    <w:p w:rsidR="003B77C1" w:rsidRDefault="003B77C1" w:rsidP="003B77C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5C1971" w:rsidRDefault="005C1971" w:rsidP="003B77C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3B77C1" w:rsidRDefault="00A9371A" w:rsidP="003B77C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4.3 </w:t>
      </w:r>
      <w:r w:rsidR="003B77C1">
        <w:rPr>
          <w:rFonts w:ascii="Arial" w:hAnsi="Arial" w:cs="Arial"/>
          <w:b/>
          <w:sz w:val="24"/>
          <w:szCs w:val="24"/>
        </w:rPr>
        <w:t xml:space="preserve">Identificação de topos e fundos do gráfico, usando como parâmetro variação mínima de 15% nos preços </w:t>
      </w:r>
    </w:p>
    <w:p w:rsidR="003B77C1" w:rsidRDefault="003B77C1" w:rsidP="003B77C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3B77C1" w:rsidRDefault="003B77C1" w:rsidP="003B77C1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6391275" cy="2710081"/>
            <wp:effectExtent l="19050" t="0" r="9525" b="0"/>
            <wp:docPr id="28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71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971" w:rsidRDefault="005C1971" w:rsidP="005C1971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Fonte: Trading View (2017)</w:t>
      </w:r>
    </w:p>
    <w:p w:rsidR="003B77C1" w:rsidRDefault="003B77C1" w:rsidP="003B77C1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</w:p>
    <w:p w:rsidR="00A9371A" w:rsidRDefault="00A9371A" w:rsidP="003B77C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A9371A" w:rsidRDefault="00A9371A" w:rsidP="003B77C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A9371A" w:rsidRDefault="00A9371A" w:rsidP="003B77C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5C1971" w:rsidRDefault="005C1971" w:rsidP="003B77C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A9371A" w:rsidRDefault="00A9371A" w:rsidP="003B77C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A9371A" w:rsidRDefault="00A9371A" w:rsidP="003B77C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3B77C1" w:rsidRDefault="00A9371A" w:rsidP="003B77C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4.4 </w:t>
      </w:r>
      <w:r w:rsidR="003B77C1">
        <w:rPr>
          <w:rFonts w:ascii="Arial" w:hAnsi="Arial" w:cs="Arial"/>
          <w:b/>
          <w:sz w:val="24"/>
          <w:szCs w:val="24"/>
        </w:rPr>
        <w:t>Identificação e análise das principais figuras e padrões de candles</w:t>
      </w:r>
    </w:p>
    <w:p w:rsidR="003B77C1" w:rsidRDefault="003B77C1" w:rsidP="003B77C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3B77C1" w:rsidRDefault="003B77C1" w:rsidP="003B77C1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6076950" cy="2808043"/>
            <wp:effectExtent l="19050" t="0" r="0" b="0"/>
            <wp:docPr id="29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80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971" w:rsidRDefault="005C1971" w:rsidP="005C1971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Fonte: Trading View (2017)</w:t>
      </w:r>
    </w:p>
    <w:p w:rsidR="003B77C1" w:rsidRDefault="003B77C1" w:rsidP="003B77C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3B77C1" w:rsidRDefault="003B77C1" w:rsidP="003B77C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3B77C1" w:rsidRDefault="00A9371A" w:rsidP="003B77C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4.5 </w:t>
      </w:r>
      <w:r w:rsidR="003B77C1">
        <w:rPr>
          <w:rFonts w:ascii="Arial" w:hAnsi="Arial" w:cs="Arial"/>
          <w:b/>
          <w:sz w:val="24"/>
          <w:szCs w:val="24"/>
        </w:rPr>
        <w:t>Análise do Volume Relacionado ao Preço</w:t>
      </w:r>
    </w:p>
    <w:p w:rsidR="003B77C1" w:rsidRDefault="003B77C1" w:rsidP="003B77C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3B77C1" w:rsidRDefault="003B77C1" w:rsidP="003B77C1">
      <w:pPr>
        <w:pStyle w:val="PargrafodaLista"/>
        <w:ind w:left="-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162550" cy="1824223"/>
            <wp:effectExtent l="19050" t="0" r="0" b="0"/>
            <wp:docPr id="30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8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71A" w:rsidRPr="005C1971" w:rsidRDefault="005C1971" w:rsidP="003B77C1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Fonte: Trading View (2017)</w:t>
      </w:r>
    </w:p>
    <w:p w:rsidR="00A9371A" w:rsidRDefault="00A9371A" w:rsidP="003B77C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3B77C1" w:rsidRDefault="00A9371A" w:rsidP="003B77C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4.6 </w:t>
      </w:r>
      <w:r w:rsidR="003B77C1">
        <w:rPr>
          <w:rFonts w:ascii="Arial" w:hAnsi="Arial" w:cs="Arial"/>
          <w:b/>
          <w:sz w:val="24"/>
          <w:szCs w:val="24"/>
        </w:rPr>
        <w:t>Análise da Volatilidade Relacionada Ao Preço</w:t>
      </w:r>
    </w:p>
    <w:p w:rsidR="003B77C1" w:rsidRDefault="003B77C1" w:rsidP="003B77C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5C1971" w:rsidRDefault="003B77C1" w:rsidP="005C1971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695825" cy="1667598"/>
            <wp:effectExtent l="19050" t="0" r="9525" b="0"/>
            <wp:docPr id="31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66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971" w:rsidRDefault="005C1971" w:rsidP="005C1971">
      <w:pPr>
        <w:pStyle w:val="PargrafodaLista"/>
        <w:ind w:left="0"/>
        <w:rPr>
          <w:rFonts w:ascii="Arial" w:hAnsi="Arial" w:cs="Arial"/>
          <w:sz w:val="24"/>
          <w:szCs w:val="24"/>
        </w:rPr>
      </w:pPr>
      <w:r w:rsidRPr="005C197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Fonte: Trading View (2017)</w:t>
      </w:r>
    </w:p>
    <w:p w:rsidR="005C1971" w:rsidRPr="004945CE" w:rsidRDefault="005C1971" w:rsidP="005C1971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:rsidR="004945CE" w:rsidRDefault="004945CE" w:rsidP="005C1971">
      <w:pPr>
        <w:pStyle w:val="PargrafodaLista"/>
        <w:numPr>
          <w:ilvl w:val="0"/>
          <w:numId w:val="6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Referências</w:t>
      </w:r>
    </w:p>
    <w:p w:rsidR="004945CE" w:rsidRDefault="004945CE" w:rsidP="004945CE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5C1971" w:rsidRPr="005C1971" w:rsidRDefault="005C1971" w:rsidP="004945CE">
      <w:pPr>
        <w:pStyle w:val="PargrafodaLista"/>
        <w:rPr>
          <w:rFonts w:ascii="Arial" w:hAnsi="Arial" w:cs="Arial"/>
          <w:sz w:val="24"/>
          <w:szCs w:val="24"/>
        </w:rPr>
      </w:pPr>
      <w:r w:rsidRPr="005C1971">
        <w:rPr>
          <w:rFonts w:ascii="Arial" w:hAnsi="Arial" w:cs="Arial"/>
          <w:sz w:val="24"/>
          <w:szCs w:val="24"/>
        </w:rPr>
        <w:t xml:space="preserve">TRADINGVIEW. </w:t>
      </w:r>
      <w:r w:rsidRPr="005C1971">
        <w:rPr>
          <w:rFonts w:ascii="Arial" w:hAnsi="Arial" w:cs="Arial"/>
          <w:b/>
          <w:bCs/>
          <w:sz w:val="24"/>
          <w:szCs w:val="24"/>
        </w:rPr>
        <w:t xml:space="preserve">Banco de dados. </w:t>
      </w:r>
      <w:r w:rsidRPr="005C1971">
        <w:rPr>
          <w:rFonts w:ascii="Arial" w:hAnsi="Arial" w:cs="Arial"/>
          <w:sz w:val="24"/>
          <w:szCs w:val="24"/>
        </w:rPr>
        <w:t>2017. Disponível em: &lt;https://br.tradingview.com&gt; Acessado em 01 out. 2017.</w:t>
      </w:r>
    </w:p>
    <w:p w:rsidR="005C1971" w:rsidRPr="005C1971" w:rsidRDefault="005C1971" w:rsidP="004945CE">
      <w:pPr>
        <w:pStyle w:val="PargrafodaLista"/>
        <w:rPr>
          <w:rFonts w:ascii="Arial" w:hAnsi="Arial" w:cs="Arial"/>
          <w:sz w:val="24"/>
          <w:szCs w:val="24"/>
        </w:rPr>
      </w:pPr>
    </w:p>
    <w:p w:rsidR="005C1971" w:rsidRPr="005C1971" w:rsidRDefault="005C1971" w:rsidP="004945CE">
      <w:pPr>
        <w:pStyle w:val="PargrafodaLista"/>
        <w:rPr>
          <w:rFonts w:ascii="Arial" w:hAnsi="Arial" w:cs="Arial"/>
          <w:b/>
          <w:sz w:val="24"/>
          <w:szCs w:val="24"/>
        </w:rPr>
      </w:pPr>
      <w:r w:rsidRPr="005C1971">
        <w:rPr>
          <w:rFonts w:ascii="Arial" w:hAnsi="Arial" w:cs="Arial"/>
          <w:sz w:val="24"/>
          <w:szCs w:val="24"/>
        </w:rPr>
        <w:t>TORO RADAR.</w:t>
      </w:r>
      <w:r w:rsidRPr="005C1971">
        <w:rPr>
          <w:rFonts w:ascii="Arial" w:hAnsi="Arial" w:cs="Arial"/>
          <w:b/>
          <w:sz w:val="24"/>
          <w:szCs w:val="24"/>
        </w:rPr>
        <w:t xml:space="preserve"> Análises de Investimento. </w:t>
      </w:r>
      <w:r w:rsidRPr="005C1971">
        <w:rPr>
          <w:rFonts w:ascii="Arial" w:hAnsi="Arial" w:cs="Arial"/>
          <w:sz w:val="24"/>
          <w:szCs w:val="24"/>
        </w:rPr>
        <w:t>2017. Disponível em:</w:t>
      </w:r>
      <w:r w:rsidRPr="005C1971">
        <w:rPr>
          <w:rFonts w:ascii="Arial" w:hAnsi="Arial" w:cs="Arial"/>
          <w:b/>
          <w:sz w:val="24"/>
          <w:szCs w:val="24"/>
        </w:rPr>
        <w:t xml:space="preserve"> </w:t>
      </w:r>
      <w:r w:rsidRPr="005C1971">
        <w:rPr>
          <w:rFonts w:ascii="Arial" w:hAnsi="Arial" w:cs="Arial"/>
          <w:sz w:val="24"/>
          <w:szCs w:val="24"/>
        </w:rPr>
        <w:t>&lt;https://app.tororadar.com.br/ui/#/analises/sanb11&gt; Acessado em 01 out. 2017.</w:t>
      </w:r>
    </w:p>
    <w:p w:rsidR="005C1971" w:rsidRPr="005C1971" w:rsidRDefault="005C1971" w:rsidP="004945CE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5C1971" w:rsidRPr="005C1971" w:rsidRDefault="005C1971" w:rsidP="005C1971">
      <w:pPr>
        <w:pStyle w:val="PargrafodaLista"/>
        <w:rPr>
          <w:rFonts w:ascii="Arial" w:hAnsi="Arial" w:cs="Arial"/>
          <w:b/>
          <w:sz w:val="24"/>
          <w:szCs w:val="24"/>
        </w:rPr>
      </w:pPr>
      <w:r w:rsidRPr="005C1971">
        <w:rPr>
          <w:rFonts w:ascii="Arial" w:hAnsi="Arial" w:cs="Arial"/>
          <w:sz w:val="24"/>
          <w:szCs w:val="24"/>
        </w:rPr>
        <w:t>TORO RADAR.</w:t>
      </w:r>
      <w:r w:rsidRPr="005C1971">
        <w:rPr>
          <w:rFonts w:ascii="Arial" w:hAnsi="Arial" w:cs="Arial"/>
          <w:b/>
          <w:sz w:val="24"/>
          <w:szCs w:val="24"/>
        </w:rPr>
        <w:t xml:space="preserve"> Análises de Investimento. </w:t>
      </w:r>
      <w:r w:rsidRPr="005C1971">
        <w:rPr>
          <w:rFonts w:ascii="Arial" w:hAnsi="Arial" w:cs="Arial"/>
          <w:sz w:val="24"/>
          <w:szCs w:val="24"/>
        </w:rPr>
        <w:t>2017. Disponível em:</w:t>
      </w:r>
      <w:r w:rsidRPr="005C1971">
        <w:rPr>
          <w:rFonts w:ascii="Arial" w:hAnsi="Arial" w:cs="Arial"/>
          <w:b/>
          <w:sz w:val="24"/>
          <w:szCs w:val="24"/>
        </w:rPr>
        <w:t xml:space="preserve"> </w:t>
      </w:r>
      <w:r w:rsidRPr="005C1971">
        <w:rPr>
          <w:rFonts w:ascii="Arial" w:hAnsi="Arial" w:cs="Arial"/>
          <w:sz w:val="24"/>
          <w:szCs w:val="24"/>
        </w:rPr>
        <w:t>&lt;https://app.tororadar.com.br/ui/#/analises/CIEL3&gt; Acessado em 01 out. 2017.</w:t>
      </w:r>
    </w:p>
    <w:p w:rsidR="005C1971" w:rsidRDefault="005C1971" w:rsidP="004945CE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5C1971" w:rsidRDefault="005C1971" w:rsidP="004945CE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5C1971" w:rsidRPr="005C1971" w:rsidRDefault="005C1971" w:rsidP="005C1971">
      <w:pPr>
        <w:rPr>
          <w:rFonts w:ascii="Arial" w:hAnsi="Arial" w:cs="Arial"/>
          <w:b/>
          <w:sz w:val="24"/>
          <w:szCs w:val="24"/>
        </w:rPr>
      </w:pPr>
    </w:p>
    <w:p w:rsidR="005C1971" w:rsidRPr="00CE1355" w:rsidRDefault="005C1971" w:rsidP="004945CE">
      <w:pPr>
        <w:pStyle w:val="PargrafodaLista"/>
        <w:rPr>
          <w:rFonts w:ascii="Arial" w:hAnsi="Arial" w:cs="Arial"/>
          <w:b/>
          <w:sz w:val="24"/>
          <w:szCs w:val="24"/>
        </w:rPr>
      </w:pPr>
    </w:p>
    <w:sectPr w:rsidR="005C1971" w:rsidRPr="00CE1355" w:rsidSect="00BB7FB0">
      <w:footerReference w:type="default" r:id="rId2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3F93" w:rsidRDefault="008A3F93" w:rsidP="00BB7FB0">
      <w:pPr>
        <w:spacing w:after="0" w:line="240" w:lineRule="auto"/>
      </w:pPr>
      <w:r>
        <w:separator/>
      </w:r>
    </w:p>
  </w:endnote>
  <w:endnote w:type="continuationSeparator" w:id="1">
    <w:p w:rsidR="008A3F93" w:rsidRDefault="008A3F93" w:rsidP="00BB7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838" w:rsidRDefault="00A17838">
    <w:pPr>
      <w:pStyle w:val="Rodap"/>
    </w:pPr>
  </w:p>
  <w:p w:rsidR="00A17838" w:rsidRDefault="00A17838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113" w:rsidRDefault="008A3F93">
    <w:pPr>
      <w:pStyle w:val="Rodap"/>
    </w:pPr>
  </w:p>
  <w:p w:rsidR="00362113" w:rsidRDefault="008A3F9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3F93" w:rsidRDefault="008A3F93" w:rsidP="00BB7FB0">
      <w:pPr>
        <w:spacing w:after="0" w:line="240" w:lineRule="auto"/>
      </w:pPr>
      <w:r>
        <w:separator/>
      </w:r>
    </w:p>
  </w:footnote>
  <w:footnote w:type="continuationSeparator" w:id="1">
    <w:p w:rsidR="008A3F93" w:rsidRDefault="008A3F93" w:rsidP="00BB7F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BE593C"/>
    <w:multiLevelType w:val="multilevel"/>
    <w:tmpl w:val="51EE9E44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800"/>
      </w:pPr>
      <w:rPr>
        <w:rFonts w:hint="default"/>
      </w:rPr>
    </w:lvl>
  </w:abstractNum>
  <w:abstractNum w:abstractNumId="1">
    <w:nsid w:val="48E11C36"/>
    <w:multiLevelType w:val="multilevel"/>
    <w:tmpl w:val="12CEEA3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49447A87"/>
    <w:multiLevelType w:val="multilevel"/>
    <w:tmpl w:val="BD32C6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4F680336"/>
    <w:multiLevelType w:val="multilevel"/>
    <w:tmpl w:val="51EE9E44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800"/>
      </w:pPr>
      <w:rPr>
        <w:rFonts w:hint="default"/>
      </w:rPr>
    </w:lvl>
  </w:abstractNum>
  <w:abstractNum w:abstractNumId="4">
    <w:nsid w:val="65AB15A8"/>
    <w:multiLevelType w:val="hybridMultilevel"/>
    <w:tmpl w:val="3F42195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14570E"/>
    <w:multiLevelType w:val="hybridMultilevel"/>
    <w:tmpl w:val="3F42195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4C6B22"/>
    <w:multiLevelType w:val="hybridMultilevel"/>
    <w:tmpl w:val="3F42195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7D44EC"/>
    <w:multiLevelType w:val="multilevel"/>
    <w:tmpl w:val="C908E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63535"/>
    <w:rsid w:val="000022C9"/>
    <w:rsid w:val="000E2D86"/>
    <w:rsid w:val="0011783E"/>
    <w:rsid w:val="001237B0"/>
    <w:rsid w:val="00183ADF"/>
    <w:rsid w:val="00192A0A"/>
    <w:rsid w:val="00263535"/>
    <w:rsid w:val="003B77C1"/>
    <w:rsid w:val="003F2AC2"/>
    <w:rsid w:val="004945CE"/>
    <w:rsid w:val="005246D3"/>
    <w:rsid w:val="005A43D5"/>
    <w:rsid w:val="005C1971"/>
    <w:rsid w:val="006C04F8"/>
    <w:rsid w:val="00707927"/>
    <w:rsid w:val="007444F4"/>
    <w:rsid w:val="00817CE7"/>
    <w:rsid w:val="008A3F93"/>
    <w:rsid w:val="00922AAB"/>
    <w:rsid w:val="00982831"/>
    <w:rsid w:val="00A17838"/>
    <w:rsid w:val="00A40244"/>
    <w:rsid w:val="00A65872"/>
    <w:rsid w:val="00A9371A"/>
    <w:rsid w:val="00AE7B15"/>
    <w:rsid w:val="00BB7FB0"/>
    <w:rsid w:val="00CB3A61"/>
    <w:rsid w:val="00CB45D0"/>
    <w:rsid w:val="00CE1355"/>
    <w:rsid w:val="00CE5BEC"/>
    <w:rsid w:val="00D5620A"/>
    <w:rsid w:val="00FD3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FB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63535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2635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63535"/>
  </w:style>
  <w:style w:type="paragraph" w:styleId="Textodebalo">
    <w:name w:val="Balloon Text"/>
    <w:basedOn w:val="Normal"/>
    <w:link w:val="TextodebaloChar"/>
    <w:uiPriority w:val="99"/>
    <w:semiHidden/>
    <w:unhideWhenUsed/>
    <w:rsid w:val="00263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353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D3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5C197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26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14</Pages>
  <Words>1204</Words>
  <Characters>6505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2017-09-30T17:35:00Z</dcterms:created>
  <dcterms:modified xsi:type="dcterms:W3CDTF">2017-11-05T22:38:00Z</dcterms:modified>
</cp:coreProperties>
</file>