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3A" w:rsidRDefault="002E3983" w:rsidP="00291E7C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2E3983">
        <w:rPr>
          <w:rFonts w:ascii="Arial" w:hAnsi="Arial" w:cs="Arial"/>
          <w:b/>
          <w:sz w:val="24"/>
          <w:szCs w:val="24"/>
        </w:rPr>
        <w:t>RESENHA</w:t>
      </w:r>
    </w:p>
    <w:p w:rsidR="002E3983" w:rsidRDefault="002E3983" w:rsidP="00291E7C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Inovação Financeira e Regulação Prudencial: Da Regulação de Liquidez aos Acordos de Basileia</w:t>
      </w:r>
    </w:p>
    <w:p w:rsidR="002E3983" w:rsidRDefault="00EB72D4" w:rsidP="00EB72D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723328">
        <w:rPr>
          <w:rFonts w:ascii="Arial" w:hAnsi="Arial" w:cs="Arial"/>
          <w:sz w:val="24"/>
          <w:szCs w:val="24"/>
        </w:rPr>
        <w:t xml:space="preserve">CARVALHO, Fernando J. C. </w:t>
      </w:r>
      <w:r w:rsidRPr="00723328">
        <w:rPr>
          <w:rFonts w:ascii="Arial" w:hAnsi="Arial" w:cs="Arial"/>
          <w:b/>
          <w:bCs/>
          <w:sz w:val="24"/>
          <w:szCs w:val="24"/>
        </w:rPr>
        <w:t>Inovação financeira e regulação prudencial: da regulação</w:t>
      </w:r>
      <w:r>
        <w:rPr>
          <w:rFonts w:ascii="Arial" w:hAnsi="Arial" w:cs="Arial"/>
          <w:b/>
          <w:bCs/>
          <w:sz w:val="24"/>
          <w:szCs w:val="24"/>
        </w:rPr>
        <w:t xml:space="preserve"> da liquidez aos acordos da Basileia</w:t>
      </w:r>
      <w:r>
        <w:rPr>
          <w:rFonts w:ascii="Arial" w:hAnsi="Arial" w:cs="Arial"/>
          <w:bCs/>
          <w:sz w:val="24"/>
          <w:szCs w:val="24"/>
        </w:rPr>
        <w:t xml:space="preserve">. Disponível em: </w:t>
      </w:r>
      <w:r w:rsidRPr="00723328">
        <w:rPr>
          <w:rFonts w:ascii="Arial" w:hAnsi="Arial" w:cs="Arial"/>
          <w:sz w:val="24"/>
          <w:szCs w:val="24"/>
        </w:rPr>
        <w:t>&lt; http://www.ie.ufrj.br/moeda/pdfs/inovacao_financeira_e_regulacao.pdf&gt;</w:t>
      </w:r>
      <w:r>
        <w:rPr>
          <w:rFonts w:ascii="Arial" w:hAnsi="Arial" w:cs="Arial"/>
          <w:sz w:val="24"/>
          <w:szCs w:val="24"/>
        </w:rPr>
        <w:t>. Acesso em: 09</w:t>
      </w:r>
      <w:r w:rsidRPr="00723328">
        <w:rPr>
          <w:rFonts w:ascii="Arial" w:hAnsi="Arial" w:cs="Arial"/>
          <w:sz w:val="24"/>
          <w:szCs w:val="24"/>
        </w:rPr>
        <w:t xml:space="preserve"> fev. 2017.</w:t>
      </w:r>
    </w:p>
    <w:p w:rsidR="00291E7C" w:rsidRDefault="00EB72D4" w:rsidP="00291E7C">
      <w:pPr>
        <w:spacing w:line="360" w:lineRule="auto"/>
        <w:ind w:left="566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Taylon Róger Souza Santos*</w:t>
      </w:r>
    </w:p>
    <w:p w:rsidR="00291E7C" w:rsidRDefault="00291E7C" w:rsidP="00291E7C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1B116D" w:rsidRDefault="00291E7C" w:rsidP="0089353B">
      <w:pPr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autor Fernando J. Cardim de Carvalho tratou </w:t>
      </w:r>
      <w:r w:rsidR="001B116D">
        <w:rPr>
          <w:rFonts w:ascii="Arial" w:hAnsi="Arial" w:cs="Arial"/>
          <w:sz w:val="24"/>
          <w:szCs w:val="24"/>
        </w:rPr>
        <w:t xml:space="preserve">da importância da </w:t>
      </w:r>
      <w:r>
        <w:rPr>
          <w:rFonts w:ascii="Arial" w:hAnsi="Arial" w:cs="Arial"/>
          <w:sz w:val="24"/>
          <w:szCs w:val="24"/>
        </w:rPr>
        <w:t>regulação bancária para</w:t>
      </w:r>
      <w:r w:rsidR="001B116D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acompanhar a evolução do sistema financeiro nacional, pois as instituições financeiras como qualquer outra empresa inserida no mercado estão sujeitas aos riscos, e </w:t>
      </w:r>
      <w:r w:rsidR="001B116D">
        <w:rPr>
          <w:rFonts w:ascii="Arial" w:hAnsi="Arial" w:cs="Arial"/>
          <w:sz w:val="24"/>
          <w:szCs w:val="24"/>
        </w:rPr>
        <w:t xml:space="preserve">a regulamentação é utilizada </w:t>
      </w:r>
      <w:r>
        <w:rPr>
          <w:rFonts w:ascii="Arial" w:hAnsi="Arial" w:cs="Arial"/>
          <w:sz w:val="24"/>
          <w:szCs w:val="24"/>
        </w:rPr>
        <w:t>para minimizar</w:t>
      </w:r>
      <w:r w:rsidR="001B116D">
        <w:rPr>
          <w:rFonts w:ascii="Arial" w:hAnsi="Arial" w:cs="Arial"/>
          <w:sz w:val="24"/>
          <w:szCs w:val="24"/>
        </w:rPr>
        <w:t xml:space="preserve"> esses riscos.</w:t>
      </w:r>
    </w:p>
    <w:p w:rsidR="00C312CD" w:rsidRDefault="00C312CD" w:rsidP="0089353B">
      <w:pPr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Porém, é exclusividade do sistema financeiro o contagio causado por uma instituição que esta insolvente e não consegue devolver o dinheiro depositado pelos seus clientes, e com isso, gera uma corrida aos bacos</w:t>
      </w:r>
      <w:r w:rsidR="00DE6035">
        <w:rPr>
          <w:rFonts w:ascii="Arial" w:hAnsi="Arial" w:cs="Arial"/>
          <w:sz w:val="24"/>
          <w:szCs w:val="24"/>
        </w:rPr>
        <w:t>, pois</w:t>
      </w:r>
      <w:r>
        <w:rPr>
          <w:rFonts w:ascii="Arial" w:hAnsi="Arial" w:cs="Arial"/>
          <w:sz w:val="24"/>
          <w:szCs w:val="24"/>
        </w:rPr>
        <w:t xml:space="preserve"> os outros agentes econômicos perderam a confiança no sistema financeira e vão querer retirar os seus depósitos e como os bancos não possuem capital suficiente para fazer frente a essas retiradas todo o sistema entra em crise.</w:t>
      </w:r>
    </w:p>
    <w:p w:rsidR="00C312CD" w:rsidRDefault="00C312CD" w:rsidP="0089353B">
      <w:pPr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 w:rsidRPr="00C312CD">
        <w:rPr>
          <w:rFonts w:ascii="Arial" w:hAnsi="Arial" w:cs="Arial"/>
          <w:sz w:val="24"/>
          <w:szCs w:val="24"/>
        </w:rPr>
        <w:t xml:space="preserve">Essa possibilidade de contágio que ocorre no sistema bancário é conhecida como risco sistêmico. </w:t>
      </w:r>
      <w:r w:rsidR="005A4D4B">
        <w:rPr>
          <w:rFonts w:ascii="Arial" w:hAnsi="Arial" w:cs="Arial"/>
          <w:sz w:val="24"/>
          <w:szCs w:val="24"/>
        </w:rPr>
        <w:t xml:space="preserve">Segundo Carvalho, </w:t>
      </w:r>
      <w:r w:rsidRPr="00C312CD">
        <w:rPr>
          <w:rFonts w:ascii="Arial" w:hAnsi="Arial" w:cs="Arial"/>
          <w:sz w:val="24"/>
          <w:szCs w:val="24"/>
        </w:rPr>
        <w:t>“Risco sistêmico refere-se à possibilidade de que um choque localizado em algum ponto</w:t>
      </w:r>
      <w:r>
        <w:rPr>
          <w:rFonts w:ascii="Arial" w:hAnsi="Arial" w:cs="Arial"/>
          <w:sz w:val="24"/>
          <w:szCs w:val="24"/>
        </w:rPr>
        <w:t xml:space="preserve"> </w:t>
      </w:r>
      <w:r w:rsidRPr="00C312CD">
        <w:rPr>
          <w:rFonts w:ascii="Arial" w:hAnsi="Arial" w:cs="Arial"/>
          <w:sz w:val="24"/>
          <w:szCs w:val="24"/>
        </w:rPr>
        <w:t>do sistema financeiro possa se transmitir ao sistema</w:t>
      </w:r>
      <w:r>
        <w:rPr>
          <w:rFonts w:ascii="Arial" w:hAnsi="Arial" w:cs="Arial"/>
          <w:sz w:val="24"/>
          <w:szCs w:val="24"/>
        </w:rPr>
        <w:t xml:space="preserve"> como um todo e, eventualmente, </w:t>
      </w:r>
      <w:r w:rsidRPr="00C312CD">
        <w:rPr>
          <w:rFonts w:ascii="Arial" w:hAnsi="Arial" w:cs="Arial"/>
          <w:sz w:val="24"/>
          <w:szCs w:val="24"/>
        </w:rPr>
        <w:t xml:space="preserve">levar a um colapso </w:t>
      </w:r>
      <w:r w:rsidR="005A4D4B">
        <w:rPr>
          <w:rFonts w:ascii="Arial" w:hAnsi="Arial" w:cs="Arial"/>
          <w:sz w:val="24"/>
          <w:szCs w:val="24"/>
        </w:rPr>
        <w:t>da própria economia</w:t>
      </w:r>
      <w:r>
        <w:rPr>
          <w:rFonts w:ascii="Arial" w:hAnsi="Arial" w:cs="Arial"/>
          <w:sz w:val="24"/>
          <w:szCs w:val="24"/>
        </w:rPr>
        <w:t>”</w:t>
      </w:r>
      <w:r w:rsidR="005A4D4B">
        <w:rPr>
          <w:rFonts w:ascii="Arial" w:hAnsi="Arial" w:cs="Arial"/>
          <w:sz w:val="24"/>
          <w:szCs w:val="24"/>
        </w:rPr>
        <w:t>.</w:t>
      </w:r>
    </w:p>
    <w:p w:rsidR="00260D01" w:rsidRDefault="00DE6035" w:rsidP="0089353B">
      <w:pPr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o contágio causado pelo setor financeiro pode afetar outros setores, porque o sistema financeiro sede crédito para os demais setores da economia, assim, se o setor financeiro quebrar muitos outros setores vão ficar sem crédito e em pouco também quebrarão.</w:t>
      </w:r>
    </w:p>
    <w:p w:rsidR="005A4D4B" w:rsidRDefault="0038713D" w:rsidP="0089353B">
      <w:pPr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inovação financeira os bancos passaram </w:t>
      </w:r>
      <w:r w:rsidR="00A50BE9">
        <w:rPr>
          <w:rFonts w:ascii="Arial" w:hAnsi="Arial" w:cs="Arial"/>
          <w:sz w:val="24"/>
          <w:szCs w:val="24"/>
        </w:rPr>
        <w:t xml:space="preserve">a atuar nos mercados específicos para o risco (derivativos), sendo assim o risco sistêmico do setor financeiro aumentou, já que os bancos atuam em mercados mais voláteis. A partir </w:t>
      </w:r>
      <w:r w:rsidR="00A50BE9">
        <w:rPr>
          <w:rFonts w:ascii="Arial" w:hAnsi="Arial" w:cs="Arial"/>
          <w:sz w:val="24"/>
          <w:szCs w:val="24"/>
        </w:rPr>
        <w:lastRenderedPageBreak/>
        <w:t>disto e principalmente para diminuir a desigualdade competitiva entre os bancos internacionais, o Comitê de Basileia criou o Acordo de Basileia para regulamentar a atividade dos bancos.</w:t>
      </w:r>
    </w:p>
    <w:p w:rsidR="00A50BE9" w:rsidRDefault="00A50BE9" w:rsidP="0089353B">
      <w:pPr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Acordo de Basileia criou instrumentos para calcular os riscos envolvidos nas diversas operações de crédito, </w:t>
      </w:r>
      <w:r w:rsidR="008C03C9">
        <w:rPr>
          <w:rFonts w:ascii="Arial" w:hAnsi="Arial" w:cs="Arial"/>
          <w:sz w:val="24"/>
          <w:szCs w:val="24"/>
        </w:rPr>
        <w:t>onde cada grau de ativos correspondia a um certo risco, além disso,  o acordo trousse instrumentos para gerir esses riscos de crédito.</w:t>
      </w:r>
    </w:p>
    <w:p w:rsidR="008C03C9" w:rsidRDefault="008C03C9" w:rsidP="0089353B">
      <w:pPr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o avanço da securitização</w:t>
      </w:r>
      <w:r w:rsidR="006F6507">
        <w:rPr>
          <w:rFonts w:ascii="Arial" w:hAnsi="Arial" w:cs="Arial"/>
          <w:sz w:val="24"/>
          <w:szCs w:val="24"/>
        </w:rPr>
        <w:t>, ou seja, o agrupamento de diversos ativos financeiros, transformando-os em títulos e os negociando no mercado de capitais, deixou o Acordo de Basileia obsoleto, pois o mesmo não continha uma regulamentação sobre o risco de crédito, esse acordo só referia-se ao risco de liquidez.</w:t>
      </w:r>
    </w:p>
    <w:p w:rsidR="006F6507" w:rsidRDefault="007058B2" w:rsidP="0089353B">
      <w:pPr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emenda no acordo aprovada em 1995, estabeleceu a criação de coeficientes de capital também para o risco de mercado, para que as instituições se previnam quanto a variação dos preços dos títulos.</w:t>
      </w:r>
    </w:p>
    <w:p w:rsidR="007058B2" w:rsidRDefault="007058B2" w:rsidP="0089353B">
      <w:pPr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emenda demostrou a necessidade de se realizar </w:t>
      </w:r>
      <w:r w:rsidR="00D5639F">
        <w:rPr>
          <w:rFonts w:ascii="Arial" w:hAnsi="Arial" w:cs="Arial"/>
          <w:sz w:val="24"/>
          <w:szCs w:val="24"/>
        </w:rPr>
        <w:t xml:space="preserve">um novo acordo, </w:t>
      </w:r>
      <w:r>
        <w:rPr>
          <w:rFonts w:ascii="Arial" w:hAnsi="Arial" w:cs="Arial"/>
          <w:sz w:val="24"/>
          <w:szCs w:val="24"/>
        </w:rPr>
        <w:t>Basileia II</w:t>
      </w:r>
      <w:r w:rsidR="00D5639F">
        <w:rPr>
          <w:rFonts w:ascii="Arial" w:hAnsi="Arial" w:cs="Arial"/>
          <w:sz w:val="24"/>
          <w:szCs w:val="24"/>
        </w:rPr>
        <w:t>,</w:t>
      </w:r>
      <w:r w:rsidR="00282E16">
        <w:rPr>
          <w:rFonts w:ascii="Arial" w:hAnsi="Arial" w:cs="Arial"/>
          <w:sz w:val="24"/>
          <w:szCs w:val="24"/>
        </w:rPr>
        <w:t xml:space="preserve"> que tinha como objetivo monitorar e regular as operações mais complexas e diversificadas dos bancos.</w:t>
      </w:r>
    </w:p>
    <w:p w:rsidR="00282E16" w:rsidRDefault="00282E16" w:rsidP="0089353B">
      <w:pPr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autor fala das grandes incertezas sobre as medidas </w:t>
      </w:r>
      <w:proofErr w:type="gramStart"/>
      <w:r>
        <w:rPr>
          <w:rFonts w:ascii="Arial" w:hAnsi="Arial" w:cs="Arial"/>
          <w:sz w:val="24"/>
          <w:szCs w:val="24"/>
        </w:rPr>
        <w:t>implementadas</w:t>
      </w:r>
      <w:proofErr w:type="gramEnd"/>
      <w:r>
        <w:rPr>
          <w:rFonts w:ascii="Arial" w:hAnsi="Arial" w:cs="Arial"/>
          <w:sz w:val="24"/>
          <w:szCs w:val="24"/>
        </w:rPr>
        <w:t xml:space="preserve"> por Basileia II, mas com a passar do tempo pode-se perceber que o acordo trouxe uma evolução importante em relação à supervisão bancaria. No entanto, essas inovações não foram o suficiente para acabar com o risco sistêmico, prova disso, é a crise financeira de 2008/9, </w:t>
      </w:r>
      <w:r w:rsidR="000053C3">
        <w:rPr>
          <w:rFonts w:ascii="Arial" w:hAnsi="Arial" w:cs="Arial"/>
          <w:sz w:val="24"/>
          <w:szCs w:val="24"/>
        </w:rPr>
        <w:t>assim, o Co</w:t>
      </w:r>
      <w:r w:rsidR="00060842">
        <w:rPr>
          <w:rFonts w:ascii="Arial" w:hAnsi="Arial" w:cs="Arial"/>
          <w:sz w:val="24"/>
          <w:szCs w:val="24"/>
        </w:rPr>
        <w:t xml:space="preserve">mitê de Basileia desenvolveu o </w:t>
      </w:r>
      <w:r w:rsidR="000053C3">
        <w:rPr>
          <w:rFonts w:ascii="Arial" w:hAnsi="Arial" w:cs="Arial"/>
          <w:sz w:val="24"/>
          <w:szCs w:val="24"/>
        </w:rPr>
        <w:t>Acordo de Basileia III para aprimorar a capacidade de regulamentar e supervisionar as instituições financeiras.</w:t>
      </w:r>
    </w:p>
    <w:p w:rsidR="007058B2" w:rsidRPr="00C312CD" w:rsidRDefault="007058B2" w:rsidP="0089353B">
      <w:pPr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058B2" w:rsidRPr="00C312CD" w:rsidSect="00EB72D4">
      <w:footerReference w:type="default" r:id="rId7"/>
      <w:footerReference w:type="firs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25" w:rsidRDefault="00F05E25" w:rsidP="00EB72D4">
      <w:pPr>
        <w:spacing w:before="0" w:after="0" w:line="240" w:lineRule="auto"/>
      </w:pPr>
      <w:r>
        <w:separator/>
      </w:r>
    </w:p>
  </w:endnote>
  <w:endnote w:type="continuationSeparator" w:id="0">
    <w:p w:rsidR="00F05E25" w:rsidRDefault="00F05E25" w:rsidP="00EB72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D4" w:rsidRDefault="00EB72D4">
    <w:pPr>
      <w:pStyle w:val="Rodap"/>
    </w:pPr>
  </w:p>
  <w:p w:rsidR="00EB72D4" w:rsidRDefault="00EB72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D4" w:rsidRDefault="00EB72D4" w:rsidP="00EB72D4">
    <w:pPr>
      <w:pStyle w:val="Rodap"/>
    </w:pPr>
    <w:r>
      <w:t xml:space="preserve">*Cursando Ciências Econômicas na PUC Minas. </w:t>
    </w:r>
  </w:p>
  <w:p w:rsidR="00EB72D4" w:rsidRDefault="00EB72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25" w:rsidRDefault="00F05E25" w:rsidP="00EB72D4">
      <w:pPr>
        <w:spacing w:before="0" w:after="0" w:line="240" w:lineRule="auto"/>
      </w:pPr>
      <w:r>
        <w:separator/>
      </w:r>
    </w:p>
  </w:footnote>
  <w:footnote w:type="continuationSeparator" w:id="0">
    <w:p w:rsidR="00F05E25" w:rsidRDefault="00F05E25" w:rsidP="00EB72D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F1"/>
    <w:rsid w:val="000053C3"/>
    <w:rsid w:val="00026DF3"/>
    <w:rsid w:val="00060842"/>
    <w:rsid w:val="00144F3A"/>
    <w:rsid w:val="001B116D"/>
    <w:rsid w:val="00260D01"/>
    <w:rsid w:val="00282E16"/>
    <w:rsid w:val="00291E7C"/>
    <w:rsid w:val="002E3983"/>
    <w:rsid w:val="0038713D"/>
    <w:rsid w:val="005A4D4B"/>
    <w:rsid w:val="006F6507"/>
    <w:rsid w:val="007058B2"/>
    <w:rsid w:val="00745EF1"/>
    <w:rsid w:val="0089353B"/>
    <w:rsid w:val="008C03C9"/>
    <w:rsid w:val="00991D94"/>
    <w:rsid w:val="00A50BE9"/>
    <w:rsid w:val="00BF5195"/>
    <w:rsid w:val="00C312CD"/>
    <w:rsid w:val="00D5639F"/>
    <w:rsid w:val="00DE6035"/>
    <w:rsid w:val="00EA53DE"/>
    <w:rsid w:val="00EB72D4"/>
    <w:rsid w:val="00F05E25"/>
    <w:rsid w:val="00F074BA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72D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72D4"/>
  </w:style>
  <w:style w:type="paragraph" w:styleId="Rodap">
    <w:name w:val="footer"/>
    <w:basedOn w:val="Normal"/>
    <w:link w:val="RodapChar"/>
    <w:uiPriority w:val="99"/>
    <w:unhideWhenUsed/>
    <w:rsid w:val="00EB72D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2D4"/>
  </w:style>
  <w:style w:type="paragraph" w:styleId="Textodebalo">
    <w:name w:val="Balloon Text"/>
    <w:basedOn w:val="Normal"/>
    <w:link w:val="TextodebaloChar"/>
    <w:uiPriority w:val="99"/>
    <w:semiHidden/>
    <w:unhideWhenUsed/>
    <w:rsid w:val="00EB72D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72D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72D4"/>
  </w:style>
  <w:style w:type="paragraph" w:styleId="Rodap">
    <w:name w:val="footer"/>
    <w:basedOn w:val="Normal"/>
    <w:link w:val="RodapChar"/>
    <w:uiPriority w:val="99"/>
    <w:unhideWhenUsed/>
    <w:rsid w:val="00EB72D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2D4"/>
  </w:style>
  <w:style w:type="paragraph" w:styleId="Textodebalo">
    <w:name w:val="Balloon Text"/>
    <w:basedOn w:val="Normal"/>
    <w:link w:val="TextodebaloChar"/>
    <w:uiPriority w:val="99"/>
    <w:semiHidden/>
    <w:unhideWhenUsed/>
    <w:rsid w:val="00EB72D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17</cp:revision>
  <dcterms:created xsi:type="dcterms:W3CDTF">2017-03-01T17:52:00Z</dcterms:created>
  <dcterms:modified xsi:type="dcterms:W3CDTF">2017-10-10T01:37:00Z</dcterms:modified>
</cp:coreProperties>
</file>