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4B" w:rsidRDefault="00247600">
      <w:pPr>
        <w:spacing w:after="0" w:line="360" w:lineRule="auto"/>
        <w:jc w:val="center"/>
        <w:rPr>
          <w:rFonts w:cs="Arial"/>
          <w:b/>
          <w:szCs w:val="24"/>
        </w:rPr>
      </w:pPr>
      <w:r>
        <w:rPr>
          <w:rFonts w:cs="Arial"/>
          <w:b/>
          <w:szCs w:val="24"/>
        </w:rPr>
        <w:t>PONTIF</w:t>
      </w:r>
      <w:r>
        <w:rPr>
          <w:rFonts w:cs="Arial"/>
          <w:b/>
          <w:szCs w:val="24"/>
        </w:rPr>
        <w:t>Í</w:t>
      </w:r>
      <w:r>
        <w:rPr>
          <w:rFonts w:cs="Arial"/>
          <w:b/>
          <w:szCs w:val="24"/>
        </w:rPr>
        <w:t>CIA UNIVERSIDADE CAT</w:t>
      </w:r>
      <w:r>
        <w:rPr>
          <w:rFonts w:cs="Arial"/>
          <w:b/>
          <w:szCs w:val="24"/>
        </w:rPr>
        <w:t>Ó</w:t>
      </w:r>
      <w:r>
        <w:rPr>
          <w:rFonts w:cs="Arial"/>
          <w:b/>
          <w:szCs w:val="24"/>
        </w:rPr>
        <w:t>LICA DE MINAS GERAIS</w:t>
      </w:r>
    </w:p>
    <w:p w:rsidR="0071184B" w:rsidRDefault="00247600">
      <w:pPr>
        <w:spacing w:after="0" w:line="360" w:lineRule="auto"/>
        <w:jc w:val="center"/>
        <w:rPr>
          <w:rFonts w:eastAsia="SimSun" w:cs="Arial"/>
          <w:b/>
          <w:szCs w:val="24"/>
        </w:rPr>
      </w:pPr>
      <w:r>
        <w:rPr>
          <w:rFonts w:eastAsia="SimSun" w:cs="Arial"/>
          <w:b/>
          <w:szCs w:val="24"/>
        </w:rPr>
        <w:t>Instituto de Ci</w:t>
      </w:r>
      <w:r>
        <w:rPr>
          <w:rFonts w:eastAsia="SimSun" w:cs="Arial"/>
          <w:b/>
          <w:szCs w:val="24"/>
        </w:rPr>
        <w:t>ê</w:t>
      </w:r>
      <w:r>
        <w:rPr>
          <w:rFonts w:eastAsia="SimSun" w:cs="Arial"/>
          <w:b/>
          <w:szCs w:val="24"/>
        </w:rPr>
        <w:t>ncias Econ</w:t>
      </w:r>
      <w:r>
        <w:rPr>
          <w:rFonts w:eastAsia="SimSun" w:cs="Arial"/>
          <w:b/>
          <w:szCs w:val="24"/>
        </w:rPr>
        <w:t>ô</w:t>
      </w:r>
      <w:r>
        <w:rPr>
          <w:rFonts w:eastAsia="SimSun" w:cs="Arial"/>
          <w:b/>
          <w:szCs w:val="24"/>
        </w:rPr>
        <w:t>micas e Gerenciais-ICEG</w:t>
      </w:r>
    </w:p>
    <w:p w:rsidR="0071184B" w:rsidRDefault="00247600">
      <w:pPr>
        <w:spacing w:after="0" w:line="360" w:lineRule="auto"/>
        <w:jc w:val="center"/>
        <w:rPr>
          <w:rFonts w:eastAsia="SimSun" w:cs="Arial"/>
          <w:b/>
          <w:szCs w:val="24"/>
        </w:rPr>
      </w:pPr>
      <w:r>
        <w:rPr>
          <w:rFonts w:eastAsia="SimSun" w:cs="Arial"/>
          <w:b/>
          <w:szCs w:val="24"/>
        </w:rPr>
        <w:t>Curso de Ci</w:t>
      </w:r>
      <w:r>
        <w:rPr>
          <w:rFonts w:eastAsia="SimSun" w:cs="Arial"/>
          <w:b/>
          <w:szCs w:val="24"/>
        </w:rPr>
        <w:t>ê</w:t>
      </w:r>
      <w:r>
        <w:rPr>
          <w:rFonts w:eastAsia="SimSun" w:cs="Arial"/>
          <w:b/>
          <w:szCs w:val="24"/>
        </w:rPr>
        <w:t>ncias Cont</w:t>
      </w:r>
      <w:r>
        <w:rPr>
          <w:rFonts w:eastAsia="SimSun" w:cs="Arial"/>
          <w:b/>
          <w:szCs w:val="24"/>
        </w:rPr>
        <w:t>á</w:t>
      </w:r>
      <w:r>
        <w:rPr>
          <w:rFonts w:eastAsia="SimSun" w:cs="Arial"/>
          <w:b/>
          <w:szCs w:val="24"/>
        </w:rPr>
        <w:t>beis</w:t>
      </w:r>
    </w:p>
    <w:p w:rsidR="0071184B" w:rsidRDefault="0071184B">
      <w:pPr>
        <w:spacing w:after="0" w:line="360" w:lineRule="auto"/>
        <w:jc w:val="center"/>
        <w:rPr>
          <w:rFonts w:eastAsia="SimSun" w:cs="Arial"/>
          <w:szCs w:val="24"/>
        </w:rPr>
      </w:pPr>
    </w:p>
    <w:p w:rsidR="0071184B" w:rsidRDefault="0071184B">
      <w:pPr>
        <w:spacing w:after="0" w:line="360" w:lineRule="auto"/>
        <w:jc w:val="center"/>
        <w:rPr>
          <w:rFonts w:eastAsia="SimSun" w:cs="Arial"/>
          <w:szCs w:val="24"/>
        </w:rPr>
      </w:pPr>
    </w:p>
    <w:p w:rsidR="0071184B" w:rsidRDefault="0071184B">
      <w:pPr>
        <w:spacing w:after="0" w:line="360" w:lineRule="auto"/>
        <w:jc w:val="center"/>
        <w:rPr>
          <w:rFonts w:eastAsia="SimSun"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247600">
      <w:pPr>
        <w:spacing w:after="0"/>
        <w:jc w:val="center"/>
        <w:rPr>
          <w:rFonts w:cs="Arial"/>
          <w:b/>
          <w:szCs w:val="24"/>
        </w:rPr>
      </w:pPr>
      <w:r>
        <w:rPr>
          <w:rFonts w:cs="Arial"/>
          <w:b/>
          <w:szCs w:val="24"/>
        </w:rPr>
        <w:t>INCENTIVOS FISCAIS</w:t>
      </w:r>
    </w:p>
    <w:p w:rsidR="0071184B" w:rsidRDefault="0071184B">
      <w:pPr>
        <w:spacing w:after="0"/>
        <w:jc w:val="center"/>
        <w:rPr>
          <w:rFonts w:cs="Arial"/>
          <w:b/>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247600">
      <w:pPr>
        <w:spacing w:after="0"/>
        <w:jc w:val="center"/>
        <w:rPr>
          <w:rFonts w:cs="Arial"/>
          <w:szCs w:val="24"/>
        </w:rPr>
      </w:pPr>
      <w:r>
        <w:rPr>
          <w:rFonts w:cs="Arial"/>
          <w:szCs w:val="24"/>
        </w:rPr>
        <w:t>Belo Horizonte</w:t>
      </w:r>
    </w:p>
    <w:p w:rsidR="0071184B" w:rsidRDefault="00F21A56">
      <w:pPr>
        <w:spacing w:after="0"/>
        <w:jc w:val="center"/>
        <w:rPr>
          <w:rFonts w:cs="Arial"/>
          <w:szCs w:val="24"/>
        </w:rPr>
      </w:pPr>
      <w:r>
        <w:rPr>
          <w:rFonts w:cs="Arial"/>
          <w:szCs w:val="24"/>
        </w:rPr>
        <w:t>2016</w:t>
      </w: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247600">
      <w:pPr>
        <w:tabs>
          <w:tab w:val="left" w:pos="4814"/>
        </w:tabs>
        <w:spacing w:after="0"/>
        <w:rPr>
          <w:rFonts w:cs="Arial"/>
          <w:szCs w:val="24"/>
        </w:rPr>
      </w:pPr>
      <w:r>
        <w:rPr>
          <w:rFonts w:cs="Arial"/>
          <w:szCs w:val="24"/>
        </w:rPr>
        <w:tab/>
      </w: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71184B">
      <w:pPr>
        <w:spacing w:after="0"/>
        <w:jc w:val="center"/>
        <w:rPr>
          <w:rFonts w:cs="Arial"/>
          <w:b/>
          <w:szCs w:val="24"/>
        </w:rPr>
      </w:pPr>
    </w:p>
    <w:p w:rsidR="0071184B" w:rsidRDefault="00247600">
      <w:pPr>
        <w:spacing w:after="0"/>
        <w:jc w:val="center"/>
        <w:rPr>
          <w:rFonts w:cs="Arial"/>
          <w:b/>
          <w:szCs w:val="24"/>
        </w:rPr>
      </w:pPr>
      <w:r>
        <w:rPr>
          <w:rFonts w:cs="Arial"/>
          <w:b/>
          <w:szCs w:val="24"/>
        </w:rPr>
        <w:t>INCENTIVOS FISCAIS</w:t>
      </w: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rPr>
          <w:rFonts w:cs="Arial"/>
          <w:szCs w:val="24"/>
        </w:rPr>
      </w:pPr>
    </w:p>
    <w:p w:rsidR="0071184B" w:rsidRDefault="0071184B">
      <w:pPr>
        <w:spacing w:after="0"/>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247600">
      <w:pPr>
        <w:tabs>
          <w:tab w:val="left" w:pos="5717"/>
        </w:tabs>
        <w:spacing w:after="0" w:line="360" w:lineRule="auto"/>
        <w:ind w:left="3540"/>
        <w:jc w:val="both"/>
        <w:rPr>
          <w:rFonts w:cs="Arial"/>
          <w:szCs w:val="24"/>
        </w:rPr>
      </w:pPr>
      <w:r>
        <w:rPr>
          <w:rFonts w:cs="Arial"/>
          <w:szCs w:val="24"/>
        </w:rPr>
        <w:t>Resenha critica apresentada pelos alunos do curso de Ci</w:t>
      </w:r>
      <w:r>
        <w:rPr>
          <w:rFonts w:cs="Arial"/>
          <w:szCs w:val="24"/>
        </w:rPr>
        <w:t>ê</w:t>
      </w:r>
      <w:r>
        <w:rPr>
          <w:rFonts w:cs="Arial"/>
          <w:szCs w:val="24"/>
        </w:rPr>
        <w:t>ncias Cont</w:t>
      </w:r>
      <w:r>
        <w:rPr>
          <w:rFonts w:cs="Arial"/>
          <w:szCs w:val="24"/>
        </w:rPr>
        <w:t>á</w:t>
      </w:r>
      <w:r>
        <w:rPr>
          <w:rFonts w:cs="Arial"/>
          <w:szCs w:val="24"/>
        </w:rPr>
        <w:t>beis da Pontif</w:t>
      </w:r>
      <w:r>
        <w:rPr>
          <w:rFonts w:cs="Arial"/>
          <w:szCs w:val="24"/>
        </w:rPr>
        <w:t>í</w:t>
      </w:r>
      <w:r>
        <w:rPr>
          <w:rFonts w:cs="Arial"/>
          <w:szCs w:val="24"/>
        </w:rPr>
        <w:t>cia Universidade Cat</w:t>
      </w:r>
      <w:r>
        <w:rPr>
          <w:rFonts w:cs="Arial"/>
          <w:szCs w:val="24"/>
        </w:rPr>
        <w:t>ó</w:t>
      </w:r>
      <w:r>
        <w:rPr>
          <w:rFonts w:cs="Arial"/>
          <w:szCs w:val="24"/>
        </w:rPr>
        <w:t>lica de Minas Gerais, tendo como objetivo maior o despertar dos alunos a perceber nas mat</w:t>
      </w:r>
      <w:r>
        <w:rPr>
          <w:rFonts w:cs="Arial"/>
          <w:szCs w:val="24"/>
        </w:rPr>
        <w:t>é</w:t>
      </w:r>
      <w:r>
        <w:rPr>
          <w:rFonts w:cs="Arial"/>
          <w:szCs w:val="24"/>
        </w:rPr>
        <w:t>rias cursadas ao longo do semestre a interdisciplinaridade das mat</w:t>
      </w:r>
      <w:r>
        <w:rPr>
          <w:rFonts w:cs="Arial"/>
          <w:szCs w:val="24"/>
        </w:rPr>
        <w:t>é</w:t>
      </w:r>
      <w:r>
        <w:rPr>
          <w:rFonts w:cs="Arial"/>
          <w:szCs w:val="24"/>
        </w:rPr>
        <w:t>rias cursadas sendo requisito do curso.</w:t>
      </w:r>
    </w:p>
    <w:p w:rsidR="0071184B" w:rsidRDefault="0071184B">
      <w:pPr>
        <w:spacing w:after="0"/>
        <w:jc w:val="center"/>
        <w:rPr>
          <w:rFonts w:cs="Arial"/>
          <w:szCs w:val="24"/>
        </w:rPr>
      </w:pPr>
    </w:p>
    <w:p w:rsidR="0071184B" w:rsidRDefault="0071184B">
      <w:pPr>
        <w:spacing w:after="0"/>
        <w:rPr>
          <w:rFonts w:cs="Arial"/>
          <w:szCs w:val="24"/>
        </w:rPr>
      </w:pPr>
    </w:p>
    <w:p w:rsidR="0071184B" w:rsidRDefault="0071184B">
      <w:pPr>
        <w:spacing w:after="0"/>
        <w:jc w:val="center"/>
        <w:rPr>
          <w:rFonts w:cs="Arial"/>
          <w:szCs w:val="24"/>
        </w:rPr>
      </w:pPr>
    </w:p>
    <w:p w:rsidR="0071184B" w:rsidRDefault="0071184B">
      <w:pPr>
        <w:spacing w:after="0"/>
        <w:jc w:val="center"/>
        <w:rPr>
          <w:rFonts w:cs="Arial"/>
          <w:szCs w:val="24"/>
        </w:rPr>
      </w:pPr>
    </w:p>
    <w:p w:rsidR="0071184B" w:rsidRDefault="0071184B">
      <w:pPr>
        <w:spacing w:after="0"/>
        <w:rPr>
          <w:rFonts w:cs="Arial"/>
          <w:szCs w:val="24"/>
        </w:rPr>
      </w:pPr>
    </w:p>
    <w:p w:rsidR="0071184B" w:rsidRDefault="0071184B">
      <w:pPr>
        <w:spacing w:after="0"/>
        <w:jc w:val="center"/>
        <w:rPr>
          <w:rFonts w:cs="Arial"/>
          <w:szCs w:val="24"/>
        </w:rPr>
      </w:pPr>
    </w:p>
    <w:p w:rsidR="0071184B" w:rsidRDefault="00247600">
      <w:pPr>
        <w:spacing w:after="0"/>
        <w:jc w:val="center"/>
        <w:rPr>
          <w:rFonts w:cs="Arial"/>
          <w:szCs w:val="24"/>
        </w:rPr>
      </w:pPr>
      <w:r>
        <w:rPr>
          <w:rFonts w:cs="Arial"/>
          <w:szCs w:val="24"/>
        </w:rPr>
        <w:t>Belo Horizonte</w:t>
      </w:r>
    </w:p>
    <w:p w:rsidR="0071184B" w:rsidRDefault="00247600">
      <w:pPr>
        <w:spacing w:after="0"/>
        <w:jc w:val="center"/>
        <w:rPr>
          <w:rFonts w:cs="Arial"/>
          <w:szCs w:val="24"/>
        </w:rPr>
      </w:pPr>
      <w:r>
        <w:rPr>
          <w:rFonts w:cs="Arial"/>
          <w:szCs w:val="24"/>
        </w:rPr>
        <w:t>2016</w:t>
      </w:r>
    </w:p>
    <w:p w:rsidR="0071184B" w:rsidRDefault="0071184B">
      <w:pPr>
        <w:pStyle w:val="Sumrio1"/>
      </w:pPr>
    </w:p>
    <w:p w:rsidR="0071184B" w:rsidRDefault="0071184B">
      <w:pPr>
        <w:pStyle w:val="Sumrio1"/>
      </w:pPr>
    </w:p>
    <w:p w:rsidR="0071184B" w:rsidRDefault="0071184B">
      <w:pPr>
        <w:pStyle w:val="Sumrio1"/>
      </w:pPr>
    </w:p>
    <w:p w:rsidR="0071184B" w:rsidRDefault="00247600">
      <w:pPr>
        <w:pStyle w:val="Sumrio1"/>
      </w:pPr>
      <w:r>
        <w:t>SUM</w:t>
      </w:r>
      <w:r>
        <w:t>Á</w:t>
      </w:r>
      <w:r>
        <w:t>RIO</w:t>
      </w:r>
    </w:p>
    <w:p w:rsidR="0071184B" w:rsidRDefault="0071184B">
      <w:pPr>
        <w:spacing w:after="0"/>
      </w:pPr>
    </w:p>
    <w:p w:rsidR="0071184B" w:rsidRDefault="0047364D">
      <w:pPr>
        <w:pStyle w:val="Sumrio1"/>
      </w:pPr>
      <w:r w:rsidRPr="0047364D">
        <w:fldChar w:fldCharType="begin"/>
      </w:r>
      <w:r w:rsidR="00247600">
        <w:instrText xml:space="preserve"> TOC \o "1-4" \h \z \u </w:instrText>
      </w:r>
      <w:r w:rsidRPr="0047364D">
        <w:fldChar w:fldCharType="separate"/>
      </w:r>
      <w:hyperlink w:anchor="_Toc446424498" w:history="1">
        <w:r w:rsidR="00247600">
          <w:rPr>
            <w:rStyle w:val="Hyperlink"/>
          </w:rPr>
          <w:t>1. Introdu</w:t>
        </w:r>
        <w:r w:rsidR="00247600">
          <w:rPr>
            <w:rStyle w:val="Hyperlink"/>
          </w:rPr>
          <w:t>çã</w:t>
        </w:r>
        <w:r w:rsidR="00247600">
          <w:rPr>
            <w:rStyle w:val="Hyperlink"/>
          </w:rPr>
          <w:t>o</w:t>
        </w:r>
        <w:r w:rsidR="00247600">
          <w:tab/>
        </w:r>
        <w:r>
          <w:fldChar w:fldCharType="begin"/>
        </w:r>
        <w:r w:rsidR="00247600">
          <w:instrText xml:space="preserve"> PAGEREF _Toc446424498 \h </w:instrText>
        </w:r>
        <w:r>
          <w:fldChar w:fldCharType="separate"/>
        </w:r>
        <w:r w:rsidR="00247600">
          <w:t>4</w:t>
        </w:r>
        <w:r>
          <w:fldChar w:fldCharType="end"/>
        </w:r>
      </w:hyperlink>
    </w:p>
    <w:p w:rsidR="0071184B" w:rsidRDefault="0047364D">
      <w:pPr>
        <w:pStyle w:val="Sumrio1"/>
      </w:pPr>
      <w:hyperlink w:anchor="_Toc446424499" w:history="1">
        <w:r w:rsidR="00247600">
          <w:rPr>
            <w:rStyle w:val="Hyperlink"/>
          </w:rPr>
          <w:t>2. Diferen</w:t>
        </w:r>
        <w:r w:rsidR="00247600">
          <w:rPr>
            <w:rStyle w:val="Hyperlink"/>
          </w:rPr>
          <w:t>ç</w:t>
        </w:r>
        <w:r w:rsidR="00247600">
          <w:rPr>
            <w:rStyle w:val="Hyperlink"/>
          </w:rPr>
          <w:t xml:space="preserve">a entre Incentivos Fiscais e </w:t>
        </w:r>
        <w:r w:rsidR="00247600">
          <w:rPr>
            <w:rStyle w:val="Hyperlink"/>
          </w:rPr>
          <w:t>à</w:t>
        </w:r>
        <w:r w:rsidR="00247600">
          <w:rPr>
            <w:rStyle w:val="Hyperlink"/>
          </w:rPr>
          <w:t>s imunidades tribut</w:t>
        </w:r>
        <w:r w:rsidR="00247600">
          <w:rPr>
            <w:rStyle w:val="Hyperlink"/>
          </w:rPr>
          <w:t>á</w:t>
        </w:r>
        <w:r w:rsidR="00247600">
          <w:rPr>
            <w:rStyle w:val="Hyperlink"/>
          </w:rPr>
          <w:t>rias</w:t>
        </w:r>
        <w:r w:rsidR="00247600">
          <w:tab/>
        </w:r>
        <w:r>
          <w:fldChar w:fldCharType="begin"/>
        </w:r>
        <w:r w:rsidR="00247600">
          <w:instrText xml:space="preserve"> PAGEREF _Toc446424499 \h </w:instrText>
        </w:r>
        <w:r>
          <w:fldChar w:fldCharType="separate"/>
        </w:r>
        <w:r w:rsidR="00247600">
          <w:t>4</w:t>
        </w:r>
        <w:r>
          <w:fldChar w:fldCharType="end"/>
        </w:r>
      </w:hyperlink>
    </w:p>
    <w:p w:rsidR="0071184B" w:rsidRDefault="0047364D">
      <w:pPr>
        <w:pStyle w:val="Sumrio1"/>
      </w:pPr>
      <w:hyperlink w:anchor="_Toc446424500" w:history="1">
        <w:r w:rsidR="00247600">
          <w:rPr>
            <w:rStyle w:val="Hyperlink"/>
          </w:rPr>
          <w:t>3. Incentivos fiscais como a</w:t>
        </w:r>
        <w:r w:rsidR="00247600">
          <w:rPr>
            <w:rStyle w:val="Hyperlink"/>
          </w:rPr>
          <w:t>çã</w:t>
        </w:r>
        <w:r w:rsidR="00247600">
          <w:rPr>
            <w:rStyle w:val="Hyperlink"/>
          </w:rPr>
          <w:t>o social</w:t>
        </w:r>
        <w:r w:rsidR="00247600">
          <w:tab/>
        </w:r>
        <w:r>
          <w:fldChar w:fldCharType="begin"/>
        </w:r>
        <w:r w:rsidR="00247600">
          <w:instrText xml:space="preserve"> PAGEREF _Toc446424500 \h </w:instrText>
        </w:r>
        <w:r>
          <w:fldChar w:fldCharType="separate"/>
        </w:r>
        <w:r w:rsidR="00247600">
          <w:t>5</w:t>
        </w:r>
        <w:r>
          <w:fldChar w:fldCharType="end"/>
        </w:r>
      </w:hyperlink>
    </w:p>
    <w:p w:rsidR="0071184B" w:rsidRDefault="0047364D">
      <w:pPr>
        <w:pStyle w:val="Sumrio1"/>
      </w:pPr>
      <w:hyperlink w:anchor="_Toc446424501" w:history="1">
        <w:r w:rsidR="00247600">
          <w:rPr>
            <w:rStyle w:val="Hyperlink"/>
          </w:rPr>
          <w:t>4. Imposto de Renda</w:t>
        </w:r>
        <w:r w:rsidR="00247600">
          <w:tab/>
        </w:r>
        <w:r>
          <w:fldChar w:fldCharType="begin"/>
        </w:r>
        <w:r w:rsidR="00247600">
          <w:instrText xml:space="preserve"> PAGEREF _Toc446424501 \h </w:instrText>
        </w:r>
        <w:r>
          <w:fldChar w:fldCharType="separate"/>
        </w:r>
        <w:r w:rsidR="00247600">
          <w:t>5</w:t>
        </w:r>
        <w:r>
          <w:fldChar w:fldCharType="end"/>
        </w:r>
      </w:hyperlink>
    </w:p>
    <w:p w:rsidR="0071184B" w:rsidRDefault="0047364D">
      <w:pPr>
        <w:pStyle w:val="Sumrio2"/>
        <w:tabs>
          <w:tab w:val="right" w:leader="dot" w:pos="8494"/>
        </w:tabs>
      </w:pPr>
      <w:hyperlink w:anchor="_Toc446424502" w:history="1">
        <w:r w:rsidR="00247600">
          <w:rPr>
            <w:rStyle w:val="Hyperlink"/>
          </w:rPr>
          <w:t>4.1. Pessoa Jur</w:t>
        </w:r>
        <w:r w:rsidR="00247600">
          <w:rPr>
            <w:rStyle w:val="Hyperlink"/>
          </w:rPr>
          <w:t>í</w:t>
        </w:r>
        <w:r w:rsidR="00247600">
          <w:rPr>
            <w:rStyle w:val="Hyperlink"/>
          </w:rPr>
          <w:t>dica</w:t>
        </w:r>
        <w:r w:rsidR="00247600">
          <w:tab/>
        </w:r>
        <w:r>
          <w:fldChar w:fldCharType="begin"/>
        </w:r>
        <w:r w:rsidR="00247600">
          <w:instrText xml:space="preserve"> PAGEREF _Toc446424502 \h </w:instrText>
        </w:r>
        <w:r>
          <w:fldChar w:fldCharType="separate"/>
        </w:r>
        <w:r w:rsidR="00247600">
          <w:t>5</w:t>
        </w:r>
        <w:r>
          <w:fldChar w:fldCharType="end"/>
        </w:r>
      </w:hyperlink>
    </w:p>
    <w:p w:rsidR="0071184B" w:rsidRDefault="0047364D">
      <w:pPr>
        <w:pStyle w:val="Sumrio3"/>
        <w:tabs>
          <w:tab w:val="right" w:leader="dot" w:pos="8494"/>
        </w:tabs>
      </w:pPr>
      <w:hyperlink w:anchor="_Toc446424503" w:history="1">
        <w:r w:rsidR="00247600">
          <w:rPr>
            <w:rStyle w:val="Hyperlink"/>
          </w:rPr>
          <w:t>4.1.1. Regime de Caixa</w:t>
        </w:r>
        <w:r w:rsidR="00247600">
          <w:tab/>
        </w:r>
        <w:r>
          <w:fldChar w:fldCharType="begin"/>
        </w:r>
        <w:r w:rsidR="00247600">
          <w:instrText xml:space="preserve"> PAGEREF _Toc446424503 \h </w:instrText>
        </w:r>
        <w:r>
          <w:fldChar w:fldCharType="separate"/>
        </w:r>
        <w:r w:rsidR="00247600">
          <w:t>5</w:t>
        </w:r>
        <w:r>
          <w:fldChar w:fldCharType="end"/>
        </w:r>
      </w:hyperlink>
    </w:p>
    <w:p w:rsidR="0071184B" w:rsidRDefault="0047364D">
      <w:pPr>
        <w:pStyle w:val="Sumrio3"/>
        <w:tabs>
          <w:tab w:val="right" w:leader="dot" w:pos="8494"/>
        </w:tabs>
      </w:pPr>
      <w:hyperlink w:anchor="_Toc446424504" w:history="1">
        <w:r w:rsidR="00247600">
          <w:rPr>
            <w:rStyle w:val="Hyperlink"/>
          </w:rPr>
          <w:t>4.1.2. Regime de Compet</w:t>
        </w:r>
        <w:r w:rsidR="00247600">
          <w:rPr>
            <w:rStyle w:val="Hyperlink"/>
          </w:rPr>
          <w:t>ê</w:t>
        </w:r>
        <w:r w:rsidR="00247600">
          <w:rPr>
            <w:rStyle w:val="Hyperlink"/>
          </w:rPr>
          <w:t>ncia</w:t>
        </w:r>
        <w:r w:rsidR="00247600">
          <w:tab/>
        </w:r>
        <w:r>
          <w:fldChar w:fldCharType="begin"/>
        </w:r>
        <w:r w:rsidR="00247600">
          <w:instrText xml:space="preserve"> PAGEREF _Toc446424504 \h </w:instrText>
        </w:r>
        <w:r>
          <w:fldChar w:fldCharType="separate"/>
        </w:r>
        <w:r w:rsidR="00247600">
          <w:t>5</w:t>
        </w:r>
        <w:r>
          <w:fldChar w:fldCharType="end"/>
        </w:r>
      </w:hyperlink>
    </w:p>
    <w:p w:rsidR="0071184B" w:rsidRDefault="0047364D">
      <w:pPr>
        <w:pStyle w:val="Sumrio3"/>
        <w:tabs>
          <w:tab w:val="right" w:leader="dot" w:pos="8494"/>
        </w:tabs>
      </w:pPr>
      <w:hyperlink w:anchor="_Toc446424505" w:history="1">
        <w:r w:rsidR="00247600">
          <w:rPr>
            <w:rStyle w:val="Hyperlink"/>
          </w:rPr>
          <w:t>4.1.3. Imposi</w:t>
        </w:r>
        <w:r w:rsidR="00247600">
          <w:rPr>
            <w:rStyle w:val="Hyperlink"/>
          </w:rPr>
          <w:t>çõ</w:t>
        </w:r>
        <w:r w:rsidR="00247600">
          <w:rPr>
            <w:rStyle w:val="Hyperlink"/>
          </w:rPr>
          <w:t>es legais</w:t>
        </w:r>
        <w:r w:rsidR="00247600">
          <w:tab/>
        </w:r>
        <w:r>
          <w:fldChar w:fldCharType="begin"/>
        </w:r>
        <w:r w:rsidR="00247600">
          <w:instrText xml:space="preserve"> PAGEREF _Toc446424505 \h </w:instrText>
        </w:r>
        <w:r>
          <w:fldChar w:fldCharType="separate"/>
        </w:r>
        <w:r w:rsidR="00247600">
          <w:t>5</w:t>
        </w:r>
        <w:r>
          <w:fldChar w:fldCharType="end"/>
        </w:r>
      </w:hyperlink>
    </w:p>
    <w:p w:rsidR="0071184B" w:rsidRDefault="0047364D">
      <w:pPr>
        <w:pStyle w:val="Sumrio3"/>
        <w:tabs>
          <w:tab w:val="right" w:leader="dot" w:pos="8494"/>
        </w:tabs>
      </w:pPr>
      <w:hyperlink w:anchor="_Toc446424506" w:history="1">
        <w:r w:rsidR="00247600">
          <w:rPr>
            <w:rStyle w:val="Hyperlink"/>
          </w:rPr>
          <w:t>4.1.4. Se facultativo qual o mais adequado?</w:t>
        </w:r>
        <w:r w:rsidR="00247600">
          <w:tab/>
        </w:r>
        <w:r>
          <w:fldChar w:fldCharType="begin"/>
        </w:r>
        <w:r w:rsidR="00247600">
          <w:instrText xml:space="preserve"> PAGEREF _Toc446424506 \h </w:instrText>
        </w:r>
        <w:r>
          <w:fldChar w:fldCharType="separate"/>
        </w:r>
        <w:r w:rsidR="00247600">
          <w:t>5</w:t>
        </w:r>
        <w:r>
          <w:fldChar w:fldCharType="end"/>
        </w:r>
      </w:hyperlink>
    </w:p>
    <w:p w:rsidR="0071184B" w:rsidRDefault="0047364D">
      <w:pPr>
        <w:pStyle w:val="Sumrio3"/>
        <w:tabs>
          <w:tab w:val="right" w:leader="dot" w:pos="8494"/>
        </w:tabs>
      </w:pPr>
      <w:hyperlink w:anchor="_Toc446424507" w:history="1">
        <w:r w:rsidR="00247600">
          <w:rPr>
            <w:rStyle w:val="Hyperlink"/>
          </w:rPr>
          <w:t>4.1.5. Formas de incentivos fiscais</w:t>
        </w:r>
        <w:r w:rsidR="00247600">
          <w:tab/>
        </w:r>
        <w:r>
          <w:fldChar w:fldCharType="begin"/>
        </w:r>
        <w:r w:rsidR="00247600">
          <w:instrText xml:space="preserve"> PAGEREF _Toc446424507 \h </w:instrText>
        </w:r>
        <w:r>
          <w:fldChar w:fldCharType="separate"/>
        </w:r>
        <w:r w:rsidR="00247600">
          <w:t>5</w:t>
        </w:r>
        <w:r>
          <w:fldChar w:fldCharType="end"/>
        </w:r>
      </w:hyperlink>
    </w:p>
    <w:p w:rsidR="0071184B" w:rsidRDefault="0047364D">
      <w:pPr>
        <w:pStyle w:val="Sumrio4"/>
        <w:tabs>
          <w:tab w:val="right" w:leader="dot" w:pos="8494"/>
        </w:tabs>
      </w:pPr>
      <w:hyperlink w:anchor="_Toc446424508" w:history="1">
        <w:r w:rsidR="00247600">
          <w:rPr>
            <w:rStyle w:val="Hyperlink"/>
          </w:rPr>
          <w:t>4.1.5.1. Dedu</w:t>
        </w:r>
        <w:r w:rsidR="00247600">
          <w:rPr>
            <w:rStyle w:val="Hyperlink"/>
          </w:rPr>
          <w:t>çã</w:t>
        </w:r>
        <w:r w:rsidR="00247600">
          <w:rPr>
            <w:rStyle w:val="Hyperlink"/>
          </w:rPr>
          <w:t>o de cirurgias pl</w:t>
        </w:r>
        <w:r w:rsidR="00247600">
          <w:rPr>
            <w:rStyle w:val="Hyperlink"/>
          </w:rPr>
          <w:t>á</w:t>
        </w:r>
        <w:r w:rsidR="00247600">
          <w:rPr>
            <w:rStyle w:val="Hyperlink"/>
          </w:rPr>
          <w:t>sticas</w:t>
        </w:r>
        <w:r w:rsidR="00247600">
          <w:tab/>
        </w:r>
        <w:r>
          <w:fldChar w:fldCharType="begin"/>
        </w:r>
        <w:r w:rsidR="00247600">
          <w:instrText xml:space="preserve"> PAGEREF _Toc446424508 \h </w:instrText>
        </w:r>
        <w:r>
          <w:fldChar w:fldCharType="separate"/>
        </w:r>
        <w:r w:rsidR="00247600">
          <w:t>5</w:t>
        </w:r>
        <w:r>
          <w:fldChar w:fldCharType="end"/>
        </w:r>
      </w:hyperlink>
    </w:p>
    <w:p w:rsidR="0071184B" w:rsidRDefault="0047364D">
      <w:pPr>
        <w:pStyle w:val="Sumrio2"/>
        <w:tabs>
          <w:tab w:val="right" w:leader="dot" w:pos="8494"/>
        </w:tabs>
      </w:pPr>
      <w:hyperlink w:anchor="_Toc446424509" w:history="1">
        <w:r w:rsidR="00247600">
          <w:rPr>
            <w:rStyle w:val="Hyperlink"/>
          </w:rPr>
          <w:t>4.2. Pessoa f</w:t>
        </w:r>
        <w:r w:rsidR="00247600">
          <w:rPr>
            <w:rStyle w:val="Hyperlink"/>
          </w:rPr>
          <w:t>í</w:t>
        </w:r>
        <w:r w:rsidR="00247600">
          <w:rPr>
            <w:rStyle w:val="Hyperlink"/>
          </w:rPr>
          <w:t>sica</w:t>
        </w:r>
        <w:r w:rsidR="00247600">
          <w:tab/>
        </w:r>
        <w:r>
          <w:fldChar w:fldCharType="begin"/>
        </w:r>
        <w:r w:rsidR="00247600">
          <w:instrText xml:space="preserve"> PAGEREF _Toc446424509 \h </w:instrText>
        </w:r>
        <w:r>
          <w:fldChar w:fldCharType="separate"/>
        </w:r>
        <w:r w:rsidR="00247600">
          <w:t>6</w:t>
        </w:r>
        <w:r>
          <w:fldChar w:fldCharType="end"/>
        </w:r>
      </w:hyperlink>
    </w:p>
    <w:p w:rsidR="0071184B" w:rsidRDefault="0047364D">
      <w:pPr>
        <w:pStyle w:val="Sumrio3"/>
        <w:tabs>
          <w:tab w:val="right" w:leader="dot" w:pos="8494"/>
        </w:tabs>
      </w:pPr>
      <w:hyperlink w:anchor="_Toc446424510" w:history="1">
        <w:r w:rsidR="00247600">
          <w:rPr>
            <w:rStyle w:val="Hyperlink"/>
          </w:rPr>
          <w:t>4.2.1. Declara</w:t>
        </w:r>
        <w:r w:rsidR="00247600">
          <w:rPr>
            <w:rStyle w:val="Hyperlink"/>
          </w:rPr>
          <w:t>çã</w:t>
        </w:r>
        <w:r w:rsidR="00247600">
          <w:rPr>
            <w:rStyle w:val="Hyperlink"/>
          </w:rPr>
          <w:t>o Simplificada</w:t>
        </w:r>
        <w:r w:rsidR="00247600">
          <w:tab/>
        </w:r>
        <w:r>
          <w:fldChar w:fldCharType="begin"/>
        </w:r>
        <w:r w:rsidR="00247600">
          <w:instrText xml:space="preserve"> PAGEREF _Toc446424510 \h </w:instrText>
        </w:r>
        <w:r>
          <w:fldChar w:fldCharType="separate"/>
        </w:r>
        <w:r w:rsidR="00247600">
          <w:t>6</w:t>
        </w:r>
        <w:r>
          <w:fldChar w:fldCharType="end"/>
        </w:r>
      </w:hyperlink>
    </w:p>
    <w:p w:rsidR="0071184B" w:rsidRDefault="0047364D">
      <w:pPr>
        <w:pStyle w:val="Sumrio3"/>
        <w:tabs>
          <w:tab w:val="right" w:leader="dot" w:pos="8494"/>
        </w:tabs>
      </w:pPr>
      <w:hyperlink w:anchor="_Toc446424511" w:history="1">
        <w:r w:rsidR="00247600">
          <w:rPr>
            <w:rStyle w:val="Hyperlink"/>
          </w:rPr>
          <w:t>4.2.2. Declara</w:t>
        </w:r>
        <w:r w:rsidR="00247600">
          <w:rPr>
            <w:rStyle w:val="Hyperlink"/>
          </w:rPr>
          <w:t>çã</w:t>
        </w:r>
        <w:r w:rsidR="00247600">
          <w:rPr>
            <w:rStyle w:val="Hyperlink"/>
          </w:rPr>
          <w:t>o Completa</w:t>
        </w:r>
        <w:r w:rsidR="00247600">
          <w:tab/>
        </w:r>
        <w:r>
          <w:fldChar w:fldCharType="begin"/>
        </w:r>
        <w:r w:rsidR="00247600">
          <w:instrText xml:space="preserve"> PAGEREF _Toc446424511 \h </w:instrText>
        </w:r>
        <w:r>
          <w:fldChar w:fldCharType="separate"/>
        </w:r>
        <w:r w:rsidR="00247600">
          <w:t>6</w:t>
        </w:r>
        <w:r>
          <w:fldChar w:fldCharType="end"/>
        </w:r>
      </w:hyperlink>
    </w:p>
    <w:p w:rsidR="0071184B" w:rsidRDefault="0047364D">
      <w:pPr>
        <w:pStyle w:val="Sumrio3"/>
        <w:tabs>
          <w:tab w:val="right" w:leader="dot" w:pos="8494"/>
        </w:tabs>
      </w:pPr>
      <w:hyperlink w:anchor="_Toc446424512" w:history="1">
        <w:r w:rsidR="00247600">
          <w:rPr>
            <w:rStyle w:val="Hyperlink"/>
          </w:rPr>
          <w:t>4.2.3. Qual a declara</w:t>
        </w:r>
        <w:r w:rsidR="00247600">
          <w:rPr>
            <w:rStyle w:val="Hyperlink"/>
          </w:rPr>
          <w:t>çã</w:t>
        </w:r>
        <w:r w:rsidR="00247600">
          <w:rPr>
            <w:rStyle w:val="Hyperlink"/>
          </w:rPr>
          <w:t>o mais adequada?</w:t>
        </w:r>
        <w:r w:rsidR="00247600">
          <w:tab/>
        </w:r>
        <w:r>
          <w:fldChar w:fldCharType="begin"/>
        </w:r>
        <w:r w:rsidR="00247600">
          <w:instrText xml:space="preserve"> PAGEREF _Toc446424512 \h </w:instrText>
        </w:r>
        <w:r>
          <w:fldChar w:fldCharType="separate"/>
        </w:r>
        <w:r w:rsidR="00247600">
          <w:t>6</w:t>
        </w:r>
        <w:r>
          <w:fldChar w:fldCharType="end"/>
        </w:r>
      </w:hyperlink>
    </w:p>
    <w:p w:rsidR="0071184B" w:rsidRDefault="0047364D">
      <w:pPr>
        <w:pStyle w:val="Sumrio3"/>
        <w:tabs>
          <w:tab w:val="right" w:leader="dot" w:pos="8494"/>
        </w:tabs>
      </w:pPr>
      <w:hyperlink w:anchor="_Toc446424513" w:history="1">
        <w:r w:rsidR="00247600">
          <w:rPr>
            <w:rStyle w:val="Hyperlink"/>
          </w:rPr>
          <w:t>4.2.4. Formas de incentivos fiscais</w:t>
        </w:r>
        <w:r w:rsidR="00247600">
          <w:tab/>
        </w:r>
        <w:r>
          <w:fldChar w:fldCharType="begin"/>
        </w:r>
        <w:r w:rsidR="00247600">
          <w:instrText xml:space="preserve"> PAGEREF _Toc446424513 \h </w:instrText>
        </w:r>
        <w:r>
          <w:fldChar w:fldCharType="separate"/>
        </w:r>
        <w:r w:rsidR="00247600">
          <w:t>6</w:t>
        </w:r>
        <w:r>
          <w:fldChar w:fldCharType="end"/>
        </w:r>
      </w:hyperlink>
    </w:p>
    <w:p w:rsidR="0071184B" w:rsidRDefault="0047364D">
      <w:pPr>
        <w:pStyle w:val="Sumrio3"/>
        <w:tabs>
          <w:tab w:val="right" w:leader="dot" w:pos="8494"/>
        </w:tabs>
      </w:pPr>
      <w:hyperlink w:anchor="_Toc446424514" w:history="1">
        <w:r w:rsidR="00247600">
          <w:rPr>
            <w:rStyle w:val="Hyperlink"/>
          </w:rPr>
          <w:t>4.2.5. Limita</w:t>
        </w:r>
        <w:r w:rsidR="00247600">
          <w:rPr>
            <w:rStyle w:val="Hyperlink"/>
          </w:rPr>
          <w:t>çõ</w:t>
        </w:r>
        <w:r w:rsidR="00247600">
          <w:rPr>
            <w:rStyle w:val="Hyperlink"/>
          </w:rPr>
          <w:t>es aos incentivos fiscais</w:t>
        </w:r>
        <w:r w:rsidR="00247600">
          <w:tab/>
        </w:r>
        <w:r>
          <w:fldChar w:fldCharType="begin"/>
        </w:r>
        <w:r w:rsidR="00247600">
          <w:instrText xml:space="preserve"> PAGEREF _Toc446424514 \h </w:instrText>
        </w:r>
        <w:r>
          <w:fldChar w:fldCharType="separate"/>
        </w:r>
        <w:r w:rsidR="00247600">
          <w:t>6</w:t>
        </w:r>
        <w:r>
          <w:fldChar w:fldCharType="end"/>
        </w:r>
      </w:hyperlink>
    </w:p>
    <w:p w:rsidR="0071184B" w:rsidRDefault="0047364D">
      <w:pPr>
        <w:pStyle w:val="Sumrio3"/>
        <w:tabs>
          <w:tab w:val="right" w:leader="dot" w:pos="8494"/>
        </w:tabs>
      </w:pPr>
      <w:hyperlink w:anchor="_Toc446424515" w:history="1">
        <w:r w:rsidR="00247600">
          <w:rPr>
            <w:rStyle w:val="Hyperlink"/>
          </w:rPr>
          <w:t>4.2.6. Analise critica aos limites das dedu</w:t>
        </w:r>
        <w:r w:rsidR="00247600">
          <w:rPr>
            <w:rStyle w:val="Hyperlink"/>
          </w:rPr>
          <w:t>çõ</w:t>
        </w:r>
        <w:r w:rsidR="00247600">
          <w:rPr>
            <w:rStyle w:val="Hyperlink"/>
          </w:rPr>
          <w:t>es</w:t>
        </w:r>
        <w:r w:rsidR="00247600">
          <w:tab/>
        </w:r>
        <w:r>
          <w:fldChar w:fldCharType="begin"/>
        </w:r>
        <w:r w:rsidR="00247600">
          <w:instrText xml:space="preserve"> PAGEREF _Toc446424515 \h </w:instrText>
        </w:r>
        <w:r>
          <w:fldChar w:fldCharType="separate"/>
        </w:r>
        <w:r w:rsidR="00247600">
          <w:t>6</w:t>
        </w:r>
        <w:r>
          <w:fldChar w:fldCharType="end"/>
        </w:r>
      </w:hyperlink>
    </w:p>
    <w:p w:rsidR="0071184B" w:rsidRDefault="0047364D">
      <w:pPr>
        <w:pStyle w:val="Sumrio1"/>
      </w:pPr>
      <w:hyperlink w:anchor="_Toc446424516" w:history="1">
        <w:r w:rsidR="00247600">
          <w:rPr>
            <w:rStyle w:val="Hyperlink"/>
          </w:rPr>
          <w:t>5. Estudo de caso</w:t>
        </w:r>
        <w:r w:rsidR="00247600">
          <w:tab/>
        </w:r>
        <w:r>
          <w:fldChar w:fldCharType="begin"/>
        </w:r>
        <w:r w:rsidR="00247600">
          <w:instrText xml:space="preserve"> PAGEREF _Toc446424516 \h </w:instrText>
        </w:r>
        <w:r>
          <w:fldChar w:fldCharType="separate"/>
        </w:r>
        <w:r w:rsidR="00247600">
          <w:t>7</w:t>
        </w:r>
        <w:r>
          <w:fldChar w:fldCharType="end"/>
        </w:r>
      </w:hyperlink>
    </w:p>
    <w:p w:rsidR="0071184B" w:rsidRDefault="0047364D">
      <w:pPr>
        <w:pStyle w:val="Sumrio2"/>
        <w:tabs>
          <w:tab w:val="right" w:leader="dot" w:pos="8494"/>
        </w:tabs>
      </w:pPr>
      <w:hyperlink w:anchor="_Toc446424517" w:history="1">
        <w:r w:rsidR="00247600">
          <w:rPr>
            <w:rStyle w:val="Hyperlink"/>
          </w:rPr>
          <w:t>5.1. Analise de dados</w:t>
        </w:r>
        <w:r w:rsidR="00247600">
          <w:tab/>
        </w:r>
        <w:r>
          <w:fldChar w:fldCharType="begin"/>
        </w:r>
        <w:r w:rsidR="00247600">
          <w:instrText xml:space="preserve"> PAGEREF _Toc446424517 \h </w:instrText>
        </w:r>
        <w:r>
          <w:fldChar w:fldCharType="separate"/>
        </w:r>
        <w:r w:rsidR="00247600">
          <w:t>8</w:t>
        </w:r>
        <w:r>
          <w:fldChar w:fldCharType="end"/>
        </w:r>
      </w:hyperlink>
    </w:p>
    <w:p w:rsidR="0071184B" w:rsidRDefault="0047364D">
      <w:pPr>
        <w:pStyle w:val="Sumrio2"/>
        <w:tabs>
          <w:tab w:val="right" w:leader="dot" w:pos="8494"/>
        </w:tabs>
      </w:pPr>
      <w:hyperlink w:anchor="_Toc446424518" w:history="1">
        <w:r w:rsidR="00247600">
          <w:rPr>
            <w:rStyle w:val="Hyperlink"/>
          </w:rPr>
          <w:t>5.2. Destina</w:t>
        </w:r>
        <w:r w:rsidR="00247600">
          <w:rPr>
            <w:rStyle w:val="Hyperlink"/>
          </w:rPr>
          <w:t>çã</w:t>
        </w:r>
        <w:r w:rsidR="00247600">
          <w:rPr>
            <w:rStyle w:val="Hyperlink"/>
          </w:rPr>
          <w:t>o dos recursos obtidos com as doa</w:t>
        </w:r>
        <w:r w:rsidR="00247600">
          <w:rPr>
            <w:rStyle w:val="Hyperlink"/>
          </w:rPr>
          <w:t>çõ</w:t>
        </w:r>
        <w:r w:rsidR="00247600">
          <w:rPr>
            <w:rStyle w:val="Hyperlink"/>
          </w:rPr>
          <w:t>es</w:t>
        </w:r>
        <w:r w:rsidR="00247600">
          <w:tab/>
        </w:r>
        <w:r>
          <w:fldChar w:fldCharType="begin"/>
        </w:r>
        <w:r w:rsidR="00247600">
          <w:instrText xml:space="preserve"> PAGEREF _Toc446424518 \h </w:instrText>
        </w:r>
        <w:r>
          <w:fldChar w:fldCharType="separate"/>
        </w:r>
        <w:r w:rsidR="00247600">
          <w:t>8</w:t>
        </w:r>
        <w:r>
          <w:fldChar w:fldCharType="end"/>
        </w:r>
      </w:hyperlink>
    </w:p>
    <w:p w:rsidR="0071184B" w:rsidRDefault="0047364D">
      <w:pPr>
        <w:pStyle w:val="Sumrio2"/>
        <w:tabs>
          <w:tab w:val="right" w:leader="dot" w:pos="8494"/>
        </w:tabs>
      </w:pPr>
      <w:hyperlink w:anchor="_Toc446424519" w:history="1">
        <w:r w:rsidR="00247600">
          <w:rPr>
            <w:rStyle w:val="Hyperlink"/>
          </w:rPr>
          <w:t>5.3. Analise da Demonstra</w:t>
        </w:r>
        <w:r w:rsidR="00247600">
          <w:rPr>
            <w:rStyle w:val="Hyperlink"/>
          </w:rPr>
          <w:t>çã</w:t>
        </w:r>
        <w:r w:rsidR="00247600">
          <w:rPr>
            <w:rStyle w:val="Hyperlink"/>
          </w:rPr>
          <w:t>o de Resultado</w:t>
        </w:r>
        <w:r w:rsidR="00247600">
          <w:tab/>
        </w:r>
        <w:r>
          <w:fldChar w:fldCharType="begin"/>
        </w:r>
        <w:r w:rsidR="00247600">
          <w:instrText xml:space="preserve"> PAGEREF _Toc446424519 \h </w:instrText>
        </w:r>
        <w:r>
          <w:fldChar w:fldCharType="separate"/>
        </w:r>
        <w:r w:rsidR="00247600">
          <w:t>8</w:t>
        </w:r>
        <w:r>
          <w:fldChar w:fldCharType="end"/>
        </w:r>
      </w:hyperlink>
    </w:p>
    <w:p w:rsidR="0071184B" w:rsidRDefault="0047364D">
      <w:pPr>
        <w:pStyle w:val="Sumrio1"/>
      </w:pPr>
      <w:hyperlink w:anchor="_Toc446424520" w:history="1">
        <w:r w:rsidR="00247600">
          <w:rPr>
            <w:rStyle w:val="Hyperlink"/>
          </w:rPr>
          <w:t>6. Conclus</w:t>
        </w:r>
        <w:r w:rsidR="00247600">
          <w:rPr>
            <w:rStyle w:val="Hyperlink"/>
          </w:rPr>
          <w:t>ã</w:t>
        </w:r>
        <w:r w:rsidR="00247600">
          <w:rPr>
            <w:rStyle w:val="Hyperlink"/>
          </w:rPr>
          <w:t>o</w:t>
        </w:r>
        <w:r w:rsidR="00247600">
          <w:tab/>
        </w:r>
        <w:r>
          <w:fldChar w:fldCharType="begin"/>
        </w:r>
        <w:r w:rsidR="00247600">
          <w:instrText xml:space="preserve"> PAGEREF _Toc446424520 \h </w:instrText>
        </w:r>
        <w:r>
          <w:fldChar w:fldCharType="separate"/>
        </w:r>
        <w:r w:rsidR="00247600">
          <w:t>9</w:t>
        </w:r>
        <w:r>
          <w:fldChar w:fldCharType="end"/>
        </w:r>
      </w:hyperlink>
    </w:p>
    <w:p w:rsidR="0071184B" w:rsidRDefault="0047364D">
      <w:pPr>
        <w:pStyle w:val="Sumrio1"/>
      </w:pPr>
      <w:hyperlink w:anchor="_Toc446424521" w:history="1">
        <w:r w:rsidR="00247600">
          <w:rPr>
            <w:rStyle w:val="Hyperlink"/>
          </w:rPr>
          <w:t>7. Referencias Bibliogr</w:t>
        </w:r>
        <w:r w:rsidR="00247600">
          <w:rPr>
            <w:rStyle w:val="Hyperlink"/>
          </w:rPr>
          <w:t>á</w:t>
        </w:r>
        <w:r w:rsidR="00247600">
          <w:rPr>
            <w:rStyle w:val="Hyperlink"/>
          </w:rPr>
          <w:t>fica</w:t>
        </w:r>
        <w:r w:rsidR="00247600">
          <w:tab/>
        </w:r>
        <w:r>
          <w:fldChar w:fldCharType="begin"/>
        </w:r>
        <w:r w:rsidR="00247600">
          <w:instrText xml:space="preserve"> PAGEREF _Toc446424521 \h </w:instrText>
        </w:r>
        <w:r>
          <w:fldChar w:fldCharType="separate"/>
        </w:r>
        <w:r w:rsidR="00247600">
          <w:t>10</w:t>
        </w:r>
        <w:r>
          <w:fldChar w:fldCharType="end"/>
        </w:r>
      </w:hyperlink>
    </w:p>
    <w:p w:rsidR="0071184B" w:rsidRDefault="0047364D">
      <w:pPr>
        <w:pStyle w:val="Ttulo3"/>
        <w:sectPr w:rsidR="0071184B">
          <w:pgSz w:w="11906" w:h="16838"/>
          <w:pgMar w:top="1417" w:right="1701" w:bottom="1417" w:left="1701" w:header="708" w:footer="708" w:gutter="0"/>
          <w:cols w:space="708"/>
        </w:sectPr>
      </w:pPr>
      <w:r>
        <w:fldChar w:fldCharType="end"/>
      </w:r>
      <w:r w:rsidR="00247600">
        <w:br w:type="page"/>
      </w:r>
    </w:p>
    <w:p w:rsidR="0071184B" w:rsidRDefault="00247600">
      <w:pPr>
        <w:pStyle w:val="Ttulo1"/>
        <w:spacing w:before="0"/>
      </w:pPr>
      <w:r>
        <w:lastRenderedPageBreak/>
        <w:t>1. Introdu</w:t>
      </w:r>
      <w:r>
        <w:t>çã</w:t>
      </w:r>
      <w:r>
        <w:t>o</w:t>
      </w:r>
    </w:p>
    <w:p w:rsidR="0071184B" w:rsidRDefault="0071184B">
      <w:pPr>
        <w:spacing w:after="0" w:line="360" w:lineRule="auto"/>
      </w:pPr>
    </w:p>
    <w:p w:rsidR="0071184B" w:rsidRDefault="00247600">
      <w:pPr>
        <w:spacing w:after="0" w:line="360" w:lineRule="auto"/>
        <w:ind w:firstLine="567"/>
        <w:jc w:val="both"/>
        <w:rPr>
          <w:rFonts w:ascii="Arial" w:hAnsi="Arial" w:cs="Arial"/>
          <w:sz w:val="24"/>
        </w:rPr>
      </w:pPr>
      <w:r>
        <w:rPr>
          <w:rFonts w:ascii="Arial" w:hAnsi="Arial" w:cs="Arial"/>
          <w:sz w:val="24"/>
        </w:rPr>
        <w:t>Este trabalho acadêmico, interdisciplinar, foi desenvolvido pelos alunos da Pontifícia Universidade Católica de Minas Gerais – PUC/MG - no primeiro semestre do ano de 2016. Tendo como foco central o desenvolvimento de uma resenha crítica acerca da tributação no contexto, de nossa sociedade contemporânea, dando a devida vênia à questão dos incentivos fiscais.</w:t>
      </w:r>
    </w:p>
    <w:p w:rsidR="0071184B" w:rsidRDefault="00247600">
      <w:pPr>
        <w:spacing w:after="0" w:line="360" w:lineRule="auto"/>
        <w:ind w:firstLine="567"/>
        <w:jc w:val="both"/>
        <w:rPr>
          <w:rFonts w:ascii="Arial" w:hAnsi="Arial" w:cs="Arial"/>
          <w:sz w:val="24"/>
        </w:rPr>
      </w:pPr>
      <w:r>
        <w:rPr>
          <w:rFonts w:ascii="Arial" w:hAnsi="Arial" w:cs="Arial"/>
          <w:sz w:val="24"/>
        </w:rPr>
        <w:t xml:space="preserve">Serão destacados alguns pontos, periféricos, mas que possuem grande relevância para se elucidar o tema em discussão, como, por exemplo, a distinção entre alguns conceitos, a saber: a diferença entre </w:t>
      </w:r>
      <w:r>
        <w:rPr>
          <w:rFonts w:ascii="Arial" w:hAnsi="Arial" w:cs="Arial"/>
          <w:i/>
          <w:sz w:val="24"/>
        </w:rPr>
        <w:t>imunidades</w:t>
      </w:r>
      <w:r>
        <w:rPr>
          <w:rFonts w:ascii="Arial" w:hAnsi="Arial" w:cs="Arial"/>
          <w:sz w:val="24"/>
        </w:rPr>
        <w:t xml:space="preserve"> e </w:t>
      </w:r>
      <w:r>
        <w:rPr>
          <w:rFonts w:ascii="Arial" w:hAnsi="Arial" w:cs="Arial"/>
          <w:i/>
          <w:sz w:val="24"/>
        </w:rPr>
        <w:t>isenções</w:t>
      </w:r>
      <w:r>
        <w:rPr>
          <w:rFonts w:ascii="Arial" w:hAnsi="Arial" w:cs="Arial"/>
          <w:sz w:val="24"/>
        </w:rPr>
        <w:t xml:space="preserve">, regime de </w:t>
      </w:r>
      <w:r>
        <w:rPr>
          <w:rFonts w:ascii="Arial" w:hAnsi="Arial" w:cs="Arial"/>
          <w:i/>
          <w:sz w:val="24"/>
        </w:rPr>
        <w:t>caixa</w:t>
      </w:r>
      <w:r>
        <w:rPr>
          <w:rFonts w:ascii="Arial" w:hAnsi="Arial" w:cs="Arial"/>
          <w:sz w:val="24"/>
        </w:rPr>
        <w:t xml:space="preserve"> e regime de </w:t>
      </w:r>
      <w:r>
        <w:rPr>
          <w:rFonts w:ascii="Arial" w:hAnsi="Arial" w:cs="Arial"/>
          <w:i/>
          <w:sz w:val="24"/>
        </w:rPr>
        <w:t>competência</w:t>
      </w:r>
      <w:r>
        <w:rPr>
          <w:rFonts w:ascii="Arial" w:hAnsi="Arial" w:cs="Arial"/>
          <w:sz w:val="24"/>
        </w:rPr>
        <w:t xml:space="preserve"> – no que se refere às pessoas jurídicas - bem como, a distinção entre a </w:t>
      </w:r>
      <w:r>
        <w:rPr>
          <w:rFonts w:ascii="Arial" w:hAnsi="Arial" w:cs="Arial"/>
          <w:i/>
          <w:sz w:val="24"/>
        </w:rPr>
        <w:t>declaração simplificada</w:t>
      </w:r>
      <w:r>
        <w:rPr>
          <w:rFonts w:ascii="Arial" w:hAnsi="Arial" w:cs="Arial"/>
          <w:sz w:val="24"/>
        </w:rPr>
        <w:t xml:space="preserve"> e a </w:t>
      </w:r>
      <w:r>
        <w:rPr>
          <w:rFonts w:ascii="Arial" w:hAnsi="Arial" w:cs="Arial"/>
          <w:i/>
          <w:sz w:val="24"/>
        </w:rPr>
        <w:t>declaração completa</w:t>
      </w:r>
      <w:r>
        <w:rPr>
          <w:rFonts w:ascii="Arial" w:hAnsi="Arial" w:cs="Arial"/>
          <w:sz w:val="24"/>
        </w:rPr>
        <w:t xml:space="preserve">. </w:t>
      </w:r>
    </w:p>
    <w:p w:rsidR="0071184B" w:rsidRDefault="00247600">
      <w:pPr>
        <w:spacing w:after="0" w:line="360" w:lineRule="auto"/>
        <w:ind w:firstLine="567"/>
        <w:jc w:val="both"/>
        <w:rPr>
          <w:rFonts w:ascii="Arial" w:hAnsi="Arial" w:cs="Arial"/>
          <w:sz w:val="24"/>
        </w:rPr>
      </w:pPr>
      <w:r>
        <w:rPr>
          <w:rFonts w:ascii="Arial" w:hAnsi="Arial" w:cs="Arial"/>
          <w:sz w:val="24"/>
        </w:rPr>
        <w:t xml:space="preserve">Contudo, é manifestamente impossível esgotar a temática abordando todos incentivos ficais de todos os tributos especificamente – uma vez que, estes temas são tratados de forma aprofundada em enormes doutrinas e tal tema é amplamente discutido tanto no meio contábil, quanto jurídico. Assim, neste trabalho discorrer-se-á acerca dos </w:t>
      </w:r>
      <w:r>
        <w:rPr>
          <w:rFonts w:ascii="Arial" w:hAnsi="Arial" w:cs="Arial"/>
          <w:i/>
          <w:sz w:val="24"/>
        </w:rPr>
        <w:t>incentivos fiscais</w:t>
      </w:r>
      <w:r>
        <w:rPr>
          <w:rFonts w:ascii="Arial" w:hAnsi="Arial" w:cs="Arial"/>
          <w:sz w:val="24"/>
        </w:rPr>
        <w:t xml:space="preserve"> concedidosa pessoas físicas e jurídicas. </w:t>
      </w:r>
    </w:p>
    <w:p w:rsidR="0071184B" w:rsidRDefault="0071184B">
      <w:pPr>
        <w:spacing w:after="0" w:line="360" w:lineRule="auto"/>
        <w:ind w:firstLine="567"/>
        <w:jc w:val="both"/>
        <w:rPr>
          <w:rFonts w:ascii="Arial" w:hAnsi="Arial" w:cs="Arial"/>
          <w:sz w:val="24"/>
        </w:rPr>
      </w:pPr>
    </w:p>
    <w:p w:rsidR="0071184B" w:rsidRDefault="00247600">
      <w:pPr>
        <w:pStyle w:val="Ttulo1"/>
        <w:spacing w:before="0"/>
      </w:pPr>
      <w:r>
        <w:t>2. Diferen</w:t>
      </w:r>
      <w:r>
        <w:t>ç</w:t>
      </w:r>
      <w:r>
        <w:t xml:space="preserve">a entre Incentivos Fiscais e </w:t>
      </w:r>
      <w:r>
        <w:t>à</w:t>
      </w:r>
      <w:r>
        <w:t>s imunidades tribut</w:t>
      </w:r>
      <w:r>
        <w:t>á</w:t>
      </w:r>
      <w:r>
        <w:t>rias</w:t>
      </w:r>
    </w:p>
    <w:p w:rsidR="0071184B" w:rsidRDefault="0071184B">
      <w:pPr>
        <w:spacing w:after="0" w:line="360" w:lineRule="auto"/>
        <w:ind w:firstLine="567"/>
        <w:jc w:val="both"/>
        <w:rPr>
          <w:rFonts w:ascii="Arial" w:hAnsi="Arial" w:cs="Arial"/>
          <w:sz w:val="24"/>
        </w:rPr>
      </w:pPr>
    </w:p>
    <w:p w:rsidR="0071184B" w:rsidRDefault="00247600">
      <w:pPr>
        <w:spacing w:after="0" w:line="360" w:lineRule="auto"/>
        <w:ind w:firstLine="567"/>
        <w:jc w:val="both"/>
        <w:rPr>
          <w:rFonts w:ascii="Arial" w:hAnsi="Arial" w:cs="Arial"/>
          <w:sz w:val="24"/>
        </w:rPr>
      </w:pPr>
      <w:r>
        <w:rPr>
          <w:rFonts w:ascii="Arial" w:hAnsi="Arial" w:cs="Arial"/>
          <w:sz w:val="24"/>
        </w:rPr>
        <w:t xml:space="preserve">Para iniciarmos uma discussão sobre os incentivos fiscais é salutar diferenciar </w:t>
      </w:r>
      <w:r>
        <w:rPr>
          <w:rFonts w:ascii="Arial" w:hAnsi="Arial" w:cs="Arial"/>
          <w:i/>
          <w:sz w:val="24"/>
        </w:rPr>
        <w:t>Incentivos Fiscais</w:t>
      </w:r>
      <w:r>
        <w:rPr>
          <w:rFonts w:ascii="Arial" w:hAnsi="Arial" w:cs="Arial"/>
          <w:sz w:val="24"/>
        </w:rPr>
        <w:t xml:space="preserve"> das </w:t>
      </w:r>
      <w:r>
        <w:rPr>
          <w:rFonts w:ascii="Arial" w:hAnsi="Arial" w:cs="Arial"/>
          <w:i/>
          <w:sz w:val="24"/>
        </w:rPr>
        <w:t>Imunidades Tributárias</w:t>
      </w:r>
      <w:r>
        <w:rPr>
          <w:rFonts w:ascii="Arial" w:hAnsi="Arial" w:cs="Arial"/>
          <w:sz w:val="24"/>
        </w:rPr>
        <w:t>. O Primeiro é</w:t>
      </w:r>
      <w:r w:rsidR="0047276E">
        <w:rPr>
          <w:rFonts w:ascii="Arial" w:hAnsi="Arial" w:cs="Arial"/>
          <w:sz w:val="24"/>
        </w:rPr>
        <w:t xml:space="preserve"> </w:t>
      </w:r>
      <w:r>
        <w:rPr>
          <w:rFonts w:ascii="Arial" w:hAnsi="Arial" w:cs="Arial"/>
          <w:sz w:val="24"/>
        </w:rPr>
        <w:t xml:space="preserve">concedido pelo Estado, quando do desenvolvimento de sua competência tributária. Estando intimamente relacionados à política econômica desenvolvida pelo estado – o que no meio jurídico é denominado como </w:t>
      </w:r>
      <w:r>
        <w:rPr>
          <w:rFonts w:ascii="Arial" w:hAnsi="Arial" w:cs="Arial"/>
          <w:i/>
          <w:sz w:val="24"/>
        </w:rPr>
        <w:t>principio da seletividade</w:t>
      </w:r>
      <w:r>
        <w:rPr>
          <w:rFonts w:ascii="Arial" w:hAnsi="Arial" w:cs="Arial"/>
          <w:sz w:val="24"/>
        </w:rPr>
        <w:t>. (Ricardo Alexandre, 2013) pg. 552.</w:t>
      </w:r>
    </w:p>
    <w:p w:rsidR="0071184B" w:rsidRDefault="00247600">
      <w:pPr>
        <w:spacing w:after="0" w:line="360" w:lineRule="auto"/>
        <w:ind w:firstLine="567"/>
        <w:jc w:val="both"/>
        <w:rPr>
          <w:rFonts w:ascii="Arial" w:hAnsi="Arial" w:cs="Arial"/>
          <w:sz w:val="24"/>
        </w:rPr>
      </w:pPr>
      <w:r>
        <w:rPr>
          <w:rFonts w:ascii="Arial" w:hAnsi="Arial" w:cs="Arial"/>
          <w:sz w:val="24"/>
        </w:rPr>
        <w:t xml:space="preserve">Este princípio é a manifestação da </w:t>
      </w:r>
      <w:r>
        <w:rPr>
          <w:rFonts w:ascii="Arial" w:hAnsi="Arial" w:cs="Arial"/>
          <w:i/>
          <w:sz w:val="24"/>
        </w:rPr>
        <w:t>extrafiscalidade</w:t>
      </w:r>
      <w:r>
        <w:rPr>
          <w:rFonts w:ascii="Arial" w:hAnsi="Arial" w:cs="Arial"/>
          <w:sz w:val="24"/>
        </w:rPr>
        <w:t xml:space="preserve">, ou seja, o momento em que é determinado um incentivo a prática de condutas que sejam benéficas à sociedade como um todo, é o caso, por exemplo, do abatimento de parcelas do IR, em razão de doações feitas a Organizações Não Governamentais – ONG´S. Outra hipótese é a aquisição de bens considerados essenciais. Já no </w:t>
      </w:r>
      <w:r>
        <w:rPr>
          <w:rFonts w:ascii="Arial" w:hAnsi="Arial" w:cs="Arial"/>
          <w:sz w:val="24"/>
        </w:rPr>
        <w:lastRenderedPageBreak/>
        <w:t>caso de produtos nocivos a saúde ou considerados supérfluos o estado utiliza deste para aumentar sua onerosidade, como, por exemplo, o cigarro.</w:t>
      </w:r>
    </w:p>
    <w:p w:rsidR="0071184B" w:rsidRDefault="00247600">
      <w:pPr>
        <w:spacing w:after="0" w:line="360" w:lineRule="auto"/>
        <w:ind w:firstLine="567"/>
        <w:jc w:val="both"/>
        <w:rPr>
          <w:rFonts w:ascii="Arial" w:hAnsi="Arial" w:cs="Arial"/>
          <w:sz w:val="24"/>
        </w:rPr>
      </w:pPr>
      <w:r>
        <w:rPr>
          <w:rFonts w:ascii="Arial" w:hAnsi="Arial" w:cs="Arial"/>
          <w:sz w:val="24"/>
        </w:rPr>
        <w:t xml:space="preserve">Em um segundo momento, quanto </w:t>
      </w:r>
      <w:r>
        <w:rPr>
          <w:rFonts w:ascii="Arial" w:hAnsi="Arial" w:cs="Arial"/>
          <w:i/>
          <w:sz w:val="24"/>
        </w:rPr>
        <w:t>às imunidades</w:t>
      </w:r>
      <w:r>
        <w:rPr>
          <w:rFonts w:ascii="Arial" w:hAnsi="Arial" w:cs="Arial"/>
          <w:sz w:val="24"/>
        </w:rPr>
        <w:t>, temos que estas são limitações estabelecidas pela própria Constituição Federal limitando a competência tributária do ente federativo - impedindo-o de definir determinadas situações como hipótese de incidência de tributos.Ou seja, o poder executivo não possui a faculdade de querer ou não tributar, ou querer ou não incentivar uma conduta – este simplesmente não pode fazê-lo, não possui capacidade tributária. (Ricardo Alexandre, 2013) pg. 147.</w:t>
      </w:r>
    </w:p>
    <w:p w:rsidR="0071184B" w:rsidRDefault="0071184B">
      <w:pPr>
        <w:pStyle w:val="Ttulo1"/>
        <w:spacing w:before="0"/>
      </w:pPr>
    </w:p>
    <w:p w:rsidR="0071184B" w:rsidRDefault="00247600">
      <w:pPr>
        <w:pStyle w:val="Ttulo1"/>
        <w:spacing w:before="0"/>
        <w:rPr>
          <w:color w:val="000000"/>
        </w:rPr>
      </w:pPr>
      <w:r>
        <w:rPr>
          <w:color w:val="000000"/>
        </w:rPr>
        <w:t>3. Incentivos fiscais como a</w:t>
      </w:r>
      <w:r>
        <w:rPr>
          <w:color w:val="000000"/>
        </w:rPr>
        <w:t>çã</w:t>
      </w:r>
      <w:r>
        <w:rPr>
          <w:color w:val="000000"/>
        </w:rPr>
        <w:t>o social</w:t>
      </w:r>
    </w:p>
    <w:p w:rsidR="00B14A09" w:rsidRDefault="00B14A09">
      <w:pPr>
        <w:pStyle w:val="Ttulo1"/>
        <w:spacing w:before="0"/>
        <w:rPr>
          <w:color w:val="000000"/>
        </w:rPr>
      </w:pP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As entidades de interesse social são as associações sem fins lucrativos</w:t>
      </w:r>
      <w:r>
        <w:rPr>
          <w:rFonts w:ascii="Arial" w:hAnsi="Arial" w:cs="Arial"/>
          <w:color w:val="000000" w:themeColor="text1"/>
          <w:sz w:val="24"/>
          <w:szCs w:val="24"/>
        </w:rPr>
        <w:t xml:space="preserve"> </w:t>
      </w:r>
      <w:r w:rsidRPr="00983AAB">
        <w:rPr>
          <w:rFonts w:ascii="Arial" w:hAnsi="Arial" w:cs="Arial"/>
          <w:color w:val="000000" w:themeColor="text1"/>
          <w:sz w:val="24"/>
          <w:szCs w:val="24"/>
        </w:rPr>
        <w:t>que apresentam em suas finalidades do estatuto o interesse social. Elas estão prevista no Art 44 do Código Civil, juntamente com as fundações e as associações. Conforme Constituição Federal</w:t>
      </w:r>
      <w:r>
        <w:rPr>
          <w:rFonts w:ascii="Arial" w:hAnsi="Arial" w:cs="Arial"/>
          <w:color w:val="000000" w:themeColor="text1"/>
          <w:sz w:val="24"/>
          <w:szCs w:val="24"/>
        </w:rPr>
        <w:t xml:space="preserve"> </w:t>
      </w:r>
      <w:r w:rsidRPr="00983AAB">
        <w:rPr>
          <w:rFonts w:ascii="Arial" w:hAnsi="Arial" w:cs="Arial"/>
          <w:color w:val="000000" w:themeColor="text1"/>
          <w:sz w:val="24"/>
          <w:szCs w:val="24"/>
        </w:rPr>
        <w:t xml:space="preserve">Art 5º </w:t>
      </w:r>
      <w:r w:rsidRPr="00983AAB">
        <w:rPr>
          <w:rFonts w:ascii="Arial" w:hAnsi="Arial" w:cs="Arial"/>
          <w:color w:val="000000" w:themeColor="text1"/>
          <w:sz w:val="24"/>
          <w:szCs w:val="24"/>
          <w:shd w:val="clear" w:color="auto" w:fill="FFFFFF"/>
        </w:rPr>
        <w:t>XVIII - a criação de associações e, na forma da lei, a de cooperativas independem de autorização, sendo vedada a interferência estatal em seu funcionamento;</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Art. 44. São pessoas jurídicas de direito privado:</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I - as associações;</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II - as sociedades;</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III - as fundações.</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IV - as organizações religiosas; (Incluído pela Lei nº 10.825, de 22.12.2003)</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V - os partidos políticos. (Incluído pela Lei nº 10.825, de 22.12.2003)</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VI - as empresas individuais de responsabilidade limitada. (Incluído pela Lei nº 12.441, de 2011) (Vigência)</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São constituídas visando atender aos interesses e necessidades de pessoas indeterminadas, ou à sociedade em geral, por exemplo, nas áreas de educação, saúde, assistência social e cultura, sendo este seu requisito indispensável para caracterizar uma associação como entidade de interesse social, para que a associação seja caracterizada de interesse social e indispensável que ela exerça missão relevante para a sociedade como um todo.</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 xml:space="preserve">Incentivos fiscais são instrumentos utilizados pelo governo para estimular atividades específicas, por prazo determinado. Existem incentivos que facilitam </w:t>
      </w:r>
      <w:r w:rsidRPr="00983AAB">
        <w:rPr>
          <w:rFonts w:ascii="Arial" w:hAnsi="Arial" w:cs="Arial"/>
          <w:color w:val="000000" w:themeColor="text1"/>
          <w:sz w:val="24"/>
          <w:szCs w:val="24"/>
        </w:rPr>
        <w:lastRenderedPageBreak/>
        <w:t>a transferência de recursos para atividades relacionadas ao Terceiro Setor, com o objetivo de fortalecer a população do País. Tais incentivos são também importantes ferramentas para a consolidação da sustentação financeira das entidades sem fins lucrativos.</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Em nossa legislação, as pessoas físicas que optam pela declaração do imposto de renda completa podem aproveitar os incentivos fiscais para doação apenas nos seguintes casos:</w:t>
      </w:r>
    </w:p>
    <w:p w:rsidR="00B14A09" w:rsidRPr="00983AAB" w:rsidRDefault="00B14A09" w:rsidP="00B14A09">
      <w:pPr>
        <w:rPr>
          <w:rFonts w:ascii="Arial" w:hAnsi="Arial" w:cs="Arial"/>
          <w:color w:val="000000" w:themeColor="text1"/>
          <w:sz w:val="24"/>
          <w:szCs w:val="24"/>
        </w:rPr>
      </w:pPr>
      <w:r w:rsidRPr="00983AAB">
        <w:rPr>
          <w:rFonts w:ascii="Arial" w:hAnsi="Arial" w:cs="Arial"/>
          <w:color w:val="000000" w:themeColor="text1"/>
          <w:sz w:val="24"/>
          <w:szCs w:val="24"/>
        </w:rPr>
        <w:t>a) doações aos fundos dos Direitos da Criança e do Adolescente (federal, estaduais e municipais);</w:t>
      </w:r>
    </w:p>
    <w:p w:rsidR="00B14A09" w:rsidRPr="00B14A09" w:rsidRDefault="00B14A09" w:rsidP="00B14A09">
      <w:pPr>
        <w:rPr>
          <w:rFonts w:ascii="Arial" w:hAnsi="Arial" w:cs="Arial"/>
          <w:color w:val="000000" w:themeColor="text1"/>
          <w:sz w:val="24"/>
          <w:szCs w:val="24"/>
        </w:rPr>
      </w:pPr>
      <w:r w:rsidRPr="00B14A09">
        <w:rPr>
          <w:rFonts w:ascii="Arial" w:hAnsi="Arial" w:cs="Arial"/>
          <w:color w:val="000000" w:themeColor="text1"/>
          <w:sz w:val="24"/>
          <w:szCs w:val="24"/>
        </w:rPr>
        <w:t>b) destinadas a projetos culturais e artísticos;</w:t>
      </w:r>
    </w:p>
    <w:p w:rsidR="00B14A09" w:rsidRDefault="00B14A09" w:rsidP="00B14A09">
      <w:pPr>
        <w:pStyle w:val="Ttulo1"/>
        <w:spacing w:before="0"/>
        <w:rPr>
          <w:color w:val="000000"/>
        </w:rPr>
      </w:pPr>
      <w:r w:rsidRPr="00B14A09">
        <w:rPr>
          <w:rFonts w:ascii="Arial" w:hAnsi="Arial" w:cs="Arial"/>
          <w:b w:val="0"/>
          <w:color w:val="000000" w:themeColor="text1"/>
          <w:sz w:val="24"/>
          <w:szCs w:val="24"/>
        </w:rPr>
        <w:t>c) doações destinadas à atividade audiovisual.</w:t>
      </w:r>
      <w:r w:rsidRPr="00983AAB">
        <w:rPr>
          <w:color w:val="000000" w:themeColor="text1"/>
        </w:rPr>
        <w:cr/>
      </w:r>
    </w:p>
    <w:p w:rsidR="0071184B" w:rsidRDefault="00247600">
      <w:pPr>
        <w:pStyle w:val="Ttulo1"/>
        <w:spacing w:before="0"/>
      </w:pPr>
      <w:r>
        <w:t>4. Imposto de Renda</w:t>
      </w:r>
    </w:p>
    <w:p w:rsidR="0071184B" w:rsidRDefault="0071184B">
      <w:pPr>
        <w:spacing w:after="0" w:line="240" w:lineRule="auto"/>
      </w:pPr>
    </w:p>
    <w:p w:rsidR="0071184B" w:rsidRDefault="00247600">
      <w:pPr>
        <w:spacing w:after="0" w:line="360" w:lineRule="auto"/>
        <w:ind w:firstLine="567"/>
        <w:jc w:val="both"/>
        <w:rPr>
          <w:rFonts w:ascii="Arial" w:hAnsi="Arial" w:cs="Arial"/>
          <w:sz w:val="24"/>
        </w:rPr>
      </w:pPr>
      <w:r>
        <w:rPr>
          <w:rFonts w:ascii="Arial" w:hAnsi="Arial" w:cs="Arial"/>
          <w:sz w:val="24"/>
        </w:rPr>
        <w:t xml:space="preserve">É tributo com finalidade claramente fiscal, constituindo-se sem sombra de dúvidas a maior fonte de entrada de recursos entre os impostos federais. Sendo este o tributo que melhor representa a ideia da </w:t>
      </w:r>
      <w:r>
        <w:rPr>
          <w:rFonts w:ascii="Arial" w:hAnsi="Arial" w:cs="Arial"/>
          <w:i/>
          <w:sz w:val="24"/>
        </w:rPr>
        <w:t>progressividade</w:t>
      </w:r>
      <w:r>
        <w:rPr>
          <w:rFonts w:ascii="Arial" w:hAnsi="Arial" w:cs="Arial"/>
          <w:sz w:val="24"/>
        </w:rPr>
        <w:t>, ou seja, tentativa de obter através do tributo uma melhor distribuição da renda dentro do país – reduzindo-se assim as desigualdades de renda existentes.(Sacha Calmon Navarro Côelho, 2010) pg. 300. Sobre este podemos destacar os seguintes desdobramentos.</w:t>
      </w:r>
    </w:p>
    <w:p w:rsidR="0071184B" w:rsidRDefault="0071184B">
      <w:pPr>
        <w:pStyle w:val="PargrafodaLista"/>
        <w:spacing w:after="0" w:line="240" w:lineRule="auto"/>
      </w:pPr>
    </w:p>
    <w:p w:rsidR="0071184B" w:rsidRDefault="00247600">
      <w:pPr>
        <w:pStyle w:val="Ttulo2"/>
        <w:spacing w:before="0"/>
        <w:ind w:left="792"/>
        <w:rPr>
          <w:color w:val="auto"/>
        </w:rPr>
      </w:pPr>
      <w:r>
        <w:rPr>
          <w:color w:val="auto"/>
        </w:rPr>
        <w:t>4.1. Pessoa Jur</w:t>
      </w:r>
      <w:r>
        <w:rPr>
          <w:color w:val="auto"/>
        </w:rPr>
        <w:t>í</w:t>
      </w:r>
      <w:r>
        <w:rPr>
          <w:color w:val="auto"/>
        </w:rPr>
        <w:t>dica</w:t>
      </w:r>
    </w:p>
    <w:p w:rsidR="0071184B" w:rsidRDefault="0071184B">
      <w:pPr>
        <w:pStyle w:val="PargrafodaLista"/>
        <w:spacing w:after="0"/>
        <w:ind w:left="1095"/>
      </w:pPr>
    </w:p>
    <w:p w:rsidR="0071184B" w:rsidRDefault="00247600">
      <w:pPr>
        <w:pStyle w:val="Ttulo3"/>
        <w:spacing w:before="0"/>
        <w:ind w:left="1224"/>
        <w:rPr>
          <w:color w:val="auto"/>
          <w:sz w:val="24"/>
        </w:rPr>
      </w:pPr>
      <w:r>
        <w:rPr>
          <w:color w:val="auto"/>
          <w:sz w:val="24"/>
        </w:rPr>
        <w:t>4.1.1. Regime de Caixa</w:t>
      </w:r>
    </w:p>
    <w:p w:rsidR="000B0372" w:rsidRDefault="000B0372">
      <w:pPr>
        <w:pStyle w:val="Ttulo3"/>
        <w:spacing w:before="0"/>
        <w:ind w:left="1224"/>
        <w:rPr>
          <w:color w:val="auto"/>
          <w:sz w:val="24"/>
        </w:rPr>
      </w:pPr>
    </w:p>
    <w:p w:rsidR="000B0372" w:rsidRDefault="000B0372" w:rsidP="000B0372">
      <w:pPr>
        <w:rPr>
          <w:rFonts w:ascii="Arial" w:hAnsi="Arial" w:cs="Arial"/>
          <w:sz w:val="24"/>
          <w:szCs w:val="24"/>
        </w:rPr>
      </w:pPr>
      <w:r>
        <w:rPr>
          <w:rFonts w:ascii="Arial" w:hAnsi="Arial" w:cs="Arial"/>
          <w:sz w:val="24"/>
          <w:szCs w:val="24"/>
        </w:rPr>
        <w:t>É o método que se registra as despesas e receitas de acordo com o recebimento monetário, independente da data do evento ocorrido. Neste tipo de regime a tributação será incidente sob o recebimento e não ao ato da venda ou prestação de serviço. Exemplo: ocorreu uma venda em jan/x1 com previsão de recebimento em mar/x2, pelo regime de caixa será registrada essa venda na data do recebimento, neste caso em mar/x2.</w:t>
      </w:r>
    </w:p>
    <w:p w:rsidR="000B0372" w:rsidRDefault="000B0372" w:rsidP="000B0372">
      <w:pPr>
        <w:rPr>
          <w:rFonts w:ascii="Arial" w:hAnsi="Arial" w:cs="Arial"/>
          <w:sz w:val="24"/>
          <w:szCs w:val="24"/>
        </w:rPr>
      </w:pPr>
      <w:r>
        <w:rPr>
          <w:rFonts w:ascii="Arial" w:hAnsi="Arial" w:cs="Arial"/>
          <w:sz w:val="24"/>
          <w:szCs w:val="24"/>
        </w:rPr>
        <w:t>A forma de tributação referente ao regime de caixa se tem o mesmo principio, o tributado ira pagar o imposto referente ao valor recebido em determinada data.</w:t>
      </w:r>
    </w:p>
    <w:p w:rsidR="000B0372" w:rsidRDefault="000B0372" w:rsidP="000B0372">
      <w:pPr>
        <w:rPr>
          <w:rFonts w:ascii="Arial" w:hAnsi="Arial" w:cs="Arial"/>
          <w:sz w:val="24"/>
          <w:szCs w:val="24"/>
        </w:rPr>
      </w:pPr>
      <w:r>
        <w:rPr>
          <w:rFonts w:ascii="Arial" w:hAnsi="Arial" w:cs="Arial"/>
          <w:sz w:val="24"/>
          <w:szCs w:val="24"/>
        </w:rPr>
        <w:t xml:space="preserve"> Por exemplo: um cliente comprou um aparelho eletrônico pagando em cinco prestações. A empresa vendedora ira pagar o imposto sobre esse aparelho, de acordo com seu respectivo recebimento das prestações do cliente.</w:t>
      </w:r>
    </w:p>
    <w:p w:rsidR="000B0372" w:rsidRDefault="000B0372">
      <w:pPr>
        <w:pStyle w:val="Ttulo3"/>
        <w:spacing w:before="0"/>
        <w:ind w:left="1224"/>
        <w:rPr>
          <w:color w:val="auto"/>
          <w:sz w:val="24"/>
        </w:rPr>
      </w:pPr>
    </w:p>
    <w:p w:rsidR="0071184B" w:rsidRDefault="0071184B">
      <w:pPr>
        <w:spacing w:after="0"/>
      </w:pPr>
    </w:p>
    <w:p w:rsidR="0071184B" w:rsidRDefault="00247600">
      <w:pPr>
        <w:pStyle w:val="Ttulo3"/>
        <w:spacing w:before="0"/>
        <w:ind w:left="1224"/>
        <w:rPr>
          <w:color w:val="auto"/>
          <w:sz w:val="24"/>
        </w:rPr>
      </w:pPr>
      <w:r>
        <w:rPr>
          <w:color w:val="auto"/>
          <w:sz w:val="24"/>
        </w:rPr>
        <w:t>4.1.2. Regime de Compet</w:t>
      </w:r>
      <w:r>
        <w:rPr>
          <w:color w:val="auto"/>
          <w:sz w:val="24"/>
        </w:rPr>
        <w:t>ê</w:t>
      </w:r>
      <w:r>
        <w:rPr>
          <w:color w:val="auto"/>
          <w:sz w:val="24"/>
        </w:rPr>
        <w:t>ncia</w:t>
      </w:r>
    </w:p>
    <w:p w:rsidR="000B0372" w:rsidRDefault="000B0372">
      <w:pPr>
        <w:pStyle w:val="Ttulo3"/>
        <w:spacing w:before="0"/>
        <w:ind w:left="1224"/>
        <w:rPr>
          <w:color w:val="auto"/>
          <w:sz w:val="24"/>
        </w:rPr>
      </w:pPr>
    </w:p>
    <w:p w:rsidR="000B0372" w:rsidRDefault="000B0372" w:rsidP="000B0372">
      <w:pPr>
        <w:spacing w:after="0" w:line="240" w:lineRule="auto"/>
        <w:jc w:val="both"/>
        <w:rPr>
          <w:rFonts w:ascii="Arial" w:hAnsi="Arial" w:cs="Arial"/>
          <w:color w:val="000000"/>
          <w:sz w:val="24"/>
          <w:szCs w:val="24"/>
        </w:rPr>
      </w:pPr>
      <w:r w:rsidRPr="00C36F4A">
        <w:rPr>
          <w:rFonts w:ascii="Arial" w:hAnsi="Arial" w:cs="Arial"/>
          <w:color w:val="000000"/>
          <w:sz w:val="24"/>
          <w:szCs w:val="24"/>
        </w:rPr>
        <w:t>O regime de competência é acima de tudo um princípio contábil,</w:t>
      </w:r>
      <w:r>
        <w:rPr>
          <w:rFonts w:ascii="Arial" w:hAnsi="Arial" w:cs="Arial"/>
          <w:color w:val="000000"/>
          <w:sz w:val="24"/>
          <w:szCs w:val="24"/>
        </w:rPr>
        <w:t xml:space="preserve"> definido pelas Normas Brasileiras de Contabilidade,</w:t>
      </w:r>
      <w:r w:rsidR="00F21A56">
        <w:rPr>
          <w:rFonts w:ascii="Arial" w:hAnsi="Arial" w:cs="Arial"/>
          <w:color w:val="000000"/>
          <w:sz w:val="24"/>
          <w:szCs w:val="24"/>
        </w:rPr>
        <w:t>portanto</w:t>
      </w:r>
      <w:r w:rsidR="00F21A56" w:rsidRPr="00C36F4A">
        <w:rPr>
          <w:rFonts w:ascii="Arial" w:hAnsi="Arial" w:cs="Arial"/>
          <w:color w:val="000000"/>
          <w:sz w:val="24"/>
          <w:szCs w:val="24"/>
        </w:rPr>
        <w:t xml:space="preserve"> deve</w:t>
      </w:r>
      <w:r w:rsidRPr="00C36F4A">
        <w:rPr>
          <w:rFonts w:ascii="Arial" w:hAnsi="Arial" w:cs="Arial"/>
          <w:color w:val="000000"/>
          <w:sz w:val="24"/>
          <w:szCs w:val="24"/>
        </w:rPr>
        <w:t xml:space="preserve"> ser, na prática, sempre</w:t>
      </w:r>
      <w:r>
        <w:rPr>
          <w:rFonts w:ascii="Arial" w:hAnsi="Arial" w:cs="Arial"/>
          <w:color w:val="000000"/>
          <w:sz w:val="24"/>
          <w:szCs w:val="24"/>
        </w:rPr>
        <w:t xml:space="preserve"> utilizad</w:t>
      </w:r>
      <w:r w:rsidRPr="00C36F4A">
        <w:rPr>
          <w:rFonts w:ascii="Arial" w:hAnsi="Arial" w:cs="Arial"/>
          <w:color w:val="000000"/>
          <w:sz w:val="24"/>
          <w:szCs w:val="24"/>
        </w:rPr>
        <w:t xml:space="preserve">o </w:t>
      </w:r>
      <w:r>
        <w:rPr>
          <w:rFonts w:ascii="Arial" w:hAnsi="Arial" w:cs="Arial"/>
          <w:color w:val="000000"/>
          <w:sz w:val="24"/>
          <w:szCs w:val="24"/>
        </w:rPr>
        <w:t>no âmbito fiscal de todas as empresas, entretanto, para fins tributários é possível escolher outro tipo de regime, regime de caixa por exemplo, mas sempre a obrigatoriedade do regime de competência para fins fiscais, estendido a qualquer alteração patrimonial, independente de sua natureza e origem.</w:t>
      </w:r>
    </w:p>
    <w:p w:rsidR="000B0372" w:rsidRDefault="000B0372" w:rsidP="000B0372">
      <w:pPr>
        <w:rPr>
          <w:rFonts w:ascii="Arial" w:hAnsi="Arial" w:cs="Arial"/>
          <w:sz w:val="24"/>
          <w:szCs w:val="24"/>
        </w:rPr>
      </w:pPr>
      <w:r>
        <w:rPr>
          <w:rFonts w:ascii="Arial" w:hAnsi="Arial" w:cs="Arial"/>
          <w:sz w:val="24"/>
          <w:szCs w:val="24"/>
        </w:rPr>
        <w:t xml:space="preserve">Regime de Competência é método que o registro ocorre diante o fato gerador, ou seja, é um método que registra os lançamentos contábeis no período da competência da receita ou despesa realizada. </w:t>
      </w:r>
    </w:p>
    <w:p w:rsidR="000B0372" w:rsidRDefault="000B0372" w:rsidP="000B0372">
      <w:pPr>
        <w:rPr>
          <w:rFonts w:ascii="Arial" w:hAnsi="Arial" w:cs="Arial"/>
          <w:sz w:val="24"/>
          <w:szCs w:val="24"/>
        </w:rPr>
      </w:pPr>
      <w:r>
        <w:rPr>
          <w:rFonts w:ascii="Arial" w:hAnsi="Arial" w:cs="Arial"/>
          <w:sz w:val="24"/>
          <w:szCs w:val="24"/>
        </w:rPr>
        <w:t>Por exemplo: uma empresa que fez uma compra de maquinário em jan/x1 e ira pagar pelo valor do maquinário e dez/x2 ira ter o seu registro contábil em jan/x2, pois foi o mês que ocorreu o fato que gerou a despesa a ser paga.</w:t>
      </w:r>
    </w:p>
    <w:p w:rsidR="000B0372" w:rsidRPr="0047276E" w:rsidRDefault="000B0372" w:rsidP="000B0372">
      <w:pPr>
        <w:rPr>
          <w:rFonts w:ascii="Arial" w:hAnsi="Arial" w:cs="Arial"/>
          <w:color w:val="FF0000"/>
          <w:sz w:val="24"/>
          <w:szCs w:val="24"/>
        </w:rPr>
      </w:pPr>
    </w:p>
    <w:p w:rsidR="0071184B" w:rsidRPr="0047276E" w:rsidRDefault="000B0372" w:rsidP="000B0372">
      <w:pPr>
        <w:pStyle w:val="Ttulo3"/>
        <w:spacing w:before="0"/>
        <w:rPr>
          <w:color w:val="FF0000"/>
          <w:sz w:val="24"/>
        </w:rPr>
      </w:pPr>
      <w:r w:rsidRPr="0047276E">
        <w:rPr>
          <w:color w:val="FF0000"/>
          <w:sz w:val="24"/>
        </w:rPr>
        <w:t xml:space="preserve">                       </w:t>
      </w:r>
      <w:r w:rsidR="00247600" w:rsidRPr="0047276E">
        <w:rPr>
          <w:color w:val="FF0000"/>
          <w:sz w:val="24"/>
        </w:rPr>
        <w:t>4.1.3. Imposi</w:t>
      </w:r>
      <w:r w:rsidR="00247600" w:rsidRPr="0047276E">
        <w:rPr>
          <w:color w:val="FF0000"/>
          <w:sz w:val="24"/>
        </w:rPr>
        <w:t>çõ</w:t>
      </w:r>
      <w:r w:rsidR="00247600" w:rsidRPr="0047276E">
        <w:rPr>
          <w:color w:val="FF0000"/>
          <w:sz w:val="24"/>
        </w:rPr>
        <w:t>es legais</w:t>
      </w:r>
    </w:p>
    <w:p w:rsidR="0071184B" w:rsidRDefault="0071184B">
      <w:pPr>
        <w:spacing w:after="0"/>
      </w:pPr>
    </w:p>
    <w:p w:rsidR="0071184B" w:rsidRDefault="00247600">
      <w:pPr>
        <w:pStyle w:val="Ttulo3"/>
        <w:spacing w:before="0"/>
        <w:ind w:left="1224"/>
        <w:rPr>
          <w:color w:val="auto"/>
          <w:sz w:val="24"/>
        </w:rPr>
      </w:pPr>
      <w:r>
        <w:rPr>
          <w:color w:val="auto"/>
          <w:sz w:val="24"/>
        </w:rPr>
        <w:t>4.1.4. Se facultativo qual o mais adequado?</w:t>
      </w:r>
    </w:p>
    <w:p w:rsidR="000B0372" w:rsidRDefault="000B0372">
      <w:pPr>
        <w:pStyle w:val="Ttulo3"/>
        <w:spacing w:before="0"/>
        <w:ind w:left="1224"/>
        <w:rPr>
          <w:color w:val="auto"/>
          <w:sz w:val="24"/>
        </w:rPr>
      </w:pPr>
    </w:p>
    <w:p w:rsidR="000B0372" w:rsidRPr="000B0372" w:rsidRDefault="000B0372" w:rsidP="000B0372">
      <w:pPr>
        <w:pStyle w:val="Ttulo3"/>
        <w:spacing w:before="0"/>
        <w:rPr>
          <w:b w:val="0"/>
          <w:color w:val="000000" w:themeColor="text1"/>
          <w:sz w:val="24"/>
        </w:rPr>
      </w:pPr>
      <w:r w:rsidRPr="000B0372">
        <w:rPr>
          <w:rFonts w:ascii="Arial" w:hAnsi="Arial" w:cs="Arial"/>
          <w:b w:val="0"/>
          <w:color w:val="000000" w:themeColor="text1"/>
          <w:sz w:val="24"/>
          <w:szCs w:val="24"/>
        </w:rPr>
        <w:t>Empresas que trabalham com vendas a prazo e prestação de serviço normalmente optam pelo regime de caixa, pois terão um prazo de pagamento dos impostos que condiz com o recebimento do valor da venda ou prestação de serviço, ou seja, só irão pagar o imposto quando receberem pelo serviço prestado ou venda recebida, alem de evitar o pagamento de impostos que ainda não foram recebidos os valores referente a ele. No caso de calote, devera ser declarado o tributo ate o ano subseqüente e pagar este tributo ( mesmo que não recebido pelo valor do fato gerador), ate janeiro do segundo ano subseqüente.</w:t>
      </w:r>
    </w:p>
    <w:p w:rsidR="0071184B" w:rsidRDefault="0071184B">
      <w:pPr>
        <w:spacing w:after="0"/>
      </w:pPr>
    </w:p>
    <w:p w:rsidR="0071184B" w:rsidRDefault="00247600">
      <w:pPr>
        <w:pStyle w:val="Ttulo3"/>
        <w:spacing w:before="0"/>
        <w:ind w:left="1224"/>
        <w:rPr>
          <w:color w:val="auto"/>
          <w:sz w:val="24"/>
        </w:rPr>
      </w:pPr>
      <w:r>
        <w:rPr>
          <w:color w:val="auto"/>
          <w:sz w:val="24"/>
        </w:rPr>
        <w:t>4.1.5. Formas de incentivos fiscais</w:t>
      </w:r>
    </w:p>
    <w:p w:rsidR="00B14A09" w:rsidRDefault="00B14A09">
      <w:pPr>
        <w:pStyle w:val="Ttulo3"/>
        <w:spacing w:before="0"/>
        <w:ind w:left="1224"/>
        <w:rPr>
          <w:color w:val="auto"/>
          <w:sz w:val="24"/>
        </w:rPr>
      </w:pPr>
    </w:p>
    <w:p w:rsidR="00B14A09" w:rsidRPr="00983AAB" w:rsidRDefault="00B14A09" w:rsidP="00B14A09">
      <w:pPr>
        <w:rPr>
          <w:rFonts w:ascii="Arial" w:hAnsi="Arial" w:cs="Arial"/>
          <w:sz w:val="24"/>
          <w:szCs w:val="24"/>
        </w:rPr>
      </w:pPr>
      <w:r w:rsidRPr="00983AAB">
        <w:rPr>
          <w:rFonts w:ascii="Arial" w:hAnsi="Arial" w:cs="Arial"/>
          <w:sz w:val="24"/>
          <w:szCs w:val="24"/>
        </w:rPr>
        <w:t>As pessoas jurídicas, somente quando tributadas pelo regime de lucro real, dispõem de uma quantidade maior de incentivos à doação.</w:t>
      </w:r>
    </w:p>
    <w:p w:rsidR="00B14A09" w:rsidRPr="00983AAB" w:rsidRDefault="00B14A09" w:rsidP="00B14A09">
      <w:pPr>
        <w:rPr>
          <w:rFonts w:ascii="Arial" w:hAnsi="Arial" w:cs="Arial"/>
          <w:sz w:val="24"/>
          <w:szCs w:val="24"/>
        </w:rPr>
      </w:pPr>
      <w:r w:rsidRPr="00983AAB">
        <w:rPr>
          <w:rFonts w:ascii="Arial" w:hAnsi="Arial" w:cs="Arial"/>
          <w:sz w:val="24"/>
          <w:szCs w:val="24"/>
        </w:rPr>
        <w:t>Os benefícios podem ser utilizados pelas pessoas jurídicas nas doações:</w:t>
      </w:r>
    </w:p>
    <w:p w:rsidR="00B14A09" w:rsidRPr="00983AAB" w:rsidRDefault="00B14A09" w:rsidP="00B14A09">
      <w:pPr>
        <w:rPr>
          <w:rFonts w:ascii="Arial" w:hAnsi="Arial" w:cs="Arial"/>
          <w:sz w:val="24"/>
          <w:szCs w:val="24"/>
        </w:rPr>
      </w:pPr>
      <w:r w:rsidRPr="00983AAB">
        <w:rPr>
          <w:rFonts w:ascii="Arial" w:hAnsi="Arial" w:cs="Arial"/>
          <w:sz w:val="24"/>
          <w:szCs w:val="24"/>
        </w:rPr>
        <w:t>a) para entidades civis, sem fins lucrativos, de Utilidade Pública Federal equalificadas como OSCIPs (organização da sociedade civil de interesse público);</w:t>
      </w:r>
    </w:p>
    <w:p w:rsidR="00B14A09" w:rsidRPr="00983AAB" w:rsidRDefault="00B14A09" w:rsidP="00B14A09">
      <w:pPr>
        <w:rPr>
          <w:rFonts w:ascii="Arial" w:hAnsi="Arial" w:cs="Arial"/>
          <w:sz w:val="24"/>
          <w:szCs w:val="24"/>
        </w:rPr>
      </w:pPr>
      <w:r w:rsidRPr="00983AAB">
        <w:rPr>
          <w:rFonts w:ascii="Arial" w:hAnsi="Arial" w:cs="Arial"/>
          <w:sz w:val="24"/>
          <w:szCs w:val="24"/>
        </w:rPr>
        <w:t>b) para instituições de ensino e pesquisa;</w:t>
      </w:r>
    </w:p>
    <w:p w:rsidR="00B14A09" w:rsidRPr="00983AAB" w:rsidRDefault="00B14A09" w:rsidP="00B14A09">
      <w:pPr>
        <w:rPr>
          <w:rFonts w:ascii="Arial" w:hAnsi="Arial" w:cs="Arial"/>
          <w:sz w:val="24"/>
          <w:szCs w:val="24"/>
        </w:rPr>
      </w:pPr>
      <w:r w:rsidRPr="00983AAB">
        <w:rPr>
          <w:rFonts w:ascii="Arial" w:hAnsi="Arial" w:cs="Arial"/>
          <w:sz w:val="24"/>
          <w:szCs w:val="24"/>
        </w:rPr>
        <w:lastRenderedPageBreak/>
        <w:t>c) destinadas a projetos culturais e artísticos;</w:t>
      </w:r>
    </w:p>
    <w:p w:rsidR="00B14A09" w:rsidRPr="00983AAB" w:rsidRDefault="00B14A09" w:rsidP="00B14A09">
      <w:pPr>
        <w:rPr>
          <w:rFonts w:ascii="Arial" w:hAnsi="Arial" w:cs="Arial"/>
          <w:sz w:val="24"/>
          <w:szCs w:val="24"/>
        </w:rPr>
      </w:pPr>
      <w:r w:rsidRPr="00983AAB">
        <w:rPr>
          <w:rFonts w:ascii="Arial" w:hAnsi="Arial" w:cs="Arial"/>
          <w:sz w:val="24"/>
          <w:szCs w:val="24"/>
        </w:rPr>
        <w:t>d) para os Fundos dos Direitos da Criança e do Adolescente (federal, estaduais e municipais);</w:t>
      </w:r>
    </w:p>
    <w:p w:rsidR="00B14A09" w:rsidRPr="00983AAB" w:rsidRDefault="00B14A09" w:rsidP="00B14A09">
      <w:pPr>
        <w:rPr>
          <w:rFonts w:ascii="Arial" w:hAnsi="Arial" w:cs="Arial"/>
          <w:sz w:val="24"/>
          <w:szCs w:val="24"/>
        </w:rPr>
      </w:pPr>
      <w:r w:rsidRPr="00983AAB">
        <w:rPr>
          <w:rFonts w:ascii="Arial" w:hAnsi="Arial" w:cs="Arial"/>
          <w:sz w:val="24"/>
          <w:szCs w:val="24"/>
        </w:rPr>
        <w:t>e) destinadas à atividade audiovisual.</w:t>
      </w:r>
    </w:p>
    <w:p w:rsidR="00B14A09" w:rsidRPr="00983AAB" w:rsidRDefault="00B14A09" w:rsidP="00B14A09">
      <w:pPr>
        <w:rPr>
          <w:rFonts w:ascii="Arial" w:hAnsi="Arial" w:cs="Arial"/>
          <w:sz w:val="24"/>
          <w:szCs w:val="24"/>
        </w:rPr>
      </w:pPr>
      <w:r w:rsidRPr="00983AAB">
        <w:rPr>
          <w:rFonts w:ascii="Arial" w:hAnsi="Arial" w:cs="Arial"/>
          <w:sz w:val="24"/>
          <w:szCs w:val="24"/>
        </w:rPr>
        <w:t>Não são beneficiadas as pessoas jurídicas tributadas pelo Simples ou pelos regimes de lucro presumido ou arbitrado.</w:t>
      </w:r>
    </w:p>
    <w:p w:rsidR="00B14A09" w:rsidRPr="00983AAB" w:rsidRDefault="00B14A09" w:rsidP="00B14A09">
      <w:pPr>
        <w:rPr>
          <w:rFonts w:ascii="Arial" w:hAnsi="Arial" w:cs="Arial"/>
          <w:b/>
          <w:sz w:val="24"/>
          <w:szCs w:val="24"/>
        </w:rPr>
      </w:pPr>
      <w:r w:rsidRPr="00983AAB">
        <w:rPr>
          <w:rFonts w:ascii="Arial" w:hAnsi="Arial" w:cs="Arial"/>
          <w:b/>
          <w:sz w:val="24"/>
          <w:szCs w:val="24"/>
        </w:rPr>
        <w:t>Doações aos Fundos dos Direitos da Criança e do Adolescente</w:t>
      </w:r>
    </w:p>
    <w:p w:rsidR="00B14A09" w:rsidRPr="00983AAB" w:rsidRDefault="00B14A09" w:rsidP="00B14A09">
      <w:pPr>
        <w:rPr>
          <w:rFonts w:ascii="Arial" w:hAnsi="Arial" w:cs="Arial"/>
          <w:sz w:val="24"/>
          <w:szCs w:val="24"/>
        </w:rPr>
      </w:pPr>
      <w:r w:rsidRPr="00983AAB">
        <w:rPr>
          <w:rFonts w:ascii="Arial" w:hAnsi="Arial" w:cs="Arial"/>
          <w:sz w:val="24"/>
          <w:szCs w:val="24"/>
        </w:rPr>
        <w:t>A lei no 8.069/90 (Estatuto da Criança e do Adolescente - ECA), em seu artigo 260, permite que contribuintes pessoas físicas e jurídicas deduzam do valor do imposto de renda devido doações feitas aos Fundos dos Direitos da Criança e do Adolescente (nacional, estaduais ou municipais), controlados pelos Conselhos dos Direitos da Criança e do Adolescente.</w:t>
      </w:r>
    </w:p>
    <w:p w:rsidR="00B14A09" w:rsidRPr="00983AAB" w:rsidRDefault="00B14A09" w:rsidP="00B14A09">
      <w:pPr>
        <w:rPr>
          <w:rFonts w:ascii="Arial" w:hAnsi="Arial" w:cs="Arial"/>
          <w:sz w:val="24"/>
          <w:szCs w:val="24"/>
        </w:rPr>
      </w:pPr>
      <w:r w:rsidRPr="00983AAB">
        <w:rPr>
          <w:rFonts w:ascii="Arial" w:hAnsi="Arial" w:cs="Arial"/>
          <w:sz w:val="24"/>
          <w:szCs w:val="24"/>
        </w:rPr>
        <w:t>As pessoas físicas, que declaram o imposto de renda pelo modelo completo, podem deduzir as doações aos Fundos que não ultrapassem o limite de 6% do valor do imposto devido.</w:t>
      </w:r>
    </w:p>
    <w:p w:rsidR="00B14A09" w:rsidRPr="00983AAB" w:rsidRDefault="00B14A09" w:rsidP="00B14A09">
      <w:pPr>
        <w:rPr>
          <w:rFonts w:ascii="Arial" w:hAnsi="Arial" w:cs="Arial"/>
          <w:b/>
          <w:sz w:val="24"/>
          <w:szCs w:val="24"/>
        </w:rPr>
      </w:pPr>
      <w:r w:rsidRPr="00983AAB">
        <w:rPr>
          <w:rFonts w:ascii="Arial" w:hAnsi="Arial" w:cs="Arial"/>
          <w:b/>
          <w:sz w:val="24"/>
          <w:szCs w:val="24"/>
        </w:rPr>
        <w:t>Incentivos fiscais para doações a projetos culturais e artísticos</w:t>
      </w:r>
    </w:p>
    <w:p w:rsidR="00B14A09" w:rsidRPr="00983AAB" w:rsidRDefault="00B14A09" w:rsidP="00B14A09">
      <w:pPr>
        <w:rPr>
          <w:rFonts w:ascii="Arial" w:hAnsi="Arial" w:cs="Arial"/>
          <w:sz w:val="24"/>
          <w:szCs w:val="24"/>
        </w:rPr>
      </w:pPr>
      <w:r w:rsidRPr="00983AAB">
        <w:rPr>
          <w:rFonts w:ascii="Arial" w:hAnsi="Arial" w:cs="Arial"/>
          <w:sz w:val="24"/>
          <w:szCs w:val="24"/>
        </w:rPr>
        <w:t>A Lei Rouanet (Lei nº 8.313/91) é o principal mecanismo para o fomento das atividades culturais e artísticas do país, possibilitando o financiamento governamental direto, bem como a utilização de incentivos fiscais por pessoas físicas e jurídicas. Trata-se de um incentivo à cultura, não restrito apenas às entidades do Terceiro Setor.</w:t>
      </w:r>
    </w:p>
    <w:p w:rsidR="00B14A09" w:rsidRPr="00983AAB" w:rsidRDefault="00B14A09" w:rsidP="00B14A09">
      <w:pPr>
        <w:rPr>
          <w:rFonts w:ascii="Arial" w:hAnsi="Arial" w:cs="Arial"/>
          <w:sz w:val="24"/>
          <w:szCs w:val="24"/>
        </w:rPr>
      </w:pPr>
      <w:r w:rsidRPr="00983AAB">
        <w:rPr>
          <w:rFonts w:ascii="Arial" w:hAnsi="Arial" w:cs="Arial"/>
          <w:sz w:val="24"/>
          <w:szCs w:val="24"/>
        </w:rPr>
        <w:t>Os projetos a serem apresentados por pessoas físicas ou jurídicas, de natureza cultural comprovada em estatuto ou contrato social, para fins de incentivo, devem contribuir para propiciar meios que permitam à população o conhecimento dos bens e valores artísticos e culturais, objetivando desenvolver:</w:t>
      </w:r>
    </w:p>
    <w:p w:rsidR="00B14A09" w:rsidRPr="00983AAB" w:rsidRDefault="00B14A09" w:rsidP="00B14A09">
      <w:pPr>
        <w:rPr>
          <w:rFonts w:ascii="Arial" w:hAnsi="Arial" w:cs="Arial"/>
          <w:sz w:val="24"/>
          <w:szCs w:val="24"/>
        </w:rPr>
      </w:pPr>
      <w:r w:rsidRPr="00983AAB">
        <w:rPr>
          <w:rFonts w:ascii="Arial" w:hAnsi="Arial" w:cs="Arial"/>
          <w:sz w:val="24"/>
          <w:szCs w:val="24"/>
        </w:rPr>
        <w:t>as formas de expressão;</w:t>
      </w:r>
    </w:p>
    <w:p w:rsidR="00B14A09" w:rsidRPr="00983AAB" w:rsidRDefault="00B14A09" w:rsidP="00B14A09">
      <w:pPr>
        <w:rPr>
          <w:rFonts w:ascii="Arial" w:hAnsi="Arial" w:cs="Arial"/>
          <w:sz w:val="24"/>
          <w:szCs w:val="24"/>
        </w:rPr>
      </w:pPr>
      <w:r w:rsidRPr="00983AAB">
        <w:rPr>
          <w:rFonts w:ascii="Arial" w:hAnsi="Arial" w:cs="Arial"/>
          <w:sz w:val="24"/>
          <w:szCs w:val="24"/>
        </w:rPr>
        <w:t>os modos de criar e fazer;</w:t>
      </w:r>
    </w:p>
    <w:p w:rsidR="00B14A09" w:rsidRPr="00983AAB" w:rsidRDefault="00B14A09" w:rsidP="00B14A09">
      <w:pPr>
        <w:rPr>
          <w:rFonts w:ascii="Arial" w:hAnsi="Arial" w:cs="Arial"/>
          <w:sz w:val="24"/>
          <w:szCs w:val="24"/>
        </w:rPr>
      </w:pPr>
      <w:r w:rsidRPr="00983AAB">
        <w:rPr>
          <w:rFonts w:ascii="Arial" w:hAnsi="Arial" w:cs="Arial"/>
          <w:sz w:val="24"/>
          <w:szCs w:val="24"/>
        </w:rPr>
        <w:t>os processos de preservação e proteção do patrimônio cultural brasileiro;</w:t>
      </w:r>
    </w:p>
    <w:p w:rsidR="00B14A09" w:rsidRPr="00983AAB" w:rsidRDefault="00B14A09" w:rsidP="00B14A09">
      <w:pPr>
        <w:rPr>
          <w:rFonts w:ascii="Arial" w:hAnsi="Arial" w:cs="Arial"/>
          <w:sz w:val="24"/>
          <w:szCs w:val="24"/>
        </w:rPr>
      </w:pPr>
      <w:r w:rsidRPr="00983AAB">
        <w:rPr>
          <w:rFonts w:ascii="Arial" w:hAnsi="Arial" w:cs="Arial"/>
          <w:sz w:val="24"/>
          <w:szCs w:val="24"/>
        </w:rPr>
        <w:t>os estudos e métodos de interpretação da realidade cultural.</w:t>
      </w:r>
    </w:p>
    <w:p w:rsidR="00B14A09" w:rsidRPr="00983AAB" w:rsidRDefault="00B14A09" w:rsidP="00B14A09">
      <w:pPr>
        <w:rPr>
          <w:rFonts w:ascii="Arial" w:hAnsi="Arial" w:cs="Arial"/>
          <w:sz w:val="24"/>
          <w:szCs w:val="24"/>
        </w:rPr>
      </w:pPr>
      <w:r w:rsidRPr="00983AAB">
        <w:rPr>
          <w:rFonts w:ascii="Arial" w:hAnsi="Arial" w:cs="Arial"/>
          <w:sz w:val="24"/>
          <w:szCs w:val="24"/>
        </w:rPr>
        <w:t>Exemplificativamente, são segmentos que abrigam bens e valores artísticos e culturais:</w:t>
      </w:r>
    </w:p>
    <w:p w:rsidR="00B14A09" w:rsidRPr="00983AAB" w:rsidRDefault="00B14A09" w:rsidP="00B14A09">
      <w:pPr>
        <w:rPr>
          <w:rFonts w:ascii="Arial" w:hAnsi="Arial" w:cs="Arial"/>
          <w:sz w:val="24"/>
          <w:szCs w:val="24"/>
        </w:rPr>
      </w:pPr>
      <w:r w:rsidRPr="00983AAB">
        <w:rPr>
          <w:rFonts w:ascii="Arial" w:hAnsi="Arial" w:cs="Arial"/>
          <w:sz w:val="24"/>
          <w:szCs w:val="24"/>
        </w:rPr>
        <w:t>I - teatro, dança, circo, ópera, mímica e congêneres;</w:t>
      </w:r>
    </w:p>
    <w:p w:rsidR="00B14A09" w:rsidRPr="00983AAB" w:rsidRDefault="00B14A09" w:rsidP="00B14A09">
      <w:pPr>
        <w:rPr>
          <w:rFonts w:ascii="Arial" w:hAnsi="Arial" w:cs="Arial"/>
          <w:sz w:val="24"/>
          <w:szCs w:val="24"/>
        </w:rPr>
      </w:pPr>
      <w:r w:rsidRPr="00983AAB">
        <w:rPr>
          <w:rFonts w:ascii="Arial" w:hAnsi="Arial" w:cs="Arial"/>
          <w:sz w:val="24"/>
          <w:szCs w:val="24"/>
        </w:rPr>
        <w:lastRenderedPageBreak/>
        <w:t>II - produção cinematográfica, videográfica, fotográfica, discográfica e congêneres;</w:t>
      </w:r>
    </w:p>
    <w:p w:rsidR="00B14A09" w:rsidRPr="00983AAB" w:rsidRDefault="00B14A09" w:rsidP="00B14A09">
      <w:pPr>
        <w:rPr>
          <w:rFonts w:ascii="Arial" w:hAnsi="Arial" w:cs="Arial"/>
          <w:sz w:val="24"/>
          <w:szCs w:val="24"/>
        </w:rPr>
      </w:pPr>
      <w:r w:rsidRPr="00983AAB">
        <w:rPr>
          <w:rFonts w:ascii="Arial" w:hAnsi="Arial" w:cs="Arial"/>
          <w:sz w:val="24"/>
          <w:szCs w:val="24"/>
        </w:rPr>
        <w:t>III - literatura, inclusive obras de referência;</w:t>
      </w:r>
    </w:p>
    <w:p w:rsidR="00B14A09" w:rsidRPr="00983AAB" w:rsidRDefault="00B14A09" w:rsidP="00B14A09">
      <w:pPr>
        <w:rPr>
          <w:rFonts w:ascii="Arial" w:hAnsi="Arial" w:cs="Arial"/>
          <w:sz w:val="24"/>
          <w:szCs w:val="24"/>
        </w:rPr>
      </w:pPr>
      <w:r w:rsidRPr="00983AAB">
        <w:rPr>
          <w:rFonts w:ascii="Arial" w:hAnsi="Arial" w:cs="Arial"/>
          <w:sz w:val="24"/>
          <w:szCs w:val="24"/>
        </w:rPr>
        <w:t>IV - música;</w:t>
      </w:r>
    </w:p>
    <w:p w:rsidR="00B14A09" w:rsidRPr="00983AAB" w:rsidRDefault="00B14A09" w:rsidP="00B14A09">
      <w:pPr>
        <w:rPr>
          <w:rFonts w:ascii="Arial" w:hAnsi="Arial" w:cs="Arial"/>
          <w:sz w:val="24"/>
          <w:szCs w:val="24"/>
        </w:rPr>
      </w:pPr>
      <w:r w:rsidRPr="00983AAB">
        <w:rPr>
          <w:rFonts w:ascii="Arial" w:hAnsi="Arial" w:cs="Arial"/>
          <w:sz w:val="24"/>
          <w:szCs w:val="24"/>
        </w:rPr>
        <w:t>V - artes plásticas, artes gráficas, gravuras, cartazes, filatelia e outras congêneres;</w:t>
      </w:r>
    </w:p>
    <w:p w:rsidR="00B14A09" w:rsidRPr="00983AAB" w:rsidRDefault="00B14A09" w:rsidP="00B14A09">
      <w:pPr>
        <w:rPr>
          <w:rFonts w:ascii="Arial" w:hAnsi="Arial" w:cs="Arial"/>
          <w:sz w:val="24"/>
          <w:szCs w:val="24"/>
        </w:rPr>
      </w:pPr>
      <w:r w:rsidRPr="00983AAB">
        <w:rPr>
          <w:rFonts w:ascii="Arial" w:hAnsi="Arial" w:cs="Arial"/>
          <w:sz w:val="24"/>
          <w:szCs w:val="24"/>
        </w:rPr>
        <w:t>VI - folclore e artesanato;</w:t>
      </w:r>
    </w:p>
    <w:p w:rsidR="00B14A09" w:rsidRPr="00983AAB" w:rsidRDefault="00B14A09" w:rsidP="00B14A09">
      <w:pPr>
        <w:rPr>
          <w:rFonts w:ascii="Arial" w:hAnsi="Arial" w:cs="Arial"/>
          <w:sz w:val="24"/>
          <w:szCs w:val="24"/>
        </w:rPr>
      </w:pPr>
      <w:r w:rsidRPr="00983AAB">
        <w:rPr>
          <w:rFonts w:ascii="Arial" w:hAnsi="Arial" w:cs="Arial"/>
          <w:sz w:val="24"/>
          <w:szCs w:val="24"/>
        </w:rPr>
        <w:t>VII - patrimônio cultural, inclusive histórico, arquitetônico, arqueológico, bibliotecas, museus, arquivos e demais acervos;</w:t>
      </w:r>
    </w:p>
    <w:p w:rsidR="00B14A09" w:rsidRPr="00983AAB" w:rsidRDefault="00B14A09" w:rsidP="00B14A09">
      <w:pPr>
        <w:rPr>
          <w:rFonts w:ascii="Arial" w:hAnsi="Arial" w:cs="Arial"/>
          <w:sz w:val="24"/>
          <w:szCs w:val="24"/>
        </w:rPr>
      </w:pPr>
      <w:r w:rsidRPr="00983AAB">
        <w:rPr>
          <w:rFonts w:ascii="Arial" w:hAnsi="Arial" w:cs="Arial"/>
          <w:sz w:val="24"/>
          <w:szCs w:val="24"/>
        </w:rPr>
        <w:t>VIII – humanidades; e</w:t>
      </w:r>
    </w:p>
    <w:p w:rsidR="00B14A09" w:rsidRPr="00983AAB" w:rsidRDefault="00B14A09" w:rsidP="00B14A09">
      <w:pPr>
        <w:rPr>
          <w:rFonts w:ascii="Arial" w:hAnsi="Arial" w:cs="Arial"/>
          <w:sz w:val="24"/>
          <w:szCs w:val="24"/>
        </w:rPr>
      </w:pPr>
      <w:r w:rsidRPr="00983AAB">
        <w:rPr>
          <w:rFonts w:ascii="Arial" w:hAnsi="Arial" w:cs="Arial"/>
          <w:sz w:val="24"/>
          <w:szCs w:val="24"/>
        </w:rPr>
        <w:t>IV – rádio e televisão, educativas e culturais, de caráter não-comercial.</w:t>
      </w:r>
      <w:r w:rsidRPr="00983AAB">
        <w:rPr>
          <w:rFonts w:ascii="Arial" w:hAnsi="Arial" w:cs="Arial"/>
          <w:sz w:val="24"/>
          <w:szCs w:val="24"/>
        </w:rPr>
        <w:cr/>
      </w:r>
    </w:p>
    <w:p w:rsidR="00B14A09" w:rsidRPr="00983AAB" w:rsidRDefault="00B14A09" w:rsidP="00B14A09">
      <w:pPr>
        <w:rPr>
          <w:rFonts w:ascii="Arial" w:hAnsi="Arial" w:cs="Arial"/>
          <w:b/>
          <w:sz w:val="24"/>
          <w:szCs w:val="24"/>
        </w:rPr>
      </w:pPr>
      <w:r w:rsidRPr="00983AAB">
        <w:rPr>
          <w:rFonts w:ascii="Arial" w:hAnsi="Arial" w:cs="Arial"/>
          <w:b/>
          <w:sz w:val="24"/>
          <w:szCs w:val="24"/>
        </w:rPr>
        <w:t>Doações destinadas às atividades audiovisuais</w:t>
      </w:r>
    </w:p>
    <w:p w:rsidR="00B14A09" w:rsidRPr="00983AAB" w:rsidRDefault="00B14A09" w:rsidP="00B14A09">
      <w:pPr>
        <w:rPr>
          <w:rFonts w:ascii="Arial" w:hAnsi="Arial" w:cs="Arial"/>
          <w:sz w:val="24"/>
          <w:szCs w:val="24"/>
        </w:rPr>
      </w:pPr>
      <w:r w:rsidRPr="00983AAB">
        <w:rPr>
          <w:rFonts w:ascii="Arial" w:hAnsi="Arial" w:cs="Arial"/>
          <w:sz w:val="24"/>
          <w:szCs w:val="24"/>
        </w:rPr>
        <w:t>A Lei no 8.685/93, (Lei do Audiovisual), com as alterações introduzidas pela Lei no 9.323/96, criou os mecanismos de fomento à atividade audiovisual. Assim, os contribuintes, pessoas físicas e jurídicas, podem deduzir do imposto de renda devido, até o exercício fiscal de 2006 (Medida Provisória no 2.228/2001), as quantias referentes a investimentos feitos na produção de obras audiovisuais cinematográficas de produção independente. Para a utilização do incentivo fiscal, deve-se adquirir quotas representativas dedireito de comercialização sobre as obras audiovisuais beneficiadas, desde que os investimentos sejam realizados:</w:t>
      </w:r>
    </w:p>
    <w:p w:rsidR="00B14A09" w:rsidRPr="00983AAB" w:rsidRDefault="00B14A09" w:rsidP="00B14A09">
      <w:pPr>
        <w:rPr>
          <w:rFonts w:ascii="Arial" w:hAnsi="Arial" w:cs="Arial"/>
          <w:sz w:val="24"/>
          <w:szCs w:val="24"/>
        </w:rPr>
      </w:pPr>
      <w:r w:rsidRPr="00983AAB">
        <w:rPr>
          <w:rFonts w:ascii="Arial" w:hAnsi="Arial" w:cs="Arial"/>
          <w:sz w:val="24"/>
          <w:szCs w:val="24"/>
        </w:rPr>
        <w:t>a) no mercado de capitais;</w:t>
      </w:r>
    </w:p>
    <w:p w:rsidR="00B14A09" w:rsidRPr="00983AAB" w:rsidRDefault="00B14A09" w:rsidP="00B14A09">
      <w:pPr>
        <w:rPr>
          <w:rFonts w:ascii="Arial" w:hAnsi="Arial" w:cs="Arial"/>
          <w:sz w:val="24"/>
          <w:szCs w:val="24"/>
        </w:rPr>
      </w:pPr>
      <w:r w:rsidRPr="00983AAB">
        <w:rPr>
          <w:rFonts w:ascii="Arial" w:hAnsi="Arial" w:cs="Arial"/>
          <w:sz w:val="24"/>
          <w:szCs w:val="24"/>
        </w:rPr>
        <w:t>b) em ativos previstos em lei e autorizados pela Comissão de Valores Mobiliários;</w:t>
      </w:r>
    </w:p>
    <w:p w:rsidR="00B14A09" w:rsidRPr="00983AAB" w:rsidRDefault="00B14A09" w:rsidP="00B14A09">
      <w:pPr>
        <w:rPr>
          <w:rFonts w:ascii="Arial" w:hAnsi="Arial" w:cs="Arial"/>
          <w:sz w:val="24"/>
          <w:szCs w:val="24"/>
        </w:rPr>
      </w:pPr>
      <w:r w:rsidRPr="00983AAB">
        <w:rPr>
          <w:rFonts w:ascii="Arial" w:hAnsi="Arial" w:cs="Arial"/>
          <w:sz w:val="24"/>
          <w:szCs w:val="24"/>
        </w:rPr>
        <w:t>c) os projetos de produção tenham sido previamente aprovados pelo Ministério da Cultura.</w:t>
      </w:r>
    </w:p>
    <w:p w:rsidR="00B14A09" w:rsidRPr="00983AAB" w:rsidRDefault="00B14A09" w:rsidP="00B14A09">
      <w:pPr>
        <w:rPr>
          <w:rFonts w:ascii="Arial" w:hAnsi="Arial" w:cs="Arial"/>
          <w:sz w:val="24"/>
          <w:szCs w:val="24"/>
        </w:rPr>
      </w:pPr>
      <w:r w:rsidRPr="00983AAB">
        <w:rPr>
          <w:rFonts w:ascii="Arial" w:hAnsi="Arial" w:cs="Arial"/>
          <w:sz w:val="24"/>
          <w:szCs w:val="24"/>
        </w:rPr>
        <w:t>A dedução está limitada a 6% do imposto devido pelas pessoas físicas e a 3% do imposto devido pelas pessoas jurídicas, tributadas pelo lucro real.</w:t>
      </w:r>
    </w:p>
    <w:p w:rsidR="00B14A09" w:rsidRPr="00983AAB" w:rsidRDefault="00B14A09" w:rsidP="00B14A09">
      <w:pPr>
        <w:rPr>
          <w:rFonts w:ascii="Arial" w:hAnsi="Arial" w:cs="Arial"/>
          <w:b/>
          <w:sz w:val="24"/>
          <w:szCs w:val="24"/>
        </w:rPr>
      </w:pPr>
      <w:r w:rsidRPr="00983AAB">
        <w:rPr>
          <w:rFonts w:ascii="Arial" w:hAnsi="Arial" w:cs="Arial"/>
          <w:b/>
          <w:sz w:val="24"/>
          <w:szCs w:val="24"/>
        </w:rPr>
        <w:t>Doações às entidades civis, sem fins lucrativos, qualificadas como</w:t>
      </w:r>
    </w:p>
    <w:p w:rsidR="00B14A09" w:rsidRPr="00983AAB" w:rsidRDefault="00B14A09" w:rsidP="00B14A09">
      <w:pPr>
        <w:rPr>
          <w:rFonts w:ascii="Arial" w:hAnsi="Arial" w:cs="Arial"/>
          <w:sz w:val="24"/>
          <w:szCs w:val="24"/>
        </w:rPr>
      </w:pPr>
      <w:r w:rsidRPr="00983AAB">
        <w:rPr>
          <w:rFonts w:ascii="Arial" w:hAnsi="Arial" w:cs="Arial"/>
          <w:sz w:val="24"/>
          <w:szCs w:val="24"/>
        </w:rPr>
        <w:t>ORGANIZAÇÕES DA SOCIEDADE CIVIL DE INTERESSE PÚBLICO (OSCIPs) ou de UTILIDADE PÚBLICA FEDERAL</w:t>
      </w:r>
    </w:p>
    <w:p w:rsidR="00B14A09" w:rsidRPr="00983AAB" w:rsidRDefault="00B14A09" w:rsidP="00B14A09">
      <w:pPr>
        <w:rPr>
          <w:rFonts w:ascii="Arial" w:hAnsi="Arial" w:cs="Arial"/>
          <w:sz w:val="24"/>
          <w:szCs w:val="24"/>
        </w:rPr>
      </w:pPr>
      <w:r w:rsidRPr="00983AAB">
        <w:rPr>
          <w:rFonts w:ascii="Arial" w:hAnsi="Arial" w:cs="Arial"/>
          <w:sz w:val="24"/>
          <w:szCs w:val="24"/>
        </w:rPr>
        <w:t xml:space="preserve">Conforme antes ressaltado, apenas as pessoas jurídicas podem utilizar incentivos fiscais nas doações diretas para entidades sem fins lucrativos de </w:t>
      </w:r>
      <w:r w:rsidRPr="00983AAB">
        <w:rPr>
          <w:rFonts w:ascii="Arial" w:hAnsi="Arial" w:cs="Arial"/>
          <w:sz w:val="24"/>
          <w:szCs w:val="24"/>
        </w:rPr>
        <w:lastRenderedPageBreak/>
        <w:t>qualquer natureza. OSCIPs. A lei no 9.790/99 trata da qualificação de pessoas jurídicas de direito privado (associações ou fundações) sem fins lucrativos como OSCIPs. Entidades assim qualificadas passam a ter uma nova forma de relacionamento com a Administração Pública (municipal, estadual e federal), via Termo de Parceria, instrumento que visa à formação de vínculo de cooperação entre as partes para o fomento e a execução das atividades de interesse público.</w:t>
      </w:r>
    </w:p>
    <w:p w:rsidR="00B14A09" w:rsidRPr="00983AAB" w:rsidRDefault="00B14A09" w:rsidP="00B14A09">
      <w:pPr>
        <w:rPr>
          <w:rFonts w:ascii="Arial" w:hAnsi="Arial" w:cs="Arial"/>
          <w:b/>
          <w:sz w:val="24"/>
          <w:szCs w:val="24"/>
        </w:rPr>
      </w:pPr>
      <w:r w:rsidRPr="00983AAB">
        <w:rPr>
          <w:rFonts w:ascii="Arial" w:hAnsi="Arial" w:cs="Arial"/>
          <w:b/>
          <w:sz w:val="24"/>
          <w:szCs w:val="24"/>
        </w:rPr>
        <w:t>Doações destinadas às instituições de ensino e pesquisa</w:t>
      </w:r>
    </w:p>
    <w:p w:rsidR="00B14A09" w:rsidRPr="00983AAB" w:rsidRDefault="00B14A09" w:rsidP="00B14A09">
      <w:pPr>
        <w:rPr>
          <w:rFonts w:ascii="Arial" w:hAnsi="Arial" w:cs="Arial"/>
          <w:sz w:val="24"/>
          <w:szCs w:val="24"/>
        </w:rPr>
      </w:pPr>
      <w:r w:rsidRPr="00983AAB">
        <w:rPr>
          <w:rFonts w:ascii="Arial" w:hAnsi="Arial" w:cs="Arial"/>
          <w:sz w:val="24"/>
          <w:szCs w:val="24"/>
        </w:rPr>
        <w:t>Nos termos da Lei nº 9.249/95, o valor das doações efetuadas a instituições de ensino e pesquisa podem ser deduzidas até o limite de 1,5% do lucro operacional, desde que preencham os requisitos dos incisos I e II do artigo213 da Constituição Federal, a seguir transcrito:</w:t>
      </w:r>
    </w:p>
    <w:p w:rsidR="00B14A09" w:rsidRPr="00983AAB" w:rsidRDefault="00B14A09" w:rsidP="00B14A09">
      <w:pPr>
        <w:rPr>
          <w:rFonts w:ascii="Arial" w:hAnsi="Arial" w:cs="Arial"/>
          <w:sz w:val="24"/>
          <w:szCs w:val="24"/>
        </w:rPr>
      </w:pPr>
      <w:r w:rsidRPr="00983AAB">
        <w:rPr>
          <w:rFonts w:ascii="Arial" w:hAnsi="Arial" w:cs="Arial"/>
          <w:sz w:val="24"/>
          <w:szCs w:val="24"/>
        </w:rPr>
        <w:t>Art. 213. Os recursos públicos serão destinados às escolas públicas, podendo ser dirigidos às escolas comunitárias, confessionais ou filantrópicas, definidas em lei, que:</w:t>
      </w:r>
    </w:p>
    <w:p w:rsidR="00B14A09" w:rsidRPr="00983AAB" w:rsidRDefault="00B14A09" w:rsidP="00B14A09">
      <w:pPr>
        <w:rPr>
          <w:rFonts w:ascii="Arial" w:hAnsi="Arial" w:cs="Arial"/>
          <w:sz w:val="24"/>
          <w:szCs w:val="24"/>
        </w:rPr>
      </w:pPr>
      <w:r w:rsidRPr="00983AAB">
        <w:rPr>
          <w:rFonts w:ascii="Arial" w:hAnsi="Arial" w:cs="Arial"/>
          <w:sz w:val="24"/>
          <w:szCs w:val="24"/>
        </w:rPr>
        <w:t>I – comprovem finalidade não-lucrativa e apliquem seus excedentes financeiros em educação;</w:t>
      </w:r>
    </w:p>
    <w:p w:rsidR="00B14A09" w:rsidRPr="00983AAB" w:rsidRDefault="00B14A09" w:rsidP="00B14A09">
      <w:pPr>
        <w:rPr>
          <w:rFonts w:ascii="Arial" w:hAnsi="Arial" w:cs="Arial"/>
          <w:sz w:val="24"/>
          <w:szCs w:val="24"/>
        </w:rPr>
      </w:pPr>
      <w:r w:rsidRPr="00983AAB">
        <w:rPr>
          <w:rFonts w:ascii="Arial" w:hAnsi="Arial" w:cs="Arial"/>
          <w:sz w:val="24"/>
          <w:szCs w:val="24"/>
        </w:rPr>
        <w:t>II – assegurem a destinação de seu patrimônio a outra escola comunitária, filantrópica ou confessional, ou ao Poder Público, no caso de encerramento de suas atividades.</w:t>
      </w:r>
    </w:p>
    <w:p w:rsidR="00B14A09" w:rsidRPr="00983AAB" w:rsidRDefault="00B14A09" w:rsidP="00B14A09">
      <w:pPr>
        <w:rPr>
          <w:rFonts w:ascii="Arial" w:hAnsi="Arial" w:cs="Arial"/>
          <w:sz w:val="24"/>
          <w:szCs w:val="24"/>
        </w:rPr>
      </w:pPr>
      <w:r w:rsidRPr="00983AAB">
        <w:rPr>
          <w:rFonts w:ascii="Arial" w:hAnsi="Arial" w:cs="Arial"/>
          <w:sz w:val="24"/>
          <w:szCs w:val="24"/>
        </w:rPr>
        <w:t>Em resumo, são requisitos para a utilização desse incentivo fiscal:</w:t>
      </w:r>
    </w:p>
    <w:p w:rsidR="00B14A09" w:rsidRPr="00983AAB" w:rsidRDefault="00B14A09" w:rsidP="00B14A09">
      <w:pPr>
        <w:rPr>
          <w:rFonts w:ascii="Arial" w:hAnsi="Arial" w:cs="Arial"/>
          <w:sz w:val="24"/>
          <w:szCs w:val="24"/>
        </w:rPr>
      </w:pPr>
      <w:r w:rsidRPr="00983AAB">
        <w:rPr>
          <w:rFonts w:ascii="Arial" w:hAnsi="Arial" w:cs="Arial"/>
          <w:sz w:val="24"/>
          <w:szCs w:val="24"/>
        </w:rPr>
        <w:t> a pessoa jurídica doadora deverá ser tributada pelo regime do lucro real e poderá fazer a doação utilizando o incentivo até o limite máximo de</w:t>
      </w:r>
    </w:p>
    <w:p w:rsidR="00B14A09" w:rsidRPr="00983AAB" w:rsidRDefault="00B14A09" w:rsidP="00B14A09">
      <w:pPr>
        <w:rPr>
          <w:rFonts w:ascii="Arial" w:hAnsi="Arial" w:cs="Arial"/>
          <w:sz w:val="24"/>
          <w:szCs w:val="24"/>
        </w:rPr>
      </w:pPr>
      <w:r w:rsidRPr="00983AAB">
        <w:rPr>
          <w:rFonts w:ascii="Arial" w:hAnsi="Arial" w:cs="Arial"/>
          <w:sz w:val="24"/>
          <w:szCs w:val="24"/>
        </w:rPr>
        <w:t>1,5 % do lucro operacional, antes de computada a sua doação;</w:t>
      </w:r>
    </w:p>
    <w:p w:rsidR="00B14A09" w:rsidRPr="00983AAB" w:rsidRDefault="00B14A09" w:rsidP="00B14A09">
      <w:pPr>
        <w:rPr>
          <w:rFonts w:ascii="Arial" w:hAnsi="Arial" w:cs="Arial"/>
          <w:sz w:val="24"/>
          <w:szCs w:val="24"/>
        </w:rPr>
      </w:pPr>
      <w:r w:rsidRPr="00983AAB">
        <w:rPr>
          <w:rFonts w:ascii="Arial" w:hAnsi="Arial" w:cs="Arial"/>
          <w:sz w:val="24"/>
          <w:szCs w:val="24"/>
        </w:rPr>
        <w:t>a criação da instituição tenha sido autorizada por lei federal;</w:t>
      </w:r>
    </w:p>
    <w:p w:rsidR="00B14A09" w:rsidRPr="00983AAB" w:rsidRDefault="00B14A09" w:rsidP="00B14A09">
      <w:pPr>
        <w:rPr>
          <w:rFonts w:ascii="Arial" w:hAnsi="Arial" w:cs="Arial"/>
          <w:sz w:val="24"/>
          <w:szCs w:val="24"/>
        </w:rPr>
      </w:pPr>
      <w:r w:rsidRPr="00983AAB">
        <w:rPr>
          <w:rFonts w:ascii="Arial" w:hAnsi="Arial" w:cs="Arial"/>
          <w:sz w:val="24"/>
          <w:szCs w:val="24"/>
        </w:rPr>
        <w:t>a instituição comprove a finalidade não-lucrativa;</w:t>
      </w:r>
    </w:p>
    <w:p w:rsidR="00B14A09" w:rsidRPr="00983AAB" w:rsidRDefault="00B14A09" w:rsidP="00B14A09">
      <w:pPr>
        <w:rPr>
          <w:rFonts w:ascii="Arial" w:hAnsi="Arial" w:cs="Arial"/>
          <w:sz w:val="24"/>
          <w:szCs w:val="24"/>
        </w:rPr>
      </w:pPr>
      <w:r w:rsidRPr="00983AAB">
        <w:rPr>
          <w:rFonts w:ascii="Arial" w:hAnsi="Arial" w:cs="Arial"/>
          <w:sz w:val="24"/>
          <w:szCs w:val="24"/>
        </w:rPr>
        <w:t>a instituição aplique seus excedentes financeiros em educação;</w:t>
      </w:r>
    </w:p>
    <w:p w:rsidR="00B14A09" w:rsidRPr="00983AAB" w:rsidRDefault="00B14A09" w:rsidP="00B14A09">
      <w:pPr>
        <w:rPr>
          <w:rFonts w:ascii="Arial" w:hAnsi="Arial" w:cs="Arial"/>
          <w:sz w:val="24"/>
          <w:szCs w:val="24"/>
        </w:rPr>
      </w:pPr>
      <w:r w:rsidRPr="00983AAB">
        <w:rPr>
          <w:rFonts w:ascii="Arial" w:hAnsi="Arial" w:cs="Arial"/>
          <w:sz w:val="24"/>
          <w:szCs w:val="24"/>
        </w:rPr>
        <w:t>a instituição assegure a destinação de seu patrimônio a outra escola comunitária, filantrópica ou confessional, ou ao poder público, em caso de encerramento de suas atividades.</w:t>
      </w:r>
    </w:p>
    <w:p w:rsidR="00B14A09" w:rsidRDefault="00B14A09" w:rsidP="00B14A09">
      <w:pPr>
        <w:rPr>
          <w:rFonts w:ascii="Arial" w:hAnsi="Arial" w:cs="Arial"/>
          <w:b/>
          <w:sz w:val="24"/>
          <w:szCs w:val="24"/>
        </w:rPr>
      </w:pPr>
    </w:p>
    <w:p w:rsidR="00B14A09" w:rsidRDefault="00B14A09" w:rsidP="00B14A09">
      <w:pPr>
        <w:rPr>
          <w:rFonts w:ascii="Arial" w:hAnsi="Arial" w:cs="Arial"/>
          <w:b/>
          <w:sz w:val="24"/>
          <w:szCs w:val="24"/>
        </w:rPr>
      </w:pPr>
    </w:p>
    <w:p w:rsidR="00B14A09" w:rsidRDefault="00B14A09" w:rsidP="00B14A09">
      <w:pPr>
        <w:rPr>
          <w:rFonts w:ascii="Arial" w:hAnsi="Arial" w:cs="Arial"/>
          <w:b/>
          <w:sz w:val="24"/>
          <w:szCs w:val="24"/>
        </w:rPr>
      </w:pPr>
    </w:p>
    <w:p w:rsidR="00B14A09" w:rsidRDefault="00B14A09" w:rsidP="00B14A09">
      <w:pPr>
        <w:rPr>
          <w:rFonts w:ascii="Arial" w:hAnsi="Arial" w:cs="Arial"/>
          <w:b/>
          <w:sz w:val="24"/>
          <w:szCs w:val="24"/>
        </w:rPr>
      </w:pPr>
    </w:p>
    <w:p w:rsidR="00B14A09" w:rsidRPr="00983AAB" w:rsidRDefault="00B14A09" w:rsidP="00B14A09">
      <w:pPr>
        <w:rPr>
          <w:rFonts w:ascii="Arial" w:hAnsi="Arial" w:cs="Arial"/>
          <w:b/>
          <w:sz w:val="24"/>
          <w:szCs w:val="24"/>
        </w:rPr>
      </w:pPr>
      <w:r w:rsidRPr="00983AAB">
        <w:rPr>
          <w:rFonts w:ascii="Arial" w:hAnsi="Arial" w:cs="Arial"/>
          <w:b/>
          <w:sz w:val="24"/>
          <w:szCs w:val="24"/>
        </w:rPr>
        <w:lastRenderedPageBreak/>
        <w:t>Incentivo ao Esporte</w:t>
      </w:r>
    </w:p>
    <w:p w:rsidR="00B14A09" w:rsidRDefault="00B14A09" w:rsidP="00B14A09">
      <w:pPr>
        <w:pStyle w:val="Ttulo3"/>
        <w:spacing w:before="0"/>
        <w:rPr>
          <w:color w:val="auto"/>
          <w:sz w:val="24"/>
        </w:rPr>
      </w:pPr>
      <w:r w:rsidRPr="00B14A09">
        <w:rPr>
          <w:rFonts w:ascii="Arial" w:hAnsi="Arial" w:cs="Arial"/>
          <w:b w:val="0"/>
          <w:color w:val="000000" w:themeColor="text1"/>
          <w:sz w:val="24"/>
          <w:szCs w:val="24"/>
        </w:rPr>
        <w:t>Inspirada na Lei Rouanet, a Lei nº 11.438/06, conhecida como Lei de Incentivo ao Esporte, e o Decreto nº 6.180/07, estabelecem critérios para seleção de projetos e proporciona benefícios fiscais a pessoas físicas e</w:t>
      </w:r>
      <w:r>
        <w:rPr>
          <w:rFonts w:ascii="Arial" w:hAnsi="Arial" w:cs="Arial"/>
          <w:b w:val="0"/>
          <w:color w:val="000000" w:themeColor="text1"/>
          <w:sz w:val="24"/>
          <w:szCs w:val="24"/>
        </w:rPr>
        <w:t xml:space="preserve"> </w:t>
      </w:r>
      <w:r w:rsidRPr="00B14A09">
        <w:rPr>
          <w:rFonts w:ascii="Arial" w:hAnsi="Arial" w:cs="Arial"/>
          <w:b w:val="0"/>
          <w:color w:val="000000" w:themeColor="text1"/>
          <w:sz w:val="24"/>
          <w:szCs w:val="24"/>
        </w:rPr>
        <w:t xml:space="preserve">jurídicas que invistam em projetos desportivos e paradesportivos aprovados </w:t>
      </w:r>
      <w:bookmarkStart w:id="0" w:name="_GoBack"/>
      <w:bookmarkEnd w:id="0"/>
      <w:r w:rsidRPr="00B14A09">
        <w:rPr>
          <w:rFonts w:ascii="Arial" w:hAnsi="Arial" w:cs="Arial"/>
          <w:b w:val="0"/>
          <w:color w:val="000000" w:themeColor="text1"/>
          <w:sz w:val="24"/>
          <w:szCs w:val="24"/>
        </w:rPr>
        <w:t>previamente pelo Ministério do Esporte</w:t>
      </w:r>
      <w:r w:rsidRPr="00983AAB">
        <w:rPr>
          <w:rFonts w:ascii="Arial" w:hAnsi="Arial" w:cs="Arial"/>
          <w:sz w:val="24"/>
          <w:szCs w:val="24"/>
        </w:rPr>
        <w:t>.</w:t>
      </w:r>
      <w:r w:rsidRPr="00983AAB">
        <w:rPr>
          <w:rFonts w:ascii="Arial" w:hAnsi="Arial" w:cs="Arial"/>
          <w:sz w:val="24"/>
          <w:szCs w:val="24"/>
        </w:rPr>
        <w:cr/>
      </w:r>
    </w:p>
    <w:p w:rsidR="0071184B" w:rsidRDefault="0071184B"/>
    <w:p w:rsidR="0071184B" w:rsidRDefault="00247600">
      <w:pPr>
        <w:pStyle w:val="Ttulo4"/>
      </w:pPr>
      <w:r>
        <w:t>4.1.5.1. Dedu</w:t>
      </w:r>
      <w:r>
        <w:t>çã</w:t>
      </w:r>
      <w:r>
        <w:t>o de cirurgias pl</w:t>
      </w:r>
      <w:r>
        <w:t>á</w:t>
      </w:r>
      <w:r>
        <w:t>sticas</w:t>
      </w:r>
    </w:p>
    <w:p w:rsidR="0071184B" w:rsidRDefault="0071184B">
      <w:pPr>
        <w:spacing w:after="0" w:line="240" w:lineRule="auto"/>
      </w:pPr>
    </w:p>
    <w:p w:rsidR="0071184B" w:rsidRDefault="00247600">
      <w:pPr>
        <w:spacing w:after="0" w:line="360" w:lineRule="auto"/>
        <w:ind w:firstLine="567"/>
        <w:jc w:val="both"/>
        <w:rPr>
          <w:rFonts w:ascii="Arial" w:hAnsi="Arial" w:cs="Arial"/>
          <w:sz w:val="24"/>
        </w:rPr>
      </w:pPr>
      <w:r>
        <w:rPr>
          <w:rFonts w:ascii="Arial" w:hAnsi="Arial" w:cs="Arial"/>
          <w:sz w:val="24"/>
        </w:rPr>
        <w:t xml:space="preserve">Importante dar a devida vênia a um tema que outrora era amplamente discutido,a possibilidade de deduzir da </w:t>
      </w:r>
      <w:r>
        <w:rPr>
          <w:rFonts w:ascii="Arial" w:hAnsi="Arial" w:cs="Arial"/>
          <w:i/>
          <w:sz w:val="24"/>
        </w:rPr>
        <w:t>Base de Cálculo</w:t>
      </w:r>
      <w:r>
        <w:rPr>
          <w:rFonts w:ascii="Arial" w:hAnsi="Arial" w:cs="Arial"/>
          <w:sz w:val="24"/>
        </w:rPr>
        <w:t xml:space="preserve"> do Imposto de Renda,as Cirurgias Plásticas, mesmo as que não tenham uma finalidade reparadora, era tema controvertido entre estudiosos. </w:t>
      </w:r>
    </w:p>
    <w:p w:rsidR="0071184B" w:rsidRDefault="00247600">
      <w:pPr>
        <w:spacing w:after="0" w:line="360" w:lineRule="auto"/>
        <w:ind w:firstLine="567"/>
        <w:jc w:val="both"/>
        <w:rPr>
          <w:rFonts w:ascii="Arial" w:hAnsi="Arial" w:cs="Arial"/>
          <w:sz w:val="24"/>
        </w:rPr>
      </w:pPr>
      <w:r>
        <w:rPr>
          <w:rFonts w:ascii="Arial" w:hAnsi="Arial" w:cs="Arial"/>
          <w:sz w:val="24"/>
        </w:rPr>
        <w:t>Recentemente a Receita Federal do Brasil decidiu por fim à discussão alterando o a interpretação da legislação tributária, sobre o tema entendendo ser possível a dedução da base de calculo do imposto de renda, por conta destas cirurgias, sob o argumento de que estas possuem a finalidade reparadora da saúde mental do paciente. Tema este que é desconhecido até os dias de hoje, por grande parte dos profissionais da área. Como se pode ver no seguinte trecho, extraído, no portal da RFB:</w:t>
      </w:r>
    </w:p>
    <w:p w:rsidR="0071184B" w:rsidRDefault="0071184B">
      <w:pPr>
        <w:spacing w:after="0" w:line="240" w:lineRule="auto"/>
        <w:ind w:firstLine="567"/>
        <w:jc w:val="both"/>
        <w:rPr>
          <w:rFonts w:ascii="Arial" w:hAnsi="Arial" w:cs="Arial"/>
          <w:sz w:val="24"/>
        </w:rPr>
      </w:pPr>
    </w:p>
    <w:p w:rsidR="000B0372" w:rsidRDefault="00247600">
      <w:pPr>
        <w:pStyle w:val="NormalWeb"/>
        <w:shd w:val="clear" w:color="auto" w:fill="FFFFFF"/>
        <w:spacing w:before="0" w:after="0"/>
        <w:ind w:left="2268"/>
        <w:jc w:val="both"/>
        <w:rPr>
          <w:rFonts w:ascii="Arial" w:hAnsi="Arial" w:cs="Arial"/>
          <w:color w:val="000000"/>
          <w:sz w:val="20"/>
          <w:szCs w:val="21"/>
        </w:rPr>
      </w:pPr>
      <w:r>
        <w:rPr>
          <w:rFonts w:ascii="Arial" w:hAnsi="Arial" w:cs="Arial"/>
          <w:color w:val="000000"/>
          <w:sz w:val="20"/>
          <w:szCs w:val="21"/>
        </w:rPr>
        <w:t>“São dedutíveis da base de cálculo do</w:t>
      </w:r>
      <w:r>
        <w:rPr>
          <w:rStyle w:val="apple-converted-space"/>
          <w:rFonts w:ascii="Arial" w:hAnsi="Arial" w:cs="Arial"/>
          <w:color w:val="000000"/>
          <w:sz w:val="20"/>
          <w:szCs w:val="21"/>
        </w:rPr>
        <w:t> </w:t>
      </w:r>
      <w:r>
        <w:rPr>
          <w:rStyle w:val="highlight"/>
          <w:rFonts w:ascii="Arial" w:hAnsi="Arial" w:cs="Arial"/>
          <w:color w:val="000000"/>
          <w:sz w:val="20"/>
          <w:szCs w:val="21"/>
        </w:rPr>
        <w:t>IRPF</w:t>
      </w:r>
      <w:r>
        <w:rPr>
          <w:rStyle w:val="apple-converted-space"/>
          <w:rFonts w:ascii="Arial" w:hAnsi="Arial" w:cs="Arial"/>
          <w:color w:val="000000"/>
          <w:sz w:val="20"/>
          <w:szCs w:val="21"/>
        </w:rPr>
        <w:t> </w:t>
      </w:r>
      <w:r>
        <w:rPr>
          <w:rFonts w:ascii="Arial" w:hAnsi="Arial" w:cs="Arial"/>
          <w:color w:val="000000"/>
          <w:sz w:val="20"/>
          <w:szCs w:val="21"/>
        </w:rPr>
        <w:t xml:space="preserve">as despesas médicas comprovadas independentemente da especialidade, inclusive as </w:t>
      </w:r>
    </w:p>
    <w:p w:rsidR="0071184B" w:rsidRDefault="00247600" w:rsidP="000B0372">
      <w:pPr>
        <w:pStyle w:val="NormalWeb"/>
        <w:shd w:val="clear" w:color="auto" w:fill="FFFFFF"/>
        <w:spacing w:before="0" w:after="0"/>
        <w:ind w:left="2268"/>
        <w:jc w:val="both"/>
        <w:rPr>
          <w:rFonts w:ascii="Arial" w:hAnsi="Arial" w:cs="Arial"/>
          <w:color w:val="000000"/>
          <w:sz w:val="20"/>
          <w:szCs w:val="21"/>
        </w:rPr>
      </w:pPr>
      <w:r>
        <w:rPr>
          <w:rFonts w:ascii="Arial" w:hAnsi="Arial" w:cs="Arial"/>
          <w:color w:val="000000"/>
          <w:sz w:val="20"/>
          <w:szCs w:val="21"/>
        </w:rPr>
        <w:t>relativas à realização de cirurgia plástica, reparadora ou não, com a finalidade de prevenir, manter ou recuperar a saúde, física ou mental, do paciente.As despesas com prótese de silicone não são dedutíveis, exceto quando o valor dela integrar a conta emitida pelo estabelecimento hospitalar relativamente a uma despesa médica dedutível”.</w:t>
      </w:r>
    </w:p>
    <w:p w:rsidR="0071184B" w:rsidRDefault="0071184B">
      <w:pPr>
        <w:spacing w:after="0" w:line="240" w:lineRule="auto"/>
        <w:rPr>
          <w:sz w:val="20"/>
        </w:rPr>
      </w:pPr>
    </w:p>
    <w:p w:rsidR="0071184B" w:rsidRDefault="00247600">
      <w:pPr>
        <w:pStyle w:val="Ttulo2"/>
        <w:spacing w:before="0"/>
        <w:ind w:left="792"/>
        <w:rPr>
          <w:color w:val="auto"/>
          <w:sz w:val="24"/>
        </w:rPr>
      </w:pPr>
      <w:r>
        <w:rPr>
          <w:color w:val="auto"/>
          <w:sz w:val="24"/>
        </w:rPr>
        <w:t>4.2. Pessoa f</w:t>
      </w:r>
      <w:r>
        <w:rPr>
          <w:color w:val="auto"/>
          <w:sz w:val="24"/>
        </w:rPr>
        <w:t>í</w:t>
      </w:r>
      <w:r>
        <w:rPr>
          <w:color w:val="auto"/>
          <w:sz w:val="24"/>
        </w:rPr>
        <w:t>sica</w:t>
      </w:r>
    </w:p>
    <w:p w:rsidR="0071184B" w:rsidRDefault="0071184B">
      <w:pPr>
        <w:pStyle w:val="PargrafodaLista"/>
        <w:spacing w:after="0"/>
        <w:ind w:left="1095"/>
      </w:pPr>
    </w:p>
    <w:p w:rsidR="0071184B" w:rsidRDefault="00247600">
      <w:pPr>
        <w:pStyle w:val="Ttulo3"/>
        <w:spacing w:before="0"/>
        <w:ind w:left="1224"/>
        <w:rPr>
          <w:color w:val="auto"/>
          <w:sz w:val="24"/>
        </w:rPr>
      </w:pPr>
      <w:r>
        <w:rPr>
          <w:color w:val="auto"/>
        </w:rPr>
        <w:t>4.2.1.</w:t>
      </w:r>
      <w:r>
        <w:rPr>
          <w:color w:val="auto"/>
          <w:sz w:val="24"/>
        </w:rPr>
        <w:t>Declara</w:t>
      </w:r>
      <w:r>
        <w:rPr>
          <w:color w:val="auto"/>
          <w:sz w:val="24"/>
        </w:rPr>
        <w:t>çã</w:t>
      </w:r>
      <w:r>
        <w:rPr>
          <w:color w:val="auto"/>
          <w:sz w:val="24"/>
        </w:rPr>
        <w:t>o Simplificada</w:t>
      </w:r>
    </w:p>
    <w:p w:rsidR="00FF210C" w:rsidRDefault="00FF210C">
      <w:pPr>
        <w:pStyle w:val="Ttulo3"/>
        <w:spacing w:before="0"/>
        <w:ind w:left="1224"/>
        <w:rPr>
          <w:color w:val="auto"/>
          <w:sz w:val="24"/>
        </w:rPr>
      </w:pPr>
    </w:p>
    <w:p w:rsidR="00FF210C" w:rsidRPr="00EE1ED4" w:rsidRDefault="00FF210C" w:rsidP="00FF210C">
      <w:pPr>
        <w:spacing w:before="100" w:beforeAutospacing="1" w:after="100" w:afterAutospacing="1" w:line="360" w:lineRule="auto"/>
        <w:rPr>
          <w:rFonts w:ascii="Arial" w:hAnsi="Arial" w:cs="Arial"/>
          <w:color w:val="000000"/>
          <w:sz w:val="24"/>
          <w:szCs w:val="24"/>
        </w:rPr>
      </w:pPr>
      <w:r>
        <w:rPr>
          <w:rFonts w:ascii="Arial" w:hAnsi="Arial" w:cs="Arial"/>
          <w:color w:val="000000"/>
          <w:sz w:val="24"/>
          <w:szCs w:val="24"/>
        </w:rPr>
        <w:t>Modelo Simplificado:</w:t>
      </w:r>
      <w:r w:rsidRPr="00EE1ED4">
        <w:rPr>
          <w:rFonts w:ascii="Arial" w:hAnsi="Arial" w:cs="Arial"/>
          <w:color w:val="000000"/>
          <w:sz w:val="24"/>
          <w:szCs w:val="24"/>
        </w:rPr>
        <w:t xml:space="preserve"> o contribuinte substitui todas as deduções legais da declaração </w:t>
      </w:r>
      <w:r>
        <w:rPr>
          <w:rFonts w:ascii="Arial" w:hAnsi="Arial" w:cs="Arial"/>
          <w:color w:val="000000"/>
          <w:sz w:val="24"/>
          <w:szCs w:val="24"/>
        </w:rPr>
        <w:t>do</w:t>
      </w:r>
      <w:r w:rsidRPr="00EE1ED4">
        <w:rPr>
          <w:rFonts w:ascii="Arial" w:hAnsi="Arial" w:cs="Arial"/>
          <w:color w:val="000000"/>
          <w:sz w:val="24"/>
          <w:szCs w:val="24"/>
        </w:rPr>
        <w:t xml:space="preserve"> modelo completo pelo desconto </w:t>
      </w:r>
      <w:r>
        <w:rPr>
          <w:rFonts w:ascii="Arial" w:hAnsi="Arial" w:cs="Arial"/>
          <w:color w:val="000000"/>
          <w:sz w:val="24"/>
          <w:szCs w:val="24"/>
        </w:rPr>
        <w:t xml:space="preserve">da </w:t>
      </w:r>
      <w:r w:rsidRPr="00EE1ED4">
        <w:rPr>
          <w:rFonts w:ascii="Arial" w:hAnsi="Arial" w:cs="Arial"/>
          <w:color w:val="000000"/>
          <w:sz w:val="24"/>
          <w:szCs w:val="24"/>
        </w:rPr>
        <w:t>simplificado</w:t>
      </w:r>
      <w:r>
        <w:rPr>
          <w:rFonts w:ascii="Arial" w:hAnsi="Arial" w:cs="Arial"/>
          <w:color w:val="000000"/>
          <w:sz w:val="24"/>
          <w:szCs w:val="24"/>
        </w:rPr>
        <w:t>, que é de</w:t>
      </w:r>
      <w:r w:rsidRPr="00EE1ED4">
        <w:rPr>
          <w:rFonts w:ascii="Arial" w:hAnsi="Arial" w:cs="Arial"/>
          <w:color w:val="000000"/>
          <w:sz w:val="24"/>
          <w:szCs w:val="24"/>
        </w:rPr>
        <w:t xml:space="preserve"> 20% </w:t>
      </w:r>
      <w:r w:rsidRPr="00EE1ED4">
        <w:rPr>
          <w:rFonts w:ascii="Arial" w:hAnsi="Arial" w:cs="Arial"/>
          <w:color w:val="000000"/>
          <w:sz w:val="24"/>
          <w:szCs w:val="24"/>
        </w:rPr>
        <w:lastRenderedPageBreak/>
        <w:t>dos rendimentos tributáveis na declaração, com um limite que é variável anualmente, sem a necessidade de comprovação dos desembolsos deduzidos.</w:t>
      </w:r>
    </w:p>
    <w:p w:rsidR="00FF210C" w:rsidRPr="003E338B" w:rsidRDefault="00FF210C" w:rsidP="00FF210C">
      <w:p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Pr>
        <w:t xml:space="preserve">O valor utilizado </w:t>
      </w:r>
      <w:r w:rsidRPr="00EE1ED4">
        <w:rPr>
          <w:rFonts w:ascii="Arial" w:hAnsi="Arial" w:cs="Arial"/>
          <w:color w:val="000000"/>
          <w:sz w:val="24"/>
          <w:szCs w:val="24"/>
        </w:rPr>
        <w:t>não justifica variação patrimonial, sendo considerado rendimento consumido. Assim, somente 80% da renda tributável, ou a diferença entre a renda tributável e a dedução máxima permitida, somados aos rendimentos não tributáveis ou tributáveis exclusivamente na fonte, é que poderão justificar o acréscimo patrimonia</w:t>
      </w:r>
      <w:r>
        <w:rPr>
          <w:rFonts w:ascii="Arial" w:hAnsi="Arial" w:cs="Arial"/>
          <w:color w:val="000000"/>
          <w:sz w:val="24"/>
          <w:szCs w:val="24"/>
        </w:rPr>
        <w:t xml:space="preserve">l. </w:t>
      </w:r>
    </w:p>
    <w:p w:rsidR="00FF210C" w:rsidRDefault="00FF210C" w:rsidP="00FF210C">
      <w:pPr>
        <w:spacing w:before="100" w:beforeAutospacing="1" w:after="100" w:afterAutospacing="1" w:line="360" w:lineRule="auto"/>
        <w:jc w:val="both"/>
        <w:rPr>
          <w:rFonts w:ascii="Arial" w:hAnsi="Arial" w:cs="Arial"/>
          <w:color w:val="000000"/>
          <w:sz w:val="24"/>
          <w:szCs w:val="24"/>
        </w:rPr>
      </w:pPr>
      <w:r w:rsidRPr="00EE1ED4">
        <w:rPr>
          <w:rFonts w:ascii="Arial" w:hAnsi="Arial" w:cs="Arial"/>
          <w:color w:val="000000"/>
          <w:sz w:val="24"/>
          <w:szCs w:val="24"/>
        </w:rPr>
        <w:t>Na maioria das vezes, estes contribuintes pod</w:t>
      </w:r>
      <w:r>
        <w:rPr>
          <w:rFonts w:ascii="Arial" w:hAnsi="Arial" w:cs="Arial"/>
          <w:color w:val="000000"/>
          <w:sz w:val="24"/>
          <w:szCs w:val="24"/>
        </w:rPr>
        <w:t xml:space="preserve">erão ter uma restituição maior </w:t>
      </w:r>
      <w:r w:rsidRPr="00EE1ED4">
        <w:rPr>
          <w:rFonts w:ascii="Arial" w:hAnsi="Arial" w:cs="Arial"/>
          <w:color w:val="000000"/>
          <w:sz w:val="24"/>
          <w:szCs w:val="24"/>
        </w:rPr>
        <w:t>ou menor imposto a pagar.</w:t>
      </w:r>
    </w:p>
    <w:p w:rsidR="00F51D70" w:rsidRDefault="00F51D70" w:rsidP="00F51D70">
      <w:pPr>
        <w:pStyle w:val="NormalWeb"/>
        <w:rPr>
          <w:rFonts w:ascii="Arial" w:hAnsi="Arial" w:cs="Arial"/>
          <w:color w:val="000000"/>
        </w:rPr>
      </w:pPr>
      <w:r w:rsidRPr="003E338B">
        <w:rPr>
          <w:rFonts w:ascii="Arial" w:hAnsi="Arial" w:cs="Arial"/>
          <w:color w:val="000000"/>
        </w:rPr>
        <w:t xml:space="preserve">Base de calculo </w:t>
      </w:r>
    </w:p>
    <w:p w:rsidR="00F51D70" w:rsidRPr="003E338B" w:rsidRDefault="00F51D70" w:rsidP="00F51D70">
      <w:pPr>
        <w:pStyle w:val="NormalWeb"/>
        <w:numPr>
          <w:ilvl w:val="0"/>
          <w:numId w:val="11"/>
        </w:numPr>
        <w:spacing w:line="360" w:lineRule="auto"/>
        <w:rPr>
          <w:rFonts w:ascii="Arial" w:hAnsi="Arial" w:cs="Arial"/>
          <w:color w:val="000000"/>
        </w:rPr>
      </w:pPr>
      <w:r w:rsidRPr="003E338B">
        <w:rPr>
          <w:rFonts w:ascii="Arial" w:hAnsi="Arial" w:cs="Arial"/>
          <w:color w:val="000000"/>
        </w:rPr>
        <w:t xml:space="preserve">Para fazer os cálculos do Imposto de Renda devido ou a restituir pela simplificada basta somar os rendimentos tributados e multiplicar por 20%, </w:t>
      </w:r>
      <w:r>
        <w:rPr>
          <w:rFonts w:ascii="Arial" w:hAnsi="Arial" w:cs="Arial"/>
          <w:color w:val="000000"/>
        </w:rPr>
        <w:t>até</w:t>
      </w:r>
      <w:r w:rsidRPr="003E338B">
        <w:rPr>
          <w:rFonts w:ascii="Arial" w:hAnsi="Arial" w:cs="Arial"/>
          <w:color w:val="000000"/>
        </w:rPr>
        <w:t xml:space="preserve"> o limite de R$ 16754,34, esse valor pode ser deduzidos sem nenhuma comprovação.</w:t>
      </w:r>
    </w:p>
    <w:p w:rsidR="00F51D70" w:rsidRPr="00781701" w:rsidRDefault="00F51D70" w:rsidP="00F51D70">
      <w:pPr>
        <w:pStyle w:val="NormalWeb"/>
        <w:numPr>
          <w:ilvl w:val="0"/>
          <w:numId w:val="11"/>
        </w:numPr>
        <w:spacing w:line="360" w:lineRule="auto"/>
        <w:rPr>
          <w:rFonts w:ascii="Arial" w:hAnsi="Arial" w:cs="Arial"/>
          <w:color w:val="000000"/>
        </w:rPr>
      </w:pPr>
      <w:r w:rsidRPr="003E338B">
        <w:rPr>
          <w:rFonts w:ascii="Arial" w:hAnsi="Arial" w:cs="Arial"/>
          <w:color w:val="000000"/>
        </w:rPr>
        <w:t xml:space="preserve">O total dos rendimentos tributados menos o desconto padrão (20% dos rendimentos tributados ou o R$16.754,34 dos dois o menor), será a base de cálculo. </w:t>
      </w:r>
    </w:p>
    <w:p w:rsidR="00F51D70" w:rsidRPr="003E338B" w:rsidRDefault="00F51D70" w:rsidP="00F51D70">
      <w:pPr>
        <w:pStyle w:val="NormalWeb"/>
        <w:rPr>
          <w:rFonts w:ascii="Arial" w:hAnsi="Arial" w:cs="Arial"/>
          <w:color w:val="000000"/>
        </w:rPr>
      </w:pPr>
      <w:r w:rsidRPr="003E338B">
        <w:rPr>
          <w:rFonts w:ascii="Arial" w:hAnsi="Arial" w:cs="Arial"/>
          <w:color w:val="000000"/>
        </w:rPr>
        <w:t>Calculo do IR devido ou a restituir pelo simplificado</w:t>
      </w:r>
    </w:p>
    <w:p w:rsidR="00F51D70" w:rsidRDefault="00F51D70" w:rsidP="00D530E7">
      <w:pPr>
        <w:spacing w:before="100" w:beforeAutospacing="1" w:after="100" w:afterAutospacing="1" w:line="360" w:lineRule="auto"/>
        <w:jc w:val="center"/>
        <w:rPr>
          <w:rFonts w:ascii="Arial" w:hAnsi="Arial" w:cs="Arial"/>
          <w:color w:val="000000"/>
          <w:sz w:val="24"/>
          <w:szCs w:val="24"/>
        </w:rPr>
      </w:pPr>
      <w:r w:rsidRPr="00F51D70">
        <w:rPr>
          <w:rFonts w:ascii="Arial" w:hAnsi="Arial" w:cs="Arial"/>
          <w:color w:val="000000"/>
          <w:sz w:val="24"/>
          <w:szCs w:val="24"/>
        </w:rPr>
        <w:drawing>
          <wp:inline distT="0" distB="0" distL="0" distR="0">
            <wp:extent cx="4600575" cy="1133475"/>
            <wp:effectExtent l="0" t="0" r="9525" b="9525"/>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1133475"/>
                    </a:xfrm>
                    <a:prstGeom prst="rect">
                      <a:avLst/>
                    </a:prstGeom>
                    <a:noFill/>
                    <a:ln>
                      <a:noFill/>
                    </a:ln>
                  </pic:spPr>
                </pic:pic>
              </a:graphicData>
            </a:graphic>
          </wp:inline>
        </w:drawing>
      </w:r>
    </w:p>
    <w:p w:rsidR="00F51D70" w:rsidRDefault="00F51D70" w:rsidP="00F51D70">
      <w:pPr>
        <w:pStyle w:val="NormalWeb"/>
        <w:rPr>
          <w:rFonts w:ascii="Arial" w:hAnsi="Arial" w:cs="Arial"/>
          <w:color w:val="000000"/>
        </w:rPr>
      </w:pPr>
    </w:p>
    <w:p w:rsidR="00F51D70" w:rsidRDefault="00F51D70" w:rsidP="00F51D70">
      <w:pPr>
        <w:pStyle w:val="NormalWeb"/>
        <w:rPr>
          <w:rFonts w:ascii="Arial" w:hAnsi="Arial" w:cs="Arial"/>
          <w:color w:val="000000"/>
        </w:rPr>
      </w:pPr>
    </w:p>
    <w:p w:rsidR="00F51D70" w:rsidRDefault="00F51D70" w:rsidP="00F51D70">
      <w:pPr>
        <w:pStyle w:val="NormalWeb"/>
        <w:rPr>
          <w:rFonts w:ascii="Arial" w:hAnsi="Arial" w:cs="Arial"/>
          <w:color w:val="000000"/>
        </w:rPr>
      </w:pPr>
    </w:p>
    <w:p w:rsidR="00F51D70" w:rsidRDefault="00F51D70" w:rsidP="00F51D70">
      <w:pPr>
        <w:pStyle w:val="NormalWeb"/>
        <w:rPr>
          <w:rFonts w:ascii="Arial" w:hAnsi="Arial" w:cs="Arial"/>
          <w:color w:val="000000"/>
        </w:rPr>
      </w:pPr>
    </w:p>
    <w:p w:rsidR="00F51D70" w:rsidRDefault="00F51D70" w:rsidP="00F51D70">
      <w:pPr>
        <w:pStyle w:val="NormalWeb"/>
        <w:rPr>
          <w:rFonts w:ascii="Arial" w:hAnsi="Arial" w:cs="Arial"/>
          <w:color w:val="000000"/>
        </w:rPr>
      </w:pPr>
    </w:p>
    <w:p w:rsidR="00F51D70" w:rsidRPr="003E338B" w:rsidRDefault="00F51D70" w:rsidP="00F51D70">
      <w:pPr>
        <w:pStyle w:val="NormalWeb"/>
        <w:rPr>
          <w:rFonts w:ascii="Arial" w:hAnsi="Arial" w:cs="Arial"/>
          <w:color w:val="000000"/>
        </w:rPr>
      </w:pPr>
      <w:r w:rsidRPr="003E338B">
        <w:rPr>
          <w:rFonts w:ascii="Arial" w:hAnsi="Arial" w:cs="Arial"/>
          <w:color w:val="000000"/>
        </w:rPr>
        <w:lastRenderedPageBreak/>
        <w:t>Aplica-se a tabela progressiva anual em cima da base de cálculo encontrada.</w:t>
      </w:r>
    </w:p>
    <w:p w:rsidR="00F51D70" w:rsidRPr="00EE1ED4" w:rsidRDefault="00F51D70" w:rsidP="00FF210C">
      <w:pPr>
        <w:spacing w:before="100" w:beforeAutospacing="1" w:after="100" w:afterAutospacing="1" w:line="360" w:lineRule="auto"/>
        <w:jc w:val="both"/>
        <w:rPr>
          <w:rFonts w:ascii="Arial" w:hAnsi="Arial" w:cs="Arial"/>
          <w:color w:val="000000"/>
          <w:sz w:val="24"/>
          <w:szCs w:val="24"/>
        </w:rPr>
      </w:pPr>
      <w:r w:rsidRPr="00F51D70">
        <w:rPr>
          <w:rFonts w:ascii="Arial" w:hAnsi="Arial" w:cs="Arial"/>
          <w:color w:val="000000"/>
          <w:sz w:val="24"/>
          <w:szCs w:val="24"/>
        </w:rPr>
        <w:drawing>
          <wp:inline distT="0" distB="0" distL="0" distR="0">
            <wp:extent cx="5391150" cy="312420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3124200"/>
                    </a:xfrm>
                    <a:prstGeom prst="rect">
                      <a:avLst/>
                    </a:prstGeom>
                    <a:noFill/>
                    <a:ln>
                      <a:noFill/>
                    </a:ln>
                  </pic:spPr>
                </pic:pic>
              </a:graphicData>
            </a:graphic>
          </wp:inline>
        </w:drawing>
      </w:r>
    </w:p>
    <w:p w:rsidR="00FF210C" w:rsidRDefault="00FF210C">
      <w:pPr>
        <w:pStyle w:val="Ttulo3"/>
        <w:spacing w:before="0"/>
        <w:ind w:left="1224"/>
        <w:rPr>
          <w:color w:val="auto"/>
          <w:sz w:val="24"/>
        </w:rPr>
      </w:pPr>
    </w:p>
    <w:p w:rsidR="0071184B" w:rsidRDefault="0071184B">
      <w:pPr>
        <w:spacing w:after="0"/>
      </w:pPr>
    </w:p>
    <w:p w:rsidR="0071184B" w:rsidRDefault="00247600">
      <w:pPr>
        <w:pStyle w:val="Ttulo3"/>
        <w:spacing w:before="0"/>
        <w:ind w:left="1224"/>
        <w:rPr>
          <w:color w:val="auto"/>
          <w:sz w:val="24"/>
        </w:rPr>
      </w:pPr>
      <w:r>
        <w:rPr>
          <w:color w:val="auto"/>
        </w:rPr>
        <w:t>4.2.2.</w:t>
      </w:r>
      <w:r>
        <w:rPr>
          <w:color w:val="auto"/>
          <w:sz w:val="24"/>
        </w:rPr>
        <w:t>Declara</w:t>
      </w:r>
      <w:r>
        <w:rPr>
          <w:color w:val="auto"/>
          <w:sz w:val="24"/>
        </w:rPr>
        <w:t>çã</w:t>
      </w:r>
      <w:r>
        <w:rPr>
          <w:color w:val="auto"/>
          <w:sz w:val="24"/>
        </w:rPr>
        <w:t>o Completa</w:t>
      </w:r>
    </w:p>
    <w:p w:rsidR="00D530E7" w:rsidRDefault="00D530E7">
      <w:pPr>
        <w:pStyle w:val="Ttulo3"/>
        <w:spacing w:before="0"/>
        <w:ind w:left="1224"/>
        <w:rPr>
          <w:color w:val="auto"/>
          <w:sz w:val="24"/>
        </w:rPr>
      </w:pPr>
    </w:p>
    <w:p w:rsidR="00D530E7" w:rsidRPr="00D530E7" w:rsidRDefault="00FF210C" w:rsidP="00D530E7">
      <w:pPr>
        <w:pStyle w:val="NormalWeb"/>
        <w:shd w:val="clear" w:color="auto" w:fill="FFFFFF"/>
        <w:spacing w:before="0" w:beforeAutospacing="0" w:after="0" w:afterAutospacing="0" w:line="596" w:lineRule="atLeast"/>
        <w:textAlignment w:val="baseline"/>
        <w:rPr>
          <w:rFonts w:ascii="Arial" w:hAnsi="Arial" w:cs="Arial"/>
          <w:color w:val="000000" w:themeColor="text1"/>
        </w:rPr>
      </w:pPr>
      <w:r w:rsidRPr="00781701">
        <w:rPr>
          <w:rFonts w:ascii="Arial" w:hAnsi="Arial" w:cs="Arial"/>
          <w:color w:val="000000"/>
        </w:rPr>
        <w:t xml:space="preserve">O modelo completo é indicado a quem tem muitas despesas para deduzir, como gastos com plano de saúde, educação, dependentes etc. Nele, é </w:t>
      </w:r>
    </w:p>
    <w:p w:rsidR="00FF210C" w:rsidRDefault="00FF210C" w:rsidP="00FF210C">
      <w:pPr>
        <w:spacing w:before="100" w:beforeAutospacing="1" w:after="100" w:afterAutospacing="1" w:line="360" w:lineRule="auto"/>
        <w:jc w:val="both"/>
        <w:rPr>
          <w:rFonts w:ascii="Arial" w:hAnsi="Arial" w:cs="Arial"/>
          <w:color w:val="000000"/>
          <w:sz w:val="24"/>
          <w:szCs w:val="24"/>
        </w:rPr>
      </w:pPr>
      <w:r w:rsidRPr="00781701">
        <w:rPr>
          <w:rFonts w:ascii="Arial" w:hAnsi="Arial" w:cs="Arial"/>
          <w:color w:val="000000"/>
          <w:sz w:val="24"/>
          <w:szCs w:val="24"/>
        </w:rPr>
        <w:t xml:space="preserve">necessário informar todos os gastos </w:t>
      </w:r>
      <w:r>
        <w:rPr>
          <w:rFonts w:ascii="Arial" w:hAnsi="Arial" w:cs="Arial"/>
          <w:color w:val="000000"/>
          <w:sz w:val="24"/>
          <w:szCs w:val="24"/>
        </w:rPr>
        <w:t>e rendimentos ocorridos no ano calendário. Os</w:t>
      </w:r>
      <w:r w:rsidRPr="00EE1ED4">
        <w:rPr>
          <w:rFonts w:ascii="Arial" w:hAnsi="Arial" w:cs="Arial"/>
          <w:color w:val="000000"/>
          <w:sz w:val="24"/>
          <w:szCs w:val="24"/>
        </w:rPr>
        <w:t xml:space="preserve"> contribuintes poderão ter uma restituição </w:t>
      </w:r>
      <w:r>
        <w:rPr>
          <w:rFonts w:ascii="Arial" w:hAnsi="Arial" w:cs="Arial"/>
          <w:color w:val="000000"/>
          <w:sz w:val="24"/>
          <w:szCs w:val="24"/>
        </w:rPr>
        <w:t>maior ou menor de imposto a pagar.</w:t>
      </w:r>
    </w:p>
    <w:p w:rsidR="00FF210C" w:rsidRPr="003E338B" w:rsidRDefault="00FF210C" w:rsidP="00FF210C">
      <w:pPr>
        <w:spacing w:before="100" w:beforeAutospacing="1" w:after="100" w:afterAutospacing="1" w:line="360" w:lineRule="auto"/>
        <w:jc w:val="both"/>
        <w:rPr>
          <w:rFonts w:ascii="Arial" w:hAnsi="Arial" w:cs="Arial"/>
          <w:color w:val="000000"/>
          <w:sz w:val="24"/>
          <w:szCs w:val="24"/>
        </w:rPr>
      </w:pPr>
      <w:r w:rsidRPr="00781701">
        <w:rPr>
          <w:rFonts w:ascii="Arial" w:hAnsi="Arial" w:cs="Arial"/>
          <w:color w:val="000000"/>
          <w:sz w:val="24"/>
          <w:szCs w:val="24"/>
        </w:rPr>
        <w:t>As despesas médicas podem ser deduzidas integralmente. As despesas com educação têm o limite individual anual de R$ 3.561,50 e as deduções com dependente estão limitadas a R$ 2.275,08 por dependente.</w:t>
      </w:r>
    </w:p>
    <w:p w:rsidR="00FF210C" w:rsidRDefault="00FF210C" w:rsidP="00FF210C">
      <w:pPr>
        <w:pStyle w:val="NormalWeb"/>
        <w:spacing w:line="360" w:lineRule="auto"/>
        <w:rPr>
          <w:rFonts w:ascii="Arial" w:hAnsi="Arial" w:cs="Arial"/>
          <w:color w:val="000000"/>
        </w:rPr>
      </w:pPr>
      <w:r w:rsidRPr="003E338B">
        <w:rPr>
          <w:rFonts w:ascii="Arial" w:hAnsi="Arial" w:cs="Arial"/>
          <w:color w:val="000000"/>
        </w:rPr>
        <w:t>Não existe vedação (qualquer pessoa poderá optar por essa declaração</w:t>
      </w:r>
      <w:r>
        <w:rPr>
          <w:rFonts w:ascii="Arial" w:hAnsi="Arial" w:cs="Arial"/>
          <w:color w:val="000000"/>
        </w:rPr>
        <w:t>)</w:t>
      </w:r>
      <w:r w:rsidRPr="003E338B">
        <w:rPr>
          <w:rFonts w:ascii="Arial" w:hAnsi="Arial" w:cs="Arial"/>
          <w:color w:val="000000"/>
        </w:rPr>
        <w:t>.</w:t>
      </w:r>
    </w:p>
    <w:p w:rsidR="00D530E7" w:rsidRPr="003E338B" w:rsidRDefault="00D530E7" w:rsidP="00D530E7">
      <w:pPr>
        <w:pStyle w:val="NormalWeb"/>
        <w:rPr>
          <w:rFonts w:ascii="Arial" w:hAnsi="Arial" w:cs="Arial"/>
          <w:color w:val="000000"/>
        </w:rPr>
      </w:pPr>
      <w:r w:rsidRPr="003E338B">
        <w:rPr>
          <w:rFonts w:ascii="Arial" w:hAnsi="Arial" w:cs="Arial"/>
          <w:color w:val="000000"/>
        </w:rPr>
        <w:t>Cálculo do IR devido ou a restituir pelo completo</w:t>
      </w:r>
    </w:p>
    <w:p w:rsidR="00D530E7" w:rsidRDefault="00D530E7" w:rsidP="00D530E7">
      <w:pPr>
        <w:pStyle w:val="NormalWeb"/>
        <w:spacing w:line="360" w:lineRule="auto"/>
        <w:jc w:val="center"/>
        <w:rPr>
          <w:rFonts w:ascii="Arial" w:hAnsi="Arial" w:cs="Arial"/>
          <w:color w:val="000000"/>
        </w:rPr>
      </w:pPr>
      <w:r w:rsidRPr="00D530E7">
        <w:rPr>
          <w:rFonts w:ascii="Arial" w:hAnsi="Arial" w:cs="Arial"/>
          <w:color w:val="000000"/>
        </w:rPr>
        <w:lastRenderedPageBreak/>
        <w:drawing>
          <wp:inline distT="0" distB="0" distL="0" distR="0">
            <wp:extent cx="2390775" cy="9810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981075"/>
                    </a:xfrm>
                    <a:prstGeom prst="rect">
                      <a:avLst/>
                    </a:prstGeom>
                    <a:noFill/>
                    <a:ln>
                      <a:noFill/>
                    </a:ln>
                  </pic:spPr>
                </pic:pic>
              </a:graphicData>
            </a:graphic>
          </wp:inline>
        </w:drawing>
      </w:r>
    </w:p>
    <w:p w:rsidR="00D530E7" w:rsidRPr="003E338B" w:rsidRDefault="00D530E7" w:rsidP="00D530E7">
      <w:pPr>
        <w:pStyle w:val="NormalWeb"/>
        <w:rPr>
          <w:rFonts w:ascii="Arial" w:hAnsi="Arial" w:cs="Arial"/>
          <w:color w:val="000000"/>
        </w:rPr>
      </w:pPr>
      <w:r w:rsidRPr="003E338B">
        <w:rPr>
          <w:rFonts w:ascii="Arial" w:hAnsi="Arial" w:cs="Arial"/>
          <w:color w:val="000000"/>
        </w:rPr>
        <w:t>Aplica-se a tabela progressiva anual em cima da base de cálculo encontrada.</w:t>
      </w:r>
    </w:p>
    <w:p w:rsidR="00D530E7" w:rsidRPr="003E338B" w:rsidRDefault="00D530E7" w:rsidP="00D530E7">
      <w:pPr>
        <w:pStyle w:val="NormalWeb"/>
        <w:spacing w:line="360" w:lineRule="auto"/>
        <w:rPr>
          <w:rFonts w:ascii="Arial" w:hAnsi="Arial" w:cs="Arial"/>
          <w:color w:val="000000"/>
        </w:rPr>
      </w:pPr>
      <w:r w:rsidRPr="003E338B">
        <w:rPr>
          <w:rFonts w:ascii="Arial" w:hAnsi="Arial" w:cs="Arial"/>
          <w:color w:val="000000"/>
        </w:rPr>
        <w:t>Deve se identificar e somar todos os rendimentos tributáveis, inclusive dos dependentes</w:t>
      </w:r>
    </w:p>
    <w:p w:rsidR="00FF210C" w:rsidRDefault="00FF210C" w:rsidP="00FF210C">
      <w:pPr>
        <w:pStyle w:val="Ttulo3"/>
        <w:spacing w:before="0"/>
        <w:rPr>
          <w:color w:val="auto"/>
          <w:sz w:val="24"/>
        </w:rPr>
      </w:pPr>
    </w:p>
    <w:p w:rsidR="0071184B" w:rsidRDefault="00FF210C" w:rsidP="00FF210C">
      <w:pPr>
        <w:pStyle w:val="Ttulo3"/>
        <w:spacing w:before="0"/>
        <w:rPr>
          <w:color w:val="auto"/>
          <w:sz w:val="24"/>
        </w:rPr>
      </w:pPr>
      <w:r>
        <w:rPr>
          <w:rFonts w:ascii="Calibri"/>
          <w:b w:val="0"/>
          <w:color w:val="auto"/>
        </w:rPr>
        <w:t xml:space="preserve">                        </w:t>
      </w:r>
      <w:r w:rsidR="00247600">
        <w:rPr>
          <w:color w:val="auto"/>
        </w:rPr>
        <w:t>4.2.3.</w:t>
      </w:r>
      <w:r w:rsidR="00247600">
        <w:rPr>
          <w:color w:val="auto"/>
          <w:sz w:val="24"/>
        </w:rPr>
        <w:t>Qual a declara</w:t>
      </w:r>
      <w:r w:rsidR="00247600">
        <w:rPr>
          <w:color w:val="auto"/>
          <w:sz w:val="24"/>
        </w:rPr>
        <w:t>çã</w:t>
      </w:r>
      <w:r w:rsidR="00247600">
        <w:rPr>
          <w:color w:val="auto"/>
          <w:sz w:val="24"/>
        </w:rPr>
        <w:t>o mais adequada?</w:t>
      </w:r>
    </w:p>
    <w:p w:rsidR="00D530E7" w:rsidRDefault="00D530E7" w:rsidP="00FF210C">
      <w:pPr>
        <w:pStyle w:val="Ttulo3"/>
        <w:spacing w:before="0"/>
        <w:rPr>
          <w:color w:val="auto"/>
          <w:sz w:val="24"/>
        </w:rPr>
      </w:pPr>
    </w:p>
    <w:p w:rsidR="00D530E7" w:rsidRPr="00D530E7" w:rsidRDefault="00D530E7" w:rsidP="00D530E7">
      <w:pPr>
        <w:pStyle w:val="NormalWeb"/>
        <w:shd w:val="clear" w:color="auto" w:fill="FFFFFF"/>
        <w:spacing w:before="0" w:beforeAutospacing="0" w:after="0" w:afterAutospacing="0" w:line="596" w:lineRule="atLeast"/>
        <w:textAlignment w:val="baseline"/>
        <w:rPr>
          <w:rFonts w:ascii="Arial" w:hAnsi="Arial" w:cs="Arial"/>
          <w:color w:val="333333"/>
        </w:rPr>
      </w:pPr>
      <w:r w:rsidRPr="00D530E7">
        <w:rPr>
          <w:rFonts w:ascii="Arial" w:hAnsi="Arial" w:cs="Arial"/>
          <w:color w:val="333333"/>
        </w:rPr>
        <w:t>O sistema da Receita Federal, no momento do preenchimento da declaração do</w:t>
      </w:r>
      <w:r>
        <w:rPr>
          <w:rFonts w:ascii="Arial" w:hAnsi="Arial" w:cs="Arial"/>
          <w:color w:val="333333"/>
        </w:rPr>
        <w:t xml:space="preserve"> </w:t>
      </w:r>
      <w:r>
        <w:rPr>
          <w:rStyle w:val="Forte"/>
          <w:rFonts w:ascii="Arial" w:hAnsi="Arial" w:cs="Arial"/>
          <w:b w:val="0"/>
          <w:color w:val="333333"/>
          <w:bdr w:val="none" w:sz="0" w:space="0" w:color="auto" w:frame="1"/>
        </w:rPr>
        <w:t>Imposto de Renda i</w:t>
      </w:r>
      <w:r w:rsidRPr="00D530E7">
        <w:rPr>
          <w:rFonts w:ascii="Arial" w:hAnsi="Arial" w:cs="Arial"/>
          <w:color w:val="333333"/>
        </w:rPr>
        <w:t>ndica a melhor opção para cada contribuinte. O caminho é começar pela completa, ver o resultado, migrar para a simplificada e comparar.</w:t>
      </w:r>
    </w:p>
    <w:p w:rsidR="00D530E7" w:rsidRPr="00D530E7" w:rsidRDefault="00D530E7" w:rsidP="00D530E7">
      <w:pPr>
        <w:pStyle w:val="NormalWeb"/>
        <w:shd w:val="clear" w:color="auto" w:fill="FFFFFF"/>
        <w:spacing w:before="0" w:beforeAutospacing="0" w:after="497" w:afterAutospacing="0" w:line="596" w:lineRule="atLeast"/>
        <w:textAlignment w:val="baseline"/>
        <w:rPr>
          <w:rFonts w:ascii="Arial" w:hAnsi="Arial" w:cs="Arial"/>
          <w:color w:val="333333"/>
        </w:rPr>
      </w:pPr>
      <w:r w:rsidRPr="00D530E7">
        <w:rPr>
          <w:rFonts w:ascii="Arial" w:hAnsi="Arial" w:cs="Arial"/>
          <w:color w:val="333333"/>
        </w:rPr>
        <w:t>De maneira geral, quem tem muitas despesas dedutíveis deve optar pelo modelo completo, que permite um abatimento maior do IR.</w:t>
      </w:r>
      <w:r w:rsidRPr="00D530E7">
        <w:rPr>
          <w:rStyle w:val="apple-converted-space"/>
          <w:rFonts w:ascii="Arial" w:hAnsi="Arial" w:cs="Arial"/>
          <w:color w:val="333333"/>
        </w:rPr>
        <w:t> </w:t>
      </w:r>
    </w:p>
    <w:p w:rsidR="00D530E7" w:rsidRPr="0047276E" w:rsidRDefault="00D530E7" w:rsidP="00FF210C">
      <w:pPr>
        <w:pStyle w:val="Ttulo3"/>
        <w:spacing w:before="0"/>
        <w:rPr>
          <w:color w:val="FF0000"/>
          <w:sz w:val="24"/>
          <w:szCs w:val="24"/>
        </w:rPr>
      </w:pPr>
    </w:p>
    <w:p w:rsidR="00FF210C" w:rsidRPr="0047276E" w:rsidRDefault="0047276E" w:rsidP="0047276E">
      <w:pPr>
        <w:pStyle w:val="Ttulo3"/>
        <w:spacing w:before="0"/>
        <w:rPr>
          <w:color w:val="FF0000"/>
          <w:sz w:val="24"/>
        </w:rPr>
      </w:pPr>
      <w:r w:rsidRPr="0047276E">
        <w:rPr>
          <w:color w:val="FF0000"/>
        </w:rPr>
        <w:t xml:space="preserve">                        </w:t>
      </w:r>
      <w:r w:rsidR="00247600" w:rsidRPr="0047276E">
        <w:rPr>
          <w:color w:val="FF0000"/>
        </w:rPr>
        <w:t>4.2.4.</w:t>
      </w:r>
      <w:r w:rsidR="00247600" w:rsidRPr="0047276E">
        <w:rPr>
          <w:color w:val="FF0000"/>
          <w:sz w:val="24"/>
        </w:rPr>
        <w:t>Formas de incentivos fiscais</w:t>
      </w:r>
    </w:p>
    <w:p w:rsidR="0071184B" w:rsidRDefault="0071184B">
      <w:pPr>
        <w:spacing w:after="0"/>
      </w:pPr>
    </w:p>
    <w:p w:rsidR="0071184B" w:rsidRDefault="00247600">
      <w:pPr>
        <w:pStyle w:val="Ttulo3"/>
        <w:spacing w:before="0"/>
        <w:ind w:left="1224"/>
        <w:rPr>
          <w:color w:val="auto"/>
          <w:sz w:val="24"/>
        </w:rPr>
      </w:pPr>
      <w:r>
        <w:rPr>
          <w:color w:val="auto"/>
        </w:rPr>
        <w:t>4.2.5.</w:t>
      </w:r>
      <w:r>
        <w:rPr>
          <w:color w:val="auto"/>
          <w:sz w:val="24"/>
        </w:rPr>
        <w:t>Limita</w:t>
      </w:r>
      <w:r>
        <w:rPr>
          <w:color w:val="auto"/>
          <w:sz w:val="24"/>
        </w:rPr>
        <w:t>çõ</w:t>
      </w:r>
      <w:r>
        <w:rPr>
          <w:color w:val="auto"/>
          <w:sz w:val="24"/>
        </w:rPr>
        <w:t>es aos incentivos fiscais</w:t>
      </w:r>
    </w:p>
    <w:p w:rsidR="006E4353" w:rsidRDefault="006E4353" w:rsidP="006E4353">
      <w:pPr>
        <w:rPr>
          <w:rFonts w:ascii="Arial" w:hAnsi="Arial" w:cs="Arial"/>
          <w:sz w:val="24"/>
          <w:szCs w:val="24"/>
        </w:rPr>
      </w:pPr>
    </w:p>
    <w:p w:rsidR="006E4353" w:rsidRPr="00E72E2A" w:rsidRDefault="006E4353" w:rsidP="006E4353">
      <w:pPr>
        <w:rPr>
          <w:rFonts w:ascii="Arial" w:hAnsi="Arial" w:cs="Arial"/>
          <w:sz w:val="24"/>
          <w:szCs w:val="24"/>
        </w:rPr>
      </w:pPr>
      <w:r w:rsidRPr="00E72E2A">
        <w:rPr>
          <w:rFonts w:ascii="Arial" w:hAnsi="Arial" w:cs="Arial"/>
          <w:sz w:val="24"/>
          <w:szCs w:val="24"/>
        </w:rPr>
        <w:t xml:space="preserve">Poderão </w:t>
      </w:r>
      <w:r w:rsidR="0047276E">
        <w:rPr>
          <w:rFonts w:ascii="Arial" w:hAnsi="Arial" w:cs="Arial"/>
          <w:sz w:val="24"/>
          <w:szCs w:val="24"/>
        </w:rPr>
        <w:t>util</w:t>
      </w:r>
      <w:r w:rsidR="0047276E" w:rsidRPr="00E72E2A">
        <w:rPr>
          <w:rFonts w:ascii="Arial" w:hAnsi="Arial" w:cs="Arial"/>
          <w:sz w:val="24"/>
          <w:szCs w:val="24"/>
        </w:rPr>
        <w:t>izar</w:t>
      </w:r>
      <w:r w:rsidRPr="00E72E2A">
        <w:rPr>
          <w:rFonts w:ascii="Arial" w:hAnsi="Arial" w:cs="Arial"/>
          <w:sz w:val="24"/>
          <w:szCs w:val="24"/>
        </w:rPr>
        <w:t xml:space="preserve"> os incentivos fiscais as pessoas </w:t>
      </w:r>
      <w:r>
        <w:rPr>
          <w:rFonts w:ascii="Arial" w:hAnsi="Arial" w:cs="Arial"/>
          <w:sz w:val="24"/>
          <w:szCs w:val="24"/>
        </w:rPr>
        <w:t>física</w:t>
      </w:r>
      <w:r w:rsidRPr="00E72E2A">
        <w:rPr>
          <w:rFonts w:ascii="Arial" w:hAnsi="Arial" w:cs="Arial"/>
          <w:sz w:val="24"/>
          <w:szCs w:val="24"/>
        </w:rPr>
        <w:t>s que entregarem a Declaração de Ajuste Anual por meio do modelo completo.</w:t>
      </w:r>
    </w:p>
    <w:p w:rsidR="006E4353" w:rsidRPr="00E72E2A" w:rsidRDefault="006E4353" w:rsidP="006E4353">
      <w:pPr>
        <w:spacing w:before="100" w:beforeAutospacing="1" w:after="100" w:afterAutospacing="1" w:line="240" w:lineRule="auto"/>
        <w:jc w:val="both"/>
        <w:rPr>
          <w:rFonts w:ascii="Arial" w:hAnsi="Arial" w:cs="Arial"/>
          <w:color w:val="000000"/>
          <w:sz w:val="24"/>
          <w:szCs w:val="24"/>
        </w:rPr>
      </w:pPr>
      <w:r w:rsidRPr="00E72E2A">
        <w:rPr>
          <w:rFonts w:ascii="Arial" w:hAnsi="Arial" w:cs="Arial"/>
          <w:color w:val="000000"/>
          <w:sz w:val="24"/>
          <w:szCs w:val="24"/>
        </w:rPr>
        <w:t>Além da dedução do próprio imposto de renda retido na fonte e do pago via carnê leão e/ou mensalão, permite-se as seguintes principais deduções:</w:t>
      </w:r>
    </w:p>
    <w:p w:rsidR="006E4353" w:rsidRPr="00E72E2A" w:rsidRDefault="006E4353" w:rsidP="006E4353">
      <w:pPr>
        <w:rPr>
          <w:rFonts w:ascii="Arial" w:hAnsi="Arial" w:cs="Arial"/>
          <w:sz w:val="24"/>
          <w:szCs w:val="24"/>
        </w:rPr>
      </w:pPr>
      <w:r>
        <w:rPr>
          <w:rFonts w:ascii="Arial" w:hAnsi="Arial" w:cs="Arial"/>
          <w:sz w:val="24"/>
          <w:szCs w:val="24"/>
        </w:rPr>
        <w:t>1) Estatuto da criança e do adolescente</w:t>
      </w:r>
    </w:p>
    <w:p w:rsidR="006E4353" w:rsidRPr="00E72E2A" w:rsidRDefault="006E4353" w:rsidP="006E4353">
      <w:pPr>
        <w:rPr>
          <w:rFonts w:ascii="Arial" w:hAnsi="Arial" w:cs="Arial"/>
          <w:sz w:val="24"/>
          <w:szCs w:val="24"/>
        </w:rPr>
      </w:pPr>
      <w:r>
        <w:rPr>
          <w:rFonts w:ascii="Arial" w:hAnsi="Arial" w:cs="Arial"/>
          <w:sz w:val="24"/>
          <w:szCs w:val="24"/>
        </w:rPr>
        <w:t>2) Fundos nacional, estaduais Ou municipais do idoso</w:t>
      </w:r>
      <w:r w:rsidRPr="00E72E2A">
        <w:rPr>
          <w:rFonts w:ascii="Arial" w:hAnsi="Arial" w:cs="Arial"/>
          <w:sz w:val="24"/>
          <w:szCs w:val="24"/>
        </w:rPr>
        <w:t xml:space="preserve">; </w:t>
      </w:r>
    </w:p>
    <w:p w:rsidR="006E4353" w:rsidRPr="00E72E2A" w:rsidRDefault="006E4353" w:rsidP="006E4353">
      <w:pPr>
        <w:rPr>
          <w:rFonts w:ascii="Arial" w:hAnsi="Arial" w:cs="Arial"/>
          <w:sz w:val="24"/>
          <w:szCs w:val="24"/>
        </w:rPr>
      </w:pPr>
      <w:r>
        <w:rPr>
          <w:rFonts w:ascii="Arial" w:hAnsi="Arial" w:cs="Arial"/>
          <w:sz w:val="24"/>
          <w:szCs w:val="24"/>
        </w:rPr>
        <w:t>3) Incentivo a cultura</w:t>
      </w:r>
      <w:r w:rsidRPr="00E72E2A">
        <w:rPr>
          <w:rFonts w:ascii="Arial" w:hAnsi="Arial" w:cs="Arial"/>
          <w:sz w:val="24"/>
          <w:szCs w:val="24"/>
        </w:rPr>
        <w:t xml:space="preserve">; </w:t>
      </w:r>
    </w:p>
    <w:p w:rsidR="006E4353" w:rsidRPr="00E72E2A" w:rsidRDefault="006E4353" w:rsidP="006E4353">
      <w:pPr>
        <w:rPr>
          <w:rFonts w:ascii="Arial" w:hAnsi="Arial" w:cs="Arial"/>
          <w:sz w:val="24"/>
          <w:szCs w:val="24"/>
        </w:rPr>
      </w:pPr>
      <w:r w:rsidRPr="00E72E2A">
        <w:rPr>
          <w:rFonts w:ascii="Arial" w:hAnsi="Arial" w:cs="Arial"/>
          <w:sz w:val="24"/>
          <w:szCs w:val="24"/>
        </w:rPr>
        <w:lastRenderedPageBreak/>
        <w:t>4) I</w:t>
      </w:r>
      <w:r>
        <w:rPr>
          <w:rFonts w:ascii="Arial" w:hAnsi="Arial" w:cs="Arial"/>
          <w:sz w:val="24"/>
          <w:szCs w:val="24"/>
        </w:rPr>
        <w:t>ncentivo a atividade audiovisual</w:t>
      </w:r>
      <w:r w:rsidRPr="00E72E2A">
        <w:rPr>
          <w:rFonts w:ascii="Arial" w:hAnsi="Arial" w:cs="Arial"/>
          <w:sz w:val="24"/>
          <w:szCs w:val="24"/>
        </w:rPr>
        <w:t xml:space="preserve">; </w:t>
      </w:r>
    </w:p>
    <w:p w:rsidR="006E4353" w:rsidRPr="00E72E2A" w:rsidRDefault="006E4353" w:rsidP="006E4353">
      <w:pPr>
        <w:rPr>
          <w:rFonts w:ascii="Arial" w:hAnsi="Arial" w:cs="Arial"/>
          <w:sz w:val="24"/>
          <w:szCs w:val="24"/>
        </w:rPr>
      </w:pPr>
      <w:r>
        <w:rPr>
          <w:rFonts w:ascii="Arial" w:hAnsi="Arial" w:cs="Arial"/>
          <w:sz w:val="24"/>
          <w:szCs w:val="24"/>
        </w:rPr>
        <w:t>5) Incentivo ao desporto</w:t>
      </w:r>
      <w:r w:rsidRPr="00E72E2A">
        <w:rPr>
          <w:rFonts w:ascii="Arial" w:hAnsi="Arial" w:cs="Arial"/>
          <w:sz w:val="24"/>
          <w:szCs w:val="24"/>
        </w:rPr>
        <w:t xml:space="preserve">; </w:t>
      </w:r>
    </w:p>
    <w:p w:rsidR="006E4353" w:rsidRPr="007E3E6D" w:rsidRDefault="006E4353" w:rsidP="006E4353">
      <w:pPr>
        <w:rPr>
          <w:rFonts w:ascii="Arial" w:hAnsi="Arial" w:cs="Arial"/>
          <w:sz w:val="24"/>
          <w:szCs w:val="24"/>
        </w:rPr>
      </w:pPr>
      <w:r w:rsidRPr="00E72E2A">
        <w:rPr>
          <w:rFonts w:ascii="Arial" w:hAnsi="Arial" w:cs="Arial"/>
          <w:sz w:val="24"/>
          <w:szCs w:val="24"/>
        </w:rPr>
        <w:t xml:space="preserve">6) </w:t>
      </w:r>
      <w:r w:rsidRPr="007E3E6D">
        <w:rPr>
          <w:rFonts w:ascii="Arial" w:hAnsi="Arial" w:cs="Arial"/>
          <w:color w:val="000000"/>
          <w:sz w:val="24"/>
          <w:szCs w:val="24"/>
        </w:rPr>
        <w:t>Contribuição relativa ao INSS Patronal paga à Previdência Social pelo empregador doméstico, na Declaração de Ajuste Anual da pessoa física. A dedução limita-se a um empregado doméstico por declaração, inclusive no caso da declaração em conjunto e também ao valor recolhido no ano-calendário a que se referir à declaração</w:t>
      </w:r>
      <w:r w:rsidRPr="007E3E6D">
        <w:rPr>
          <w:rFonts w:ascii="Arial" w:hAnsi="Arial" w:cs="Arial"/>
          <w:sz w:val="24"/>
          <w:szCs w:val="24"/>
        </w:rPr>
        <w:t>.</w:t>
      </w:r>
    </w:p>
    <w:p w:rsidR="006E4353" w:rsidRPr="00E72E2A" w:rsidRDefault="006E4353" w:rsidP="006E4353">
      <w:pPr>
        <w:rPr>
          <w:rFonts w:ascii="Arial" w:hAnsi="Arial" w:cs="Arial"/>
          <w:color w:val="000000"/>
          <w:sz w:val="24"/>
          <w:szCs w:val="24"/>
        </w:rPr>
      </w:pPr>
      <w:r w:rsidRPr="00E72E2A">
        <w:rPr>
          <w:rFonts w:ascii="Arial" w:hAnsi="Arial" w:cs="Arial"/>
          <w:color w:val="000000"/>
          <w:sz w:val="24"/>
          <w:szCs w:val="24"/>
        </w:rPr>
        <w:t>As contribuições, efetuadas diretamente aos fundos controlados pelos Conselhos Municipais, Estaduais e Nacional dos Direitos da Criança e do Adolescente, devem ser comprovadas mediante documento emitido pelos respectivos conselhos, ou ainda, através de opção na própria declaração, com o subseqüente recolhimento do DARF específico, emitido automaticamente pelo programa gerador (neste caso, o limite de dedução é de 3% do imposto devido).</w:t>
      </w:r>
    </w:p>
    <w:p w:rsidR="006E4353" w:rsidRPr="00E72E2A" w:rsidRDefault="006E4353" w:rsidP="006E4353">
      <w:pPr>
        <w:rPr>
          <w:rFonts w:ascii="Arial" w:hAnsi="Arial" w:cs="Arial"/>
          <w:color w:val="000000"/>
          <w:sz w:val="24"/>
          <w:szCs w:val="24"/>
        </w:rPr>
      </w:pPr>
      <w:r w:rsidRPr="00E72E2A">
        <w:rPr>
          <w:rFonts w:ascii="Arial" w:hAnsi="Arial" w:cs="Arial"/>
          <w:color w:val="000000"/>
          <w:sz w:val="24"/>
          <w:szCs w:val="24"/>
        </w:rPr>
        <w:t>O somatório das Deduções - Estatuto da Criança, Incentivo à Cultura e Incentivo à Atividade Audiovisual está limitado a 6% do imposto apurado. Este limite é calculado pelo próprio programa gerador da DIRPF.</w:t>
      </w:r>
    </w:p>
    <w:p w:rsidR="006E4353" w:rsidRPr="00E72E2A" w:rsidRDefault="006E4353" w:rsidP="006E4353">
      <w:pPr>
        <w:rPr>
          <w:rFonts w:ascii="Arial" w:hAnsi="Arial" w:cs="Arial"/>
          <w:sz w:val="24"/>
          <w:szCs w:val="24"/>
        </w:rPr>
      </w:pPr>
      <w:r w:rsidRPr="00E72E2A">
        <w:rPr>
          <w:rFonts w:ascii="Arial" w:hAnsi="Arial" w:cs="Arial"/>
          <w:color w:val="000000"/>
          <w:sz w:val="24"/>
          <w:szCs w:val="24"/>
        </w:rPr>
        <w:t>Lembrando novamente que tais deduções são pertinentes ao formulário completo, pois na declaração simplificada não há possibilidade de tais deduções.</w:t>
      </w:r>
    </w:p>
    <w:p w:rsidR="006E4353" w:rsidRDefault="006E4353">
      <w:pPr>
        <w:pStyle w:val="Ttulo3"/>
        <w:spacing w:before="0"/>
        <w:ind w:left="1224"/>
        <w:rPr>
          <w:color w:val="auto"/>
          <w:sz w:val="24"/>
        </w:rPr>
      </w:pPr>
    </w:p>
    <w:p w:rsidR="006E4353" w:rsidRDefault="006E4353">
      <w:pPr>
        <w:pStyle w:val="Ttulo3"/>
        <w:spacing w:before="0"/>
        <w:ind w:left="1224"/>
        <w:rPr>
          <w:color w:val="auto"/>
          <w:sz w:val="24"/>
        </w:rPr>
      </w:pPr>
    </w:p>
    <w:p w:rsidR="0071184B" w:rsidRDefault="0071184B">
      <w:pPr>
        <w:spacing w:after="0"/>
      </w:pPr>
    </w:p>
    <w:p w:rsidR="0071184B" w:rsidRDefault="00247600">
      <w:pPr>
        <w:pStyle w:val="Ttulo3"/>
        <w:spacing w:before="0"/>
        <w:ind w:left="1224"/>
        <w:rPr>
          <w:color w:val="auto"/>
          <w:sz w:val="24"/>
        </w:rPr>
      </w:pPr>
      <w:r>
        <w:rPr>
          <w:color w:val="auto"/>
        </w:rPr>
        <w:t>4.2.6.</w:t>
      </w:r>
      <w:r>
        <w:rPr>
          <w:color w:val="auto"/>
          <w:sz w:val="24"/>
        </w:rPr>
        <w:t>Analise critica aos limites das dedu</w:t>
      </w:r>
      <w:r>
        <w:rPr>
          <w:color w:val="auto"/>
          <w:sz w:val="24"/>
        </w:rPr>
        <w:t>çõ</w:t>
      </w:r>
      <w:r>
        <w:rPr>
          <w:color w:val="auto"/>
          <w:sz w:val="24"/>
        </w:rPr>
        <w:t>es</w:t>
      </w:r>
    </w:p>
    <w:p w:rsidR="0071184B" w:rsidRDefault="0071184B">
      <w:pPr>
        <w:spacing w:after="0" w:line="240" w:lineRule="auto"/>
      </w:pPr>
    </w:p>
    <w:p w:rsidR="0071184B" w:rsidRDefault="00247600">
      <w:pPr>
        <w:spacing w:after="0" w:line="360" w:lineRule="auto"/>
        <w:ind w:firstLine="567"/>
        <w:jc w:val="both"/>
        <w:rPr>
          <w:rFonts w:ascii="Arial" w:hAnsi="Arial" w:cs="Arial"/>
          <w:sz w:val="24"/>
        </w:rPr>
      </w:pPr>
      <w:r>
        <w:rPr>
          <w:rFonts w:ascii="Arial" w:hAnsi="Arial" w:cs="Arial"/>
          <w:sz w:val="24"/>
        </w:rPr>
        <w:t>É importante tecer criticas de alguns estudiosos, feitas há tempos, acerca dos incentivos fiscais, pois apesar de terem como característica principal a tentativa de o Estado assegurar ao contribuinte o gozo pleno de todos os direitos e prerrogativas previstas na constituição, sobretudo, os elencados nos artigos 5º e 7º.  O próprio estado estabelece alguns limites, inviabilizado a persecução do objetivo pretendido.</w:t>
      </w:r>
    </w:p>
    <w:p w:rsidR="0071184B" w:rsidRDefault="00247600">
      <w:pPr>
        <w:spacing w:after="0" w:line="360" w:lineRule="auto"/>
        <w:ind w:firstLine="567"/>
        <w:jc w:val="both"/>
        <w:rPr>
          <w:rFonts w:ascii="Arial" w:hAnsi="Arial" w:cs="Arial"/>
          <w:sz w:val="24"/>
        </w:rPr>
      </w:pPr>
      <w:r>
        <w:rPr>
          <w:rFonts w:ascii="Arial" w:hAnsi="Arial" w:cs="Arial"/>
          <w:sz w:val="24"/>
        </w:rPr>
        <w:t>Sendo interessante destacar três criticas comumente levadas a discussão, quais sejam: primeiramente, os valores dedutíveis por dependentes, que atualmente se aproximam de,apenas,R$ 190,00 (cento e noventa reais mensais), sendo irrisório quando comparado ao valor efetivamente gasto. (Artigo Científico, HelioMassaoka e João Batista dos Reis).</w:t>
      </w:r>
    </w:p>
    <w:p w:rsidR="0071184B" w:rsidRDefault="00247600">
      <w:pPr>
        <w:spacing w:after="0" w:line="360" w:lineRule="auto"/>
        <w:ind w:firstLine="567"/>
        <w:jc w:val="both"/>
        <w:rPr>
          <w:rFonts w:ascii="Arial" w:hAnsi="Arial" w:cs="Arial"/>
          <w:sz w:val="24"/>
        </w:rPr>
      </w:pPr>
      <w:r>
        <w:rPr>
          <w:rFonts w:ascii="Arial" w:hAnsi="Arial" w:cs="Arial"/>
          <w:sz w:val="24"/>
        </w:rPr>
        <w:lastRenderedPageBreak/>
        <w:t>Em um segundo momento pode-se averiguar que a tabela progressiva não leva em consideração o custo de vida de cada município, sendo a tabela progressiva aplicada em todo o território nacional sem exceções.O que afeta em parte a progressividade pretendida, uma vez que, apesar de receberem o mesmo salário, dois contribuintes distintos pagam o mesmo tributo, sendo que um deles possui um custo de vida maior, por morar em uma cidade de maior porte, por exemplo.</w:t>
      </w:r>
    </w:p>
    <w:p w:rsidR="0071184B" w:rsidRDefault="00247600">
      <w:pPr>
        <w:spacing w:after="0" w:line="360" w:lineRule="auto"/>
        <w:ind w:firstLine="567"/>
        <w:jc w:val="both"/>
        <w:rPr>
          <w:rFonts w:ascii="Arial" w:hAnsi="Arial" w:cs="Arial"/>
          <w:sz w:val="24"/>
        </w:rPr>
      </w:pPr>
      <w:r>
        <w:rPr>
          <w:rFonts w:ascii="Arial" w:hAnsi="Arial" w:cs="Arial"/>
          <w:sz w:val="24"/>
        </w:rPr>
        <w:t>Por fim há que se destacar o limite da progressividade à renda que ultrapassa o valor de aproximadamente R$ 4.670,00 (quatro mil e seiscentos e setenta reais). Não há efetiva progressividade para rendas superiores a este valor, posto que, uma pessoa que possua R$ 5.000 (cinco mil) de renda – pagará proporcionalmente o mesmo tanto que outro contribuinte que tenha tido acréscimo patrimonial infinitamente superior. Ou seja, não há progressividade nos valores acima do determinado na tabela. (Nota técnica apresentada pelo Departamento Intersindical de Estatística e Estudos Sócio Econômicos - DIEESE).</w:t>
      </w:r>
    </w:p>
    <w:p w:rsidR="0071184B" w:rsidRDefault="0071184B">
      <w:pPr>
        <w:spacing w:after="0" w:line="240" w:lineRule="auto"/>
        <w:ind w:firstLine="567"/>
        <w:jc w:val="both"/>
        <w:rPr>
          <w:rFonts w:ascii="Arial" w:hAnsi="Arial" w:cs="Arial"/>
          <w:sz w:val="24"/>
        </w:rPr>
      </w:pPr>
    </w:p>
    <w:p w:rsidR="0071184B" w:rsidRDefault="00247600">
      <w:pPr>
        <w:pStyle w:val="Ttulo1"/>
        <w:spacing w:before="0" w:line="240" w:lineRule="auto"/>
        <w:rPr>
          <w:color w:val="000000"/>
        </w:rPr>
      </w:pPr>
      <w:r>
        <w:rPr>
          <w:color w:val="000000"/>
        </w:rPr>
        <w:t>5. Estudo de caso</w:t>
      </w:r>
    </w:p>
    <w:p w:rsidR="0071184B" w:rsidRDefault="0071184B">
      <w:pPr>
        <w:spacing w:after="0"/>
        <w:ind w:firstLine="567"/>
        <w:jc w:val="both"/>
        <w:rPr>
          <w:rFonts w:ascii="Arial" w:hAnsi="Arial" w:cs="Arial"/>
          <w:sz w:val="24"/>
        </w:rPr>
      </w:pPr>
    </w:p>
    <w:p w:rsidR="0071184B" w:rsidRDefault="00247600">
      <w:pPr>
        <w:spacing w:after="0" w:line="360" w:lineRule="auto"/>
        <w:ind w:firstLine="567"/>
        <w:jc w:val="both"/>
        <w:rPr>
          <w:rFonts w:ascii="Arial" w:hAnsi="Arial" w:cs="Arial"/>
          <w:sz w:val="24"/>
          <w:szCs w:val="24"/>
        </w:rPr>
      </w:pPr>
      <w:r>
        <w:rPr>
          <w:rFonts w:ascii="Arial" w:hAnsi="Arial" w:cs="Arial"/>
          <w:sz w:val="24"/>
          <w:szCs w:val="24"/>
        </w:rPr>
        <w:t>O grupo buscou,ao longo do semestre, firmar parcerias com Organizações Não Governamentais, bem como, com projetos já instituídos na universidade,para desenvolver um projeto de extensão na busca de participação, dos alunos, no convívio social, e assim como estas organizações os mesmos consigam também despertar na sociedade a ideia de participação e de ajuda ao próximo.</w:t>
      </w:r>
    </w:p>
    <w:p w:rsidR="0071184B" w:rsidRDefault="00247600">
      <w:pPr>
        <w:spacing w:after="0" w:line="360" w:lineRule="auto"/>
        <w:ind w:firstLine="567"/>
        <w:jc w:val="both"/>
        <w:rPr>
          <w:rFonts w:ascii="Arial" w:hAnsi="Arial" w:cs="Arial"/>
          <w:sz w:val="24"/>
          <w:szCs w:val="24"/>
        </w:rPr>
      </w:pPr>
      <w:r>
        <w:rPr>
          <w:rFonts w:ascii="Arial" w:hAnsi="Arial" w:cs="Arial"/>
          <w:sz w:val="24"/>
          <w:szCs w:val="24"/>
        </w:rPr>
        <w:t>Diante do objetivo proposto o grupo objetivou estreitar o relacionamento com empresas do terceiro setor que recebem recursos de particulares para saber a forma como se dá o processo de recebimento de doações e sua destinação. Bem como, estimular que contribuintes realizem doações para uma comunidade do norte de Minas Gerais - quando da declaração de seu IR.</w:t>
      </w:r>
    </w:p>
    <w:p w:rsidR="0071184B" w:rsidRDefault="00247600">
      <w:pPr>
        <w:spacing w:after="0" w:line="360" w:lineRule="auto"/>
        <w:ind w:firstLine="567"/>
        <w:jc w:val="both"/>
        <w:rPr>
          <w:rFonts w:ascii="Arial" w:hAnsi="Arial" w:cs="Arial"/>
          <w:sz w:val="24"/>
          <w:szCs w:val="24"/>
        </w:rPr>
      </w:pPr>
      <w:r>
        <w:rPr>
          <w:rFonts w:ascii="Arial" w:hAnsi="Arial" w:cs="Arial"/>
          <w:sz w:val="24"/>
          <w:szCs w:val="24"/>
        </w:rPr>
        <w:t xml:space="preserve">Assim, foram aplicadas pesquisas, na universidade, para realizar um levantamento, da quantidade de contribuintes que já atuam na sociedade de forma colaborativa e sobre a ciência que estes possuem acerca da </w:t>
      </w:r>
      <w:r>
        <w:rPr>
          <w:rFonts w:ascii="Arial" w:hAnsi="Arial" w:cs="Arial"/>
          <w:sz w:val="24"/>
          <w:szCs w:val="24"/>
        </w:rPr>
        <w:lastRenderedPageBreak/>
        <w:t xml:space="preserve">possibilidade de </w:t>
      </w:r>
      <w:r>
        <w:rPr>
          <w:rFonts w:ascii="Arial" w:hAnsi="Arial" w:cs="Arial"/>
          <w:i/>
          <w:sz w:val="24"/>
          <w:szCs w:val="24"/>
        </w:rPr>
        <w:t>abatimento</w:t>
      </w:r>
      <w:r>
        <w:rPr>
          <w:rFonts w:ascii="Arial" w:hAnsi="Arial" w:cs="Arial"/>
          <w:sz w:val="24"/>
          <w:szCs w:val="24"/>
        </w:rPr>
        <w:t xml:space="preserve"> do Imposto de Renda das parcelas doadas. Ante todo o exposto foram extraídos os seguintes dados.</w:t>
      </w:r>
    </w:p>
    <w:p w:rsidR="0071184B" w:rsidRDefault="0071184B">
      <w:pPr>
        <w:spacing w:after="0" w:line="240" w:lineRule="auto"/>
        <w:ind w:firstLine="567"/>
        <w:rPr>
          <w:rFonts w:ascii="Arial" w:hAnsi="Arial" w:cs="Arial"/>
          <w:sz w:val="24"/>
          <w:szCs w:val="24"/>
        </w:rPr>
      </w:pPr>
    </w:p>
    <w:p w:rsidR="0071184B" w:rsidRDefault="00247600">
      <w:pPr>
        <w:pStyle w:val="Ttulo2"/>
        <w:spacing w:before="0"/>
        <w:ind w:left="360"/>
        <w:rPr>
          <w:color w:val="auto"/>
        </w:rPr>
      </w:pPr>
      <w:r>
        <w:rPr>
          <w:color w:val="auto"/>
        </w:rPr>
        <w:t>5.1. Analise de dados</w:t>
      </w:r>
    </w:p>
    <w:p w:rsidR="000B6430" w:rsidRDefault="000B6430">
      <w:pPr>
        <w:pStyle w:val="Ttulo2"/>
        <w:spacing w:before="0"/>
        <w:ind w:left="360"/>
        <w:rPr>
          <w:color w:val="auto"/>
        </w:rPr>
      </w:pPr>
    </w:p>
    <w:p w:rsidR="000B6430" w:rsidRPr="009B389A" w:rsidRDefault="000B6430" w:rsidP="000B6430">
      <w:pPr>
        <w:rPr>
          <w:rFonts w:ascii="Arial" w:hAnsi="Arial" w:cs="Arial"/>
          <w:sz w:val="24"/>
          <w:szCs w:val="24"/>
        </w:rPr>
      </w:pPr>
      <w:r w:rsidRPr="009B389A">
        <w:rPr>
          <w:rFonts w:ascii="Arial" w:hAnsi="Arial" w:cs="Arial"/>
          <w:sz w:val="24"/>
          <w:szCs w:val="24"/>
        </w:rPr>
        <w:t>Vamos agora fazer uma pequena análise comparativa dos Balanços Patrimoniais da Child Fund Brasil nos anos de 2013 e 2014</w:t>
      </w:r>
    </w:p>
    <w:p w:rsidR="000B6430" w:rsidRPr="009B389A" w:rsidRDefault="000B6430" w:rsidP="000B6430">
      <w:pPr>
        <w:rPr>
          <w:rFonts w:ascii="Arial" w:hAnsi="Arial" w:cs="Arial"/>
          <w:sz w:val="24"/>
          <w:szCs w:val="24"/>
        </w:rPr>
      </w:pPr>
      <w:r w:rsidRPr="009B389A">
        <w:rPr>
          <w:rFonts w:ascii="Arial" w:hAnsi="Arial" w:cs="Arial"/>
          <w:noProof/>
          <w:sz w:val="24"/>
          <w:szCs w:val="24"/>
        </w:rPr>
        <w:drawing>
          <wp:inline distT="0" distB="0" distL="0" distR="0">
            <wp:extent cx="6183538" cy="2448000"/>
            <wp:effectExtent l="19050" t="0" r="7712"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183538" cy="2448000"/>
                    </a:xfrm>
                    <a:prstGeom prst="rect">
                      <a:avLst/>
                    </a:prstGeom>
                    <a:noFill/>
                    <a:ln w="9525">
                      <a:noFill/>
                      <a:miter lim="800000"/>
                      <a:headEnd/>
                      <a:tailEnd/>
                    </a:ln>
                  </pic:spPr>
                </pic:pic>
              </a:graphicData>
            </a:graphic>
          </wp:inline>
        </w:drawing>
      </w:r>
    </w:p>
    <w:p w:rsidR="000B6430" w:rsidRPr="009B389A" w:rsidRDefault="000B6430" w:rsidP="000B6430">
      <w:pPr>
        <w:rPr>
          <w:rFonts w:ascii="Arial" w:hAnsi="Arial" w:cs="Arial"/>
          <w:sz w:val="24"/>
          <w:szCs w:val="24"/>
        </w:rPr>
      </w:pPr>
      <w:r w:rsidRPr="009B389A">
        <w:rPr>
          <w:rFonts w:ascii="Arial" w:hAnsi="Arial" w:cs="Arial"/>
          <w:sz w:val="24"/>
          <w:szCs w:val="24"/>
        </w:rPr>
        <w:t xml:space="preserve">                                                            </w:t>
      </w:r>
      <w:r>
        <w:rPr>
          <w:rFonts w:ascii="Arial" w:hAnsi="Arial" w:cs="Arial"/>
          <w:sz w:val="24"/>
          <w:szCs w:val="24"/>
        </w:rPr>
        <w:t xml:space="preserve">                              Fonte:</w:t>
      </w:r>
      <w:r w:rsidRPr="009B389A">
        <w:rPr>
          <w:rFonts w:ascii="Arial" w:hAnsi="Arial" w:cs="Arial"/>
          <w:sz w:val="24"/>
          <w:szCs w:val="24"/>
        </w:rPr>
        <w:t>childfundbrasil.org.br</w:t>
      </w:r>
    </w:p>
    <w:p w:rsidR="000B6430" w:rsidRPr="009B389A" w:rsidRDefault="000B6430" w:rsidP="000B6430">
      <w:pPr>
        <w:rPr>
          <w:rFonts w:ascii="Arial" w:hAnsi="Arial" w:cs="Arial"/>
          <w:sz w:val="24"/>
          <w:szCs w:val="24"/>
        </w:rPr>
      </w:pPr>
      <w:r w:rsidRPr="009B389A">
        <w:rPr>
          <w:rFonts w:ascii="Arial" w:hAnsi="Arial" w:cs="Arial"/>
          <w:sz w:val="24"/>
          <w:szCs w:val="24"/>
        </w:rPr>
        <w:t>Analisando o Balanço Patrimonial acima, podemos perceber que a maior parte dos seus recursos está no Longo Prazo, representando 83,11% do total do ativo no ano de 2013 e 76,85% no ano de 2014.</w:t>
      </w:r>
    </w:p>
    <w:p w:rsidR="000B6430" w:rsidRPr="009B389A" w:rsidRDefault="000B6430" w:rsidP="000B6430">
      <w:pPr>
        <w:rPr>
          <w:rFonts w:ascii="Arial" w:hAnsi="Arial" w:cs="Arial"/>
          <w:sz w:val="24"/>
          <w:szCs w:val="24"/>
        </w:rPr>
      </w:pPr>
      <w:r w:rsidRPr="009B389A">
        <w:rPr>
          <w:rFonts w:ascii="Arial" w:hAnsi="Arial" w:cs="Arial"/>
          <w:sz w:val="24"/>
          <w:szCs w:val="24"/>
        </w:rPr>
        <w:t>Dentro do Ativo Não Circulante, a conta propriedades para investimento representa 44,33% do total do ativo não circulante no ano de 2013, e aumenta no ano de 2014, representando 61,81% do total, conta essa que considera as salas comerciais e imóveis não residenciais em Minas Gerais e no Ceará. As rendas dos aluguéis são revertidas ao objeto social da entidade.</w:t>
      </w:r>
    </w:p>
    <w:p w:rsidR="000B6430" w:rsidRPr="009B389A" w:rsidRDefault="000B6430" w:rsidP="000B6430">
      <w:pPr>
        <w:tabs>
          <w:tab w:val="left" w:pos="5745"/>
        </w:tabs>
        <w:rPr>
          <w:rFonts w:ascii="Arial" w:hAnsi="Arial" w:cs="Arial"/>
          <w:sz w:val="24"/>
          <w:szCs w:val="24"/>
        </w:rPr>
      </w:pPr>
      <w:r w:rsidRPr="009B389A">
        <w:rPr>
          <w:rFonts w:ascii="Arial" w:hAnsi="Arial" w:cs="Arial"/>
          <w:sz w:val="24"/>
          <w:szCs w:val="24"/>
        </w:rPr>
        <w:t>Logo depois vem o Imobilizado, representando 44% do ativo não circulante no ano de 2013, e 26,54% no ano de 2014, ativo imobilizado que inclui as contas de terrenos, móveis e utensílios, edificações, etc, já contabilizadas as suas respectivas depreciações e baixas.</w:t>
      </w:r>
    </w:p>
    <w:p w:rsidR="000B6430" w:rsidRPr="009B389A" w:rsidRDefault="000B6430" w:rsidP="000B6430">
      <w:pPr>
        <w:rPr>
          <w:rFonts w:ascii="Arial" w:hAnsi="Arial" w:cs="Arial"/>
          <w:sz w:val="24"/>
          <w:szCs w:val="24"/>
        </w:rPr>
      </w:pPr>
      <w:r w:rsidRPr="009B389A">
        <w:rPr>
          <w:rFonts w:ascii="Arial" w:hAnsi="Arial" w:cs="Arial"/>
          <w:sz w:val="24"/>
          <w:szCs w:val="24"/>
        </w:rPr>
        <w:t>Observando o Ativo Circulante, vemos claramente que a concentração dos recursos está no Caixa, representando 73,92% do total do ativo circulante no ano de 2013 e 83,29% no ano de 2014.</w:t>
      </w:r>
    </w:p>
    <w:p w:rsidR="000B6430" w:rsidRPr="009B389A" w:rsidRDefault="000B6430" w:rsidP="000B6430">
      <w:pPr>
        <w:rPr>
          <w:rFonts w:ascii="Arial" w:hAnsi="Arial" w:cs="Arial"/>
          <w:color w:val="000000"/>
          <w:sz w:val="24"/>
          <w:szCs w:val="24"/>
        </w:rPr>
      </w:pPr>
      <w:r w:rsidRPr="009B389A">
        <w:rPr>
          <w:rFonts w:ascii="Arial" w:hAnsi="Arial" w:cs="Arial"/>
          <w:sz w:val="24"/>
          <w:szCs w:val="24"/>
        </w:rPr>
        <w:t xml:space="preserve">Fazendo um comparativo com o Passivo Circulante, temos uma situação preocupante, pois o Passivo Circulante, nos dois anos analisados, apresenta </w:t>
      </w:r>
      <w:r w:rsidRPr="009B389A">
        <w:rPr>
          <w:rFonts w:ascii="Arial" w:hAnsi="Arial" w:cs="Arial"/>
          <w:sz w:val="24"/>
          <w:szCs w:val="24"/>
        </w:rPr>
        <w:lastRenderedPageBreak/>
        <w:t xml:space="preserve">valor maior que o Ativo Circulante, ou seja, não existe Capital de Giro suficiente para quitar as obrigações em curto prazo. Podemos fazer essa analise também através do índice de liquidez corrente, sendo representado pela fórmula: </w:t>
      </w:r>
      <w:r w:rsidRPr="009B389A">
        <w:rPr>
          <w:rFonts w:ascii="Arial" w:hAnsi="Arial" w:cs="Arial"/>
          <w:color w:val="000000"/>
          <w:sz w:val="24"/>
          <w:szCs w:val="24"/>
        </w:rPr>
        <w:t xml:space="preserve">Liquidez Corrente = Ativo Circulante / Passivo Circulante. </w:t>
      </w:r>
      <w:r w:rsidRPr="009B389A">
        <w:rPr>
          <w:rFonts w:ascii="Arial" w:hAnsi="Arial" w:cs="Arial"/>
          <w:sz w:val="24"/>
          <w:szCs w:val="24"/>
        </w:rPr>
        <w:t>Em 2013 1156</w:t>
      </w:r>
      <w:r w:rsidRPr="009B389A">
        <w:rPr>
          <w:rFonts w:ascii="Arial" w:hAnsi="Arial" w:cs="Arial"/>
          <w:color w:val="000000"/>
          <w:sz w:val="24"/>
          <w:szCs w:val="24"/>
        </w:rPr>
        <w:t>/ 1413= 0,82 e em 2014 1628/ 1648=0,98. Esse resultado menor que 1 indica que realmente a situação é preocupante.</w:t>
      </w:r>
    </w:p>
    <w:p w:rsidR="000B6430" w:rsidRPr="009B389A" w:rsidRDefault="000B6430" w:rsidP="000B6430">
      <w:pPr>
        <w:jc w:val="both"/>
        <w:rPr>
          <w:rFonts w:ascii="Arial" w:hAnsi="Arial" w:cs="Arial"/>
          <w:color w:val="000000"/>
          <w:sz w:val="24"/>
          <w:szCs w:val="24"/>
        </w:rPr>
      </w:pPr>
      <w:r w:rsidRPr="009B389A">
        <w:rPr>
          <w:rFonts w:ascii="Arial" w:hAnsi="Arial" w:cs="Arial"/>
          <w:color w:val="000000"/>
          <w:sz w:val="24"/>
          <w:szCs w:val="24"/>
        </w:rPr>
        <w:t>Analisando o Passivo no geral, vemos que a maior parte está concentrada nas Reservas de Reavaliação, representando 58,73% do valor total do Passivo no ano de 2013 e 55,57% no ano de 2014, conta essa que considera a diferença entre o valor de mercado de um ativo e o valor liquido contábil do bem.</w:t>
      </w:r>
    </w:p>
    <w:p w:rsidR="000B6430" w:rsidRPr="009B389A" w:rsidRDefault="000B6430" w:rsidP="000B6430">
      <w:pPr>
        <w:jc w:val="both"/>
        <w:rPr>
          <w:rFonts w:ascii="Arial" w:hAnsi="Arial" w:cs="Arial"/>
          <w:color w:val="000000"/>
          <w:sz w:val="24"/>
          <w:szCs w:val="24"/>
        </w:rPr>
      </w:pPr>
      <w:r w:rsidRPr="009B389A">
        <w:rPr>
          <w:rFonts w:ascii="Arial" w:hAnsi="Arial" w:cs="Arial"/>
          <w:color w:val="000000"/>
          <w:sz w:val="24"/>
          <w:szCs w:val="24"/>
        </w:rPr>
        <w:t>Comparando Passivo Não Circulante com Ativo Não Circulante, concluímos que em longo prazo a organização apresenta uma situação relativamente tranqüila.</w:t>
      </w:r>
    </w:p>
    <w:p w:rsidR="000B6430" w:rsidRDefault="000B6430">
      <w:pPr>
        <w:pStyle w:val="Ttulo2"/>
        <w:spacing w:before="0"/>
        <w:ind w:left="360"/>
        <w:rPr>
          <w:color w:val="auto"/>
        </w:rPr>
      </w:pPr>
    </w:p>
    <w:p w:rsidR="0071184B" w:rsidRDefault="0071184B">
      <w:pPr>
        <w:spacing w:after="0"/>
      </w:pPr>
    </w:p>
    <w:p w:rsidR="0071184B" w:rsidRDefault="00247600">
      <w:pPr>
        <w:pStyle w:val="Ttulo2"/>
        <w:spacing w:before="0"/>
        <w:ind w:left="360"/>
        <w:rPr>
          <w:color w:val="auto"/>
        </w:rPr>
      </w:pPr>
      <w:r>
        <w:rPr>
          <w:color w:val="auto"/>
        </w:rPr>
        <w:t>5.2. Destina</w:t>
      </w:r>
      <w:r>
        <w:rPr>
          <w:color w:val="auto"/>
        </w:rPr>
        <w:t>çã</w:t>
      </w:r>
      <w:r>
        <w:rPr>
          <w:color w:val="auto"/>
        </w:rPr>
        <w:t>o dos recursos obtidos com as doa</w:t>
      </w:r>
      <w:r>
        <w:rPr>
          <w:color w:val="auto"/>
        </w:rPr>
        <w:t>çõ</w:t>
      </w:r>
      <w:r>
        <w:rPr>
          <w:color w:val="auto"/>
        </w:rPr>
        <w:t>es</w:t>
      </w:r>
    </w:p>
    <w:p w:rsidR="000B6430" w:rsidRDefault="000B6430">
      <w:pPr>
        <w:pStyle w:val="Ttulo2"/>
        <w:spacing w:before="0"/>
        <w:ind w:left="360"/>
        <w:rPr>
          <w:color w:val="auto"/>
        </w:rPr>
      </w:pPr>
    </w:p>
    <w:p w:rsidR="000B6430" w:rsidRPr="000B6430" w:rsidRDefault="000B6430" w:rsidP="000B6430">
      <w:pPr>
        <w:rPr>
          <w:rFonts w:ascii="Arial" w:hAnsi="Arial" w:cs="Arial"/>
          <w:sz w:val="24"/>
          <w:szCs w:val="24"/>
        </w:rPr>
      </w:pPr>
      <w:r w:rsidRPr="000B6430">
        <w:rPr>
          <w:rFonts w:ascii="Arial" w:hAnsi="Arial" w:cs="Arial"/>
          <w:sz w:val="24"/>
          <w:szCs w:val="24"/>
        </w:rPr>
        <w:t>Considerando que a legislação vigente permite que se destine parte do Imposto de Renda (Pessoa Física e Pessoa Jurídica) para Fundos da Criança e do Adolescente, sugerimos que as doações sejam feitas ao Fundo Municipal da cidade de Comercinho, no médio vale do Jequitinhonha, em Minas Gerais.</w:t>
      </w:r>
    </w:p>
    <w:p w:rsidR="000B6430" w:rsidRPr="000B6430" w:rsidRDefault="000B6430" w:rsidP="000B6430">
      <w:pPr>
        <w:rPr>
          <w:rFonts w:ascii="Arial" w:hAnsi="Arial" w:cs="Arial"/>
          <w:sz w:val="24"/>
          <w:szCs w:val="24"/>
        </w:rPr>
      </w:pPr>
      <w:r w:rsidRPr="000B6430">
        <w:rPr>
          <w:rFonts w:ascii="Arial" w:hAnsi="Arial" w:cs="Arial"/>
          <w:sz w:val="24"/>
          <w:szCs w:val="24"/>
        </w:rPr>
        <w:t>Estes recursos serão destinados á Associação Rural de Atendimento Infanto Juvenil de Comercinho- ARAIC- Vale do Jequitinhonha. Esta organização atende 476 famílias em 25 comunidades da zona rural de Comercinho, o equivalente a 45% da população rural do município. São 910 crianças inscritas no Programa de Apadrinhamento.</w:t>
      </w:r>
    </w:p>
    <w:p w:rsidR="000B6430" w:rsidRDefault="000B6430">
      <w:pPr>
        <w:pStyle w:val="Ttulo2"/>
        <w:spacing w:before="0"/>
        <w:ind w:left="360"/>
        <w:rPr>
          <w:color w:val="auto"/>
        </w:rPr>
      </w:pPr>
    </w:p>
    <w:p w:rsidR="0071184B" w:rsidRDefault="0071184B">
      <w:pPr>
        <w:spacing w:after="0"/>
      </w:pPr>
    </w:p>
    <w:p w:rsidR="0071184B" w:rsidRDefault="00247600">
      <w:pPr>
        <w:pStyle w:val="Ttulo2"/>
        <w:spacing w:before="0"/>
        <w:ind w:left="360"/>
        <w:rPr>
          <w:color w:val="auto"/>
        </w:rPr>
      </w:pPr>
      <w:r>
        <w:rPr>
          <w:color w:val="auto"/>
        </w:rPr>
        <w:t>5.3. Analise da Demonstra</w:t>
      </w:r>
      <w:r>
        <w:rPr>
          <w:color w:val="auto"/>
        </w:rPr>
        <w:t>çã</w:t>
      </w:r>
      <w:r>
        <w:rPr>
          <w:color w:val="auto"/>
        </w:rPr>
        <w:t>o de Resultado</w:t>
      </w:r>
    </w:p>
    <w:p w:rsidR="000B6430" w:rsidRDefault="000B6430">
      <w:pPr>
        <w:pStyle w:val="Ttulo2"/>
        <w:spacing w:before="0"/>
        <w:ind w:left="360"/>
        <w:rPr>
          <w:color w:val="auto"/>
        </w:rPr>
      </w:pPr>
    </w:p>
    <w:p w:rsidR="000B6430" w:rsidRPr="009B389A" w:rsidRDefault="000B6430" w:rsidP="000B6430">
      <w:pPr>
        <w:pStyle w:val="NormalWeb"/>
        <w:shd w:val="clear" w:color="auto" w:fill="FFFFFF"/>
        <w:spacing w:before="120" w:beforeAutospacing="0" w:after="120" w:afterAutospacing="0" w:line="336" w:lineRule="atLeast"/>
        <w:rPr>
          <w:rFonts w:ascii="Arial" w:hAnsi="Arial" w:cs="Arial"/>
          <w:color w:val="252525"/>
        </w:rPr>
      </w:pPr>
      <w:r w:rsidRPr="009B389A">
        <w:rPr>
          <w:rFonts w:ascii="Arial" w:hAnsi="Arial" w:cs="Arial"/>
          <w:color w:val="000000"/>
        </w:rPr>
        <w:t>A Demonstração do Resultado do Exercício tem como objetivo principal apresentar de forma vertical resumida o resultado apurado em relação ao conjunto de operações realizadas num determinado período, normalmente, de doze meses,</w:t>
      </w:r>
      <w:r w:rsidRPr="009B389A">
        <w:rPr>
          <w:rFonts w:ascii="Arial" w:hAnsi="Arial" w:cs="Arial"/>
          <w:color w:val="252525"/>
        </w:rPr>
        <w:t xml:space="preserve"> através do confronto das</w:t>
      </w:r>
      <w:r w:rsidRPr="009B389A">
        <w:rPr>
          <w:rStyle w:val="apple-converted-space"/>
          <w:rFonts w:ascii="Arial" w:hAnsi="Arial" w:cs="Arial"/>
          <w:color w:val="252525"/>
        </w:rPr>
        <w:t> </w:t>
      </w:r>
      <w:r w:rsidRPr="009B389A">
        <w:rPr>
          <w:rFonts w:ascii="Arial" w:hAnsi="Arial" w:cs="Arial"/>
          <w:color w:val="252525"/>
        </w:rPr>
        <w:t>receitas, custos e resultados apurados segundo o</w:t>
      </w:r>
      <w:r w:rsidRPr="009B389A">
        <w:rPr>
          <w:rStyle w:val="apple-converted-space"/>
          <w:rFonts w:ascii="Arial" w:hAnsi="Arial" w:cs="Arial"/>
          <w:color w:val="252525"/>
        </w:rPr>
        <w:t> </w:t>
      </w:r>
      <w:r w:rsidRPr="009B389A">
        <w:rPr>
          <w:rFonts w:ascii="Arial" w:hAnsi="Arial" w:cs="Arial"/>
          <w:color w:val="252525"/>
        </w:rPr>
        <w:t>principio contábil do regime de competência</w:t>
      </w:r>
    </w:p>
    <w:p w:rsidR="000B6430" w:rsidRPr="009B389A" w:rsidRDefault="000B6430" w:rsidP="000B6430">
      <w:pPr>
        <w:pStyle w:val="NormalWeb"/>
        <w:shd w:val="clear" w:color="auto" w:fill="FFFFFF"/>
        <w:spacing w:before="120" w:beforeAutospacing="0" w:after="120" w:afterAutospacing="0" w:line="336" w:lineRule="atLeast"/>
        <w:rPr>
          <w:rFonts w:ascii="Arial" w:hAnsi="Arial" w:cs="Arial"/>
          <w:color w:val="252525"/>
        </w:rPr>
      </w:pPr>
      <w:r w:rsidRPr="009B389A">
        <w:rPr>
          <w:rFonts w:ascii="Arial" w:hAnsi="Arial" w:cs="Arial"/>
          <w:color w:val="252525"/>
        </w:rPr>
        <w:t xml:space="preserve">A demonstração do resultado do exercício oferece uma síntese financeira dos resultados operacionais e não operacionais uma empresa em certo período. Embora sejam elaboradas anualmente para fins legais de divulgação, em geral </w:t>
      </w:r>
      <w:r w:rsidRPr="009B389A">
        <w:rPr>
          <w:rFonts w:ascii="Arial" w:hAnsi="Arial" w:cs="Arial"/>
          <w:color w:val="252525"/>
        </w:rPr>
        <w:lastRenderedPageBreak/>
        <w:t>são feitas mensalmente para fins administrativos e, trimestralmente para fins fiscais.</w:t>
      </w:r>
    </w:p>
    <w:p w:rsidR="000B6430" w:rsidRPr="009B389A" w:rsidRDefault="000B6430" w:rsidP="000B6430">
      <w:pPr>
        <w:tabs>
          <w:tab w:val="left" w:pos="1290"/>
        </w:tabs>
        <w:jc w:val="both"/>
        <w:rPr>
          <w:rFonts w:ascii="Arial" w:hAnsi="Arial" w:cs="Arial"/>
          <w:b/>
          <w:color w:val="000000"/>
          <w:sz w:val="24"/>
          <w:szCs w:val="24"/>
        </w:rPr>
      </w:pPr>
    </w:p>
    <w:p w:rsidR="000B6430" w:rsidRPr="009B389A" w:rsidRDefault="000B6430" w:rsidP="000B6430">
      <w:pPr>
        <w:tabs>
          <w:tab w:val="left" w:pos="1290"/>
        </w:tabs>
        <w:jc w:val="both"/>
        <w:rPr>
          <w:rFonts w:ascii="Arial" w:hAnsi="Arial" w:cs="Arial"/>
          <w:b/>
          <w:color w:val="000000"/>
          <w:sz w:val="24"/>
          <w:szCs w:val="24"/>
        </w:rPr>
      </w:pPr>
      <w:r w:rsidRPr="009B389A">
        <w:rPr>
          <w:rFonts w:ascii="Arial" w:hAnsi="Arial" w:cs="Arial"/>
          <w:b/>
          <w:noProof/>
          <w:color w:val="000000"/>
          <w:sz w:val="24"/>
          <w:szCs w:val="24"/>
        </w:rPr>
        <w:drawing>
          <wp:inline distT="0" distB="0" distL="0" distR="0">
            <wp:extent cx="5023614" cy="4284000"/>
            <wp:effectExtent l="19050" t="0" r="5586"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5023614" cy="4284000"/>
                    </a:xfrm>
                    <a:prstGeom prst="rect">
                      <a:avLst/>
                    </a:prstGeom>
                    <a:noFill/>
                    <a:ln w="9525">
                      <a:noFill/>
                      <a:miter lim="800000"/>
                      <a:headEnd/>
                      <a:tailEnd/>
                    </a:ln>
                  </pic:spPr>
                </pic:pic>
              </a:graphicData>
            </a:graphic>
          </wp:inline>
        </w:drawing>
      </w:r>
    </w:p>
    <w:p w:rsidR="000B6430" w:rsidRPr="009B389A" w:rsidRDefault="000B6430" w:rsidP="000B6430">
      <w:pPr>
        <w:tabs>
          <w:tab w:val="left" w:pos="1290"/>
        </w:tabs>
        <w:jc w:val="both"/>
        <w:rPr>
          <w:rFonts w:ascii="Arial" w:hAnsi="Arial" w:cs="Arial"/>
          <w:sz w:val="24"/>
          <w:szCs w:val="24"/>
        </w:rPr>
      </w:pPr>
      <w:r w:rsidRPr="009B389A">
        <w:rPr>
          <w:rFonts w:ascii="Arial" w:hAnsi="Arial" w:cs="Arial"/>
          <w:sz w:val="24"/>
          <w:szCs w:val="24"/>
        </w:rPr>
        <w:t xml:space="preserve">                                                        </w:t>
      </w:r>
      <w:r w:rsidR="00F21A56">
        <w:rPr>
          <w:rFonts w:ascii="Arial" w:hAnsi="Arial" w:cs="Arial"/>
          <w:sz w:val="24"/>
          <w:szCs w:val="24"/>
        </w:rPr>
        <w:t xml:space="preserve">                                  Fonte:</w:t>
      </w:r>
      <w:r w:rsidRPr="009B389A">
        <w:rPr>
          <w:rFonts w:ascii="Arial" w:hAnsi="Arial" w:cs="Arial"/>
          <w:sz w:val="24"/>
          <w:szCs w:val="24"/>
        </w:rPr>
        <w:t>childfundbrasil.org.br</w:t>
      </w:r>
    </w:p>
    <w:p w:rsidR="000B6430" w:rsidRPr="009B389A" w:rsidRDefault="000B6430" w:rsidP="000B6430">
      <w:pPr>
        <w:tabs>
          <w:tab w:val="left" w:pos="1290"/>
        </w:tabs>
        <w:jc w:val="both"/>
        <w:rPr>
          <w:rFonts w:ascii="Arial" w:hAnsi="Arial" w:cs="Arial"/>
          <w:sz w:val="24"/>
          <w:szCs w:val="24"/>
        </w:rPr>
      </w:pPr>
      <w:r w:rsidRPr="009B389A">
        <w:rPr>
          <w:rFonts w:ascii="Arial" w:hAnsi="Arial" w:cs="Arial"/>
          <w:sz w:val="24"/>
          <w:szCs w:val="24"/>
        </w:rPr>
        <w:t>Fazendo uma análise da DRE da organização em questão, vemos que a maior parte das receitas vem através das doações, sendo a maior parte delas internacionais, representando 74,4% do total das receitas.</w:t>
      </w:r>
    </w:p>
    <w:p w:rsidR="000B6430" w:rsidRPr="009B389A" w:rsidRDefault="000B6430" w:rsidP="000B6430">
      <w:pPr>
        <w:tabs>
          <w:tab w:val="left" w:pos="1290"/>
        </w:tabs>
        <w:jc w:val="both"/>
        <w:rPr>
          <w:rFonts w:ascii="Arial" w:hAnsi="Arial" w:cs="Arial"/>
          <w:sz w:val="24"/>
          <w:szCs w:val="24"/>
        </w:rPr>
      </w:pPr>
      <w:r w:rsidRPr="009B389A">
        <w:rPr>
          <w:rFonts w:ascii="Arial" w:hAnsi="Arial" w:cs="Arial"/>
          <w:sz w:val="24"/>
          <w:szCs w:val="24"/>
        </w:rPr>
        <w:t>Verificando as despesas, percebemos que elas estão concentradas nas despesas com concessão de gratuidades. De acordo com a resolução 188 do CNAS, os valores repassados para as organizações parceiras podem ser considerados como gratuidades, sendo registrados dentro do grupo de despesas ordinárias.</w:t>
      </w:r>
    </w:p>
    <w:p w:rsidR="000B6430" w:rsidRPr="009B389A" w:rsidRDefault="000B6430" w:rsidP="000B6430">
      <w:pPr>
        <w:tabs>
          <w:tab w:val="left" w:pos="1290"/>
        </w:tabs>
        <w:jc w:val="both"/>
        <w:rPr>
          <w:rFonts w:ascii="Arial" w:hAnsi="Arial" w:cs="Arial"/>
          <w:sz w:val="24"/>
          <w:szCs w:val="24"/>
        </w:rPr>
      </w:pPr>
      <w:r w:rsidRPr="009B389A">
        <w:rPr>
          <w:rFonts w:ascii="Arial" w:hAnsi="Arial" w:cs="Arial"/>
          <w:sz w:val="24"/>
          <w:szCs w:val="24"/>
        </w:rPr>
        <w:t>Nos dois anos ocorreu um superávit (lucro) ao final do período, algo muito bom para qualquer empresa, indicando uma situação positiva apurada.</w:t>
      </w:r>
    </w:p>
    <w:p w:rsidR="000B6430" w:rsidRDefault="000B6430" w:rsidP="000B6430">
      <w:r>
        <w:t>.</w:t>
      </w:r>
    </w:p>
    <w:p w:rsidR="000B6430" w:rsidRDefault="000B6430">
      <w:pPr>
        <w:pStyle w:val="Ttulo2"/>
        <w:spacing w:before="0"/>
        <w:ind w:left="360"/>
        <w:rPr>
          <w:color w:val="auto"/>
        </w:rPr>
      </w:pPr>
    </w:p>
    <w:p w:rsidR="0071184B" w:rsidRDefault="0071184B">
      <w:pPr>
        <w:spacing w:after="0"/>
      </w:pPr>
    </w:p>
    <w:p w:rsidR="0071184B" w:rsidRDefault="00247600">
      <w:pPr>
        <w:rPr>
          <w:rFonts w:ascii="Cambria"/>
          <w:b/>
          <w:sz w:val="28"/>
          <w:szCs w:val="28"/>
        </w:rPr>
      </w:pPr>
      <w:r>
        <w:br w:type="page"/>
      </w:r>
    </w:p>
    <w:p w:rsidR="0071184B" w:rsidRDefault="00247600">
      <w:pPr>
        <w:pStyle w:val="Ttulo1"/>
        <w:spacing w:before="0"/>
      </w:pPr>
      <w:r>
        <w:lastRenderedPageBreak/>
        <w:t>6. Conclus</w:t>
      </w:r>
      <w:r>
        <w:t>ã</w:t>
      </w:r>
      <w:r>
        <w:t>o</w:t>
      </w:r>
    </w:p>
    <w:p w:rsidR="0071184B" w:rsidRDefault="0071184B">
      <w:pPr>
        <w:spacing w:after="0"/>
      </w:pPr>
    </w:p>
    <w:p w:rsidR="0071184B" w:rsidRDefault="00247600">
      <w:pPr>
        <w:rPr>
          <w:rFonts w:ascii="Cambria"/>
          <w:b/>
          <w:sz w:val="28"/>
          <w:szCs w:val="28"/>
        </w:rPr>
      </w:pPr>
      <w:r>
        <w:br w:type="page"/>
      </w:r>
    </w:p>
    <w:p w:rsidR="0071184B" w:rsidRDefault="00247600">
      <w:pPr>
        <w:pStyle w:val="Ttulo1"/>
        <w:spacing w:before="0"/>
      </w:pPr>
      <w:r>
        <w:lastRenderedPageBreak/>
        <w:t>7. Referencias Bibliogr</w:t>
      </w:r>
      <w:r>
        <w:t>á</w:t>
      </w:r>
      <w:r>
        <w:t>fica</w:t>
      </w:r>
    </w:p>
    <w:p w:rsidR="0071184B" w:rsidRDefault="0071184B"/>
    <w:p w:rsidR="0071184B" w:rsidRDefault="00247600">
      <w:pPr>
        <w:spacing w:after="0"/>
        <w:rPr>
          <w:rFonts w:ascii="Arial" w:hAnsi="Arial" w:cs="Arial"/>
          <w:sz w:val="24"/>
        </w:rPr>
      </w:pPr>
      <w:r>
        <w:rPr>
          <w:rFonts w:ascii="Arial" w:hAnsi="Arial" w:cs="Arial"/>
          <w:sz w:val="24"/>
        </w:rPr>
        <w:t>Alexandre, Ricardo. Direito Tributário Esquematizado/Ricardo Alexandre. – 7. Ed. Re. E atual. – Rio de Janeiro: Forense; São Paulo: MÉTODO, 2013.</w:t>
      </w:r>
    </w:p>
    <w:p w:rsidR="0071184B" w:rsidRDefault="0071184B">
      <w:pPr>
        <w:spacing w:after="0" w:line="360" w:lineRule="auto"/>
        <w:rPr>
          <w:rFonts w:ascii="Arial" w:hAnsi="Arial" w:cs="Arial"/>
          <w:sz w:val="24"/>
        </w:rPr>
      </w:pPr>
    </w:p>
    <w:p w:rsidR="0071184B" w:rsidRDefault="00247600">
      <w:pPr>
        <w:spacing w:after="0" w:line="240" w:lineRule="auto"/>
        <w:rPr>
          <w:rFonts w:ascii="Arial" w:hAnsi="Arial" w:cs="Arial"/>
          <w:sz w:val="24"/>
        </w:rPr>
      </w:pPr>
      <w:r>
        <w:rPr>
          <w:rFonts w:ascii="Arial" w:hAnsi="Arial" w:cs="Arial"/>
          <w:sz w:val="24"/>
        </w:rPr>
        <w:t>Coêlho, Sacha Calmon Navarro, 1940 – Curso de Direito Tributário Brasileiro/Sacha Calmon Navarro Coêlho. – Rio de Janeiro: Forense, 2010.</w:t>
      </w:r>
    </w:p>
    <w:p w:rsidR="0071184B" w:rsidRDefault="0071184B">
      <w:pPr>
        <w:spacing w:after="0" w:line="360" w:lineRule="auto"/>
      </w:pPr>
    </w:p>
    <w:p w:rsidR="0071184B" w:rsidRDefault="00247600">
      <w:pPr>
        <w:spacing w:after="0" w:line="240" w:lineRule="auto"/>
        <w:jc w:val="both"/>
        <w:rPr>
          <w:rFonts w:ascii="Arial" w:hAnsi="Arial" w:cs="Arial"/>
          <w:sz w:val="24"/>
          <w:szCs w:val="24"/>
        </w:rPr>
      </w:pPr>
      <w:r>
        <w:rPr>
          <w:rFonts w:ascii="Arial" w:hAnsi="Arial" w:cs="Arial"/>
          <w:sz w:val="24"/>
          <w:szCs w:val="24"/>
        </w:rPr>
        <w:t xml:space="preserve">Massaoka, Helio e Batista, João. A progressividade e o reajuste necessário na tabela do imposto de renda pessoa física. Disponível em: </w:t>
      </w:r>
      <w:hyperlink r:id="rId13" w:history="1">
        <w:r>
          <w:rPr>
            <w:rStyle w:val="Hyperlink"/>
            <w:rFonts w:ascii="Arial" w:hAnsi="Arial" w:cs="Arial"/>
            <w:sz w:val="24"/>
            <w:szCs w:val="24"/>
          </w:rPr>
          <w:t>file:///C:/Users/Micro/Downloads/10729-41181-1-PB.pdf</w:t>
        </w:r>
      </w:hyperlink>
    </w:p>
    <w:p w:rsidR="0071184B" w:rsidRDefault="0071184B">
      <w:pPr>
        <w:spacing w:after="0" w:line="360" w:lineRule="auto"/>
        <w:jc w:val="both"/>
        <w:rPr>
          <w:rFonts w:ascii="Arial" w:hAnsi="Arial" w:cs="Arial"/>
          <w:sz w:val="24"/>
          <w:szCs w:val="24"/>
        </w:rPr>
      </w:pPr>
    </w:p>
    <w:p w:rsidR="0071184B" w:rsidRDefault="00247600">
      <w:pPr>
        <w:spacing w:after="0" w:line="240" w:lineRule="auto"/>
        <w:jc w:val="both"/>
        <w:rPr>
          <w:rFonts w:ascii="Arial" w:hAnsi="Arial" w:cs="Arial"/>
          <w:sz w:val="24"/>
          <w:szCs w:val="24"/>
        </w:rPr>
      </w:pPr>
      <w:r>
        <w:rPr>
          <w:rFonts w:ascii="Arial" w:hAnsi="Arial" w:cs="Arial"/>
          <w:sz w:val="24"/>
          <w:szCs w:val="24"/>
        </w:rPr>
        <w:t>Acesso em: 22 de março de 2015 às 15:10</w:t>
      </w:r>
    </w:p>
    <w:p w:rsidR="0071184B" w:rsidRDefault="0047364D">
      <w:pPr>
        <w:spacing w:after="0" w:line="240" w:lineRule="auto"/>
        <w:jc w:val="both"/>
        <w:rPr>
          <w:rFonts w:ascii="Arial" w:hAnsi="Arial" w:cs="Arial"/>
          <w:sz w:val="24"/>
          <w:szCs w:val="24"/>
        </w:rPr>
      </w:pPr>
      <w:hyperlink r:id="rId14" w:history="1">
        <w:r w:rsidR="00247600">
          <w:rPr>
            <w:rStyle w:val="Hyperlink"/>
            <w:rFonts w:ascii="Arial" w:hAnsi="Arial" w:cs="Arial"/>
            <w:sz w:val="24"/>
            <w:szCs w:val="24"/>
          </w:rPr>
          <w:t>https://www.dieese.org.br/notatecnica/2013/notaTec131impostoRenda.pdf</w:t>
        </w:r>
      </w:hyperlink>
    </w:p>
    <w:p w:rsidR="0071184B" w:rsidRDefault="0071184B">
      <w:pPr>
        <w:spacing w:after="0" w:line="240" w:lineRule="auto"/>
        <w:jc w:val="both"/>
        <w:rPr>
          <w:rFonts w:ascii="Arial" w:hAnsi="Arial" w:cs="Arial"/>
          <w:sz w:val="24"/>
          <w:szCs w:val="24"/>
        </w:rPr>
      </w:pPr>
    </w:p>
    <w:p w:rsidR="0071184B" w:rsidRDefault="00247600">
      <w:pPr>
        <w:spacing w:after="0" w:line="240" w:lineRule="auto"/>
        <w:jc w:val="both"/>
        <w:rPr>
          <w:rFonts w:ascii="Arial" w:hAnsi="Arial" w:cs="Arial"/>
          <w:sz w:val="24"/>
          <w:szCs w:val="24"/>
        </w:rPr>
      </w:pPr>
      <w:r>
        <w:rPr>
          <w:rFonts w:ascii="Arial" w:hAnsi="Arial" w:cs="Arial"/>
          <w:sz w:val="24"/>
          <w:szCs w:val="24"/>
        </w:rPr>
        <w:t>acesso em: 22 de março de 2016 às 15:22</w:t>
      </w:r>
    </w:p>
    <w:p w:rsidR="0071184B" w:rsidRDefault="0047364D">
      <w:pPr>
        <w:spacing w:after="0" w:line="240" w:lineRule="auto"/>
        <w:jc w:val="both"/>
        <w:rPr>
          <w:rFonts w:ascii="Arial" w:hAnsi="Arial" w:cs="Arial"/>
          <w:sz w:val="24"/>
          <w:szCs w:val="24"/>
        </w:rPr>
      </w:pPr>
      <w:hyperlink r:id="rId15" w:history="1">
        <w:r w:rsidR="00247600">
          <w:rPr>
            <w:rStyle w:val="Hyperlink"/>
            <w:rFonts w:ascii="Arial" w:hAnsi="Arial" w:cs="Arial"/>
            <w:sz w:val="24"/>
            <w:szCs w:val="24"/>
          </w:rPr>
          <w:t>http://www.receita.fazenda.gov.br/PessoaFisica/IRPF/2015/perguntao/assuntos/deducoes-despesas-medicas.htm</w:t>
        </w:r>
      </w:hyperlink>
    </w:p>
    <w:p w:rsidR="0071184B" w:rsidRDefault="0071184B">
      <w:pPr>
        <w:spacing w:after="0"/>
        <w:rPr>
          <w:rFonts w:ascii="Arial" w:hAnsi="Arial" w:cs="Arial"/>
          <w:sz w:val="24"/>
        </w:rPr>
      </w:pPr>
    </w:p>
    <w:p w:rsidR="00FF210C" w:rsidRDefault="0047364D" w:rsidP="00FF210C">
      <w:pPr>
        <w:rPr>
          <w:rFonts w:ascii="Arial" w:hAnsi="Arial" w:cs="Arial"/>
          <w:sz w:val="24"/>
          <w:szCs w:val="24"/>
        </w:rPr>
      </w:pPr>
      <w:hyperlink r:id="rId16" w:history="1">
        <w:r w:rsidR="00FF210C" w:rsidRPr="003E338B">
          <w:rPr>
            <w:rStyle w:val="Hyperlink"/>
            <w:rFonts w:ascii="Arial" w:hAnsi="Arial" w:cs="Arial"/>
            <w:sz w:val="24"/>
            <w:szCs w:val="24"/>
          </w:rPr>
          <w:t>http://www.portaltributario.com.br/guia/declaracao_simplificada.htm</w:t>
        </w:r>
      </w:hyperlink>
    </w:p>
    <w:p w:rsidR="00FF210C" w:rsidRDefault="0047364D" w:rsidP="00FF210C">
      <w:pPr>
        <w:spacing w:after="0"/>
      </w:pPr>
      <w:hyperlink r:id="rId17" w:history="1">
        <w:r w:rsidR="00FF210C" w:rsidRPr="00283E3E">
          <w:rPr>
            <w:rStyle w:val="Hyperlink"/>
            <w:rFonts w:ascii="Arial" w:hAnsi="Arial" w:cs="Arial"/>
            <w:sz w:val="24"/>
            <w:szCs w:val="24"/>
          </w:rPr>
          <w:t>http://economia.uol.com.br/imposto-de-renda/duvidas/ir-2015-e-melhor-fazer-a-declaracao-completa-ou-a-simplificada.htm</w:t>
        </w:r>
      </w:hyperlink>
    </w:p>
    <w:p w:rsidR="005E7825" w:rsidRDefault="005E7825" w:rsidP="006E4353">
      <w:pPr>
        <w:spacing w:after="0" w:line="240" w:lineRule="auto"/>
        <w:jc w:val="both"/>
        <w:rPr>
          <w:rFonts w:ascii="Arial" w:hAnsi="Arial" w:cs="Arial"/>
          <w:sz w:val="24"/>
          <w:szCs w:val="24"/>
        </w:rPr>
      </w:pPr>
    </w:p>
    <w:p w:rsidR="006E4353" w:rsidRDefault="006E4353" w:rsidP="006E4353">
      <w:pPr>
        <w:spacing w:after="0" w:line="240" w:lineRule="auto"/>
        <w:jc w:val="both"/>
        <w:rPr>
          <w:rFonts w:ascii="Arial" w:hAnsi="Arial" w:cs="Arial"/>
          <w:sz w:val="24"/>
          <w:szCs w:val="24"/>
        </w:rPr>
      </w:pPr>
      <w:r>
        <w:rPr>
          <w:rFonts w:ascii="Arial" w:hAnsi="Arial" w:cs="Arial"/>
          <w:sz w:val="24"/>
          <w:szCs w:val="24"/>
        </w:rPr>
        <w:t>acesso em: 03 de abril</w:t>
      </w:r>
      <w:r w:rsidR="005E7825">
        <w:rPr>
          <w:rFonts w:ascii="Arial" w:hAnsi="Arial" w:cs="Arial"/>
          <w:sz w:val="24"/>
          <w:szCs w:val="24"/>
        </w:rPr>
        <w:t xml:space="preserve"> de 2016 às 20:48</w:t>
      </w:r>
    </w:p>
    <w:p w:rsidR="006E4353" w:rsidRDefault="0047364D" w:rsidP="00FF210C">
      <w:pPr>
        <w:spacing w:after="0"/>
        <w:rPr>
          <w:rFonts w:ascii="Arial" w:hAnsi="Arial" w:cs="Arial"/>
          <w:sz w:val="24"/>
        </w:rPr>
      </w:pPr>
      <w:hyperlink r:id="rId18" w:history="1">
        <w:r w:rsidR="006E4353" w:rsidRPr="00C345A9">
          <w:rPr>
            <w:rStyle w:val="Hyperlink"/>
            <w:rFonts w:ascii="Arial" w:hAnsi="Arial" w:cs="Arial"/>
            <w:sz w:val="24"/>
          </w:rPr>
          <w:t>http://www.portaltributario.com.br/artigos/planeje_doacoes_pf.htm</w:t>
        </w:r>
      </w:hyperlink>
    </w:p>
    <w:p w:rsidR="005E7825" w:rsidRDefault="005E7825" w:rsidP="00FF210C">
      <w:pPr>
        <w:spacing w:after="0"/>
        <w:rPr>
          <w:rFonts w:ascii="Arial" w:hAnsi="Arial" w:cs="Arial"/>
          <w:sz w:val="24"/>
        </w:rPr>
      </w:pPr>
    </w:p>
    <w:p w:rsidR="005E7825" w:rsidRDefault="005E7825" w:rsidP="00FF210C">
      <w:pPr>
        <w:spacing w:after="0"/>
        <w:rPr>
          <w:rFonts w:ascii="Arial" w:hAnsi="Arial" w:cs="Arial"/>
          <w:sz w:val="24"/>
        </w:rPr>
      </w:pPr>
      <w:r>
        <w:rPr>
          <w:rFonts w:ascii="Arial" w:hAnsi="Arial" w:cs="Arial"/>
          <w:sz w:val="24"/>
          <w:szCs w:val="24"/>
        </w:rPr>
        <w:t>acesso em: 03 de abril de 2016 às 20:00</w:t>
      </w:r>
    </w:p>
    <w:p w:rsidR="005E7825" w:rsidRDefault="00B14A09" w:rsidP="005E7825">
      <w:pPr>
        <w:spacing w:after="0"/>
        <w:rPr>
          <w:rFonts w:ascii="Arial" w:hAnsi="Arial" w:cs="Arial"/>
          <w:sz w:val="24"/>
        </w:rPr>
      </w:pPr>
      <w:hyperlink r:id="rId19" w:history="1">
        <w:r w:rsidRPr="007336AD">
          <w:rPr>
            <w:rStyle w:val="Hyperlink"/>
            <w:rFonts w:ascii="Arial" w:hAnsi="Arial" w:cs="Arial"/>
            <w:sz w:val="24"/>
          </w:rPr>
          <w:t>https://www.childfundbrasil.org.br</w:t>
        </w:r>
      </w:hyperlink>
    </w:p>
    <w:p w:rsidR="00B14A09" w:rsidRDefault="00B14A09" w:rsidP="005E7825">
      <w:pPr>
        <w:spacing w:after="0"/>
        <w:rPr>
          <w:rFonts w:ascii="Arial" w:hAnsi="Arial" w:cs="Arial"/>
          <w:sz w:val="24"/>
        </w:rPr>
      </w:pPr>
    </w:p>
    <w:p w:rsidR="00B14A09" w:rsidRPr="002F6AA9" w:rsidRDefault="00B14A09" w:rsidP="00B14A09">
      <w:pPr>
        <w:rPr>
          <w:rFonts w:ascii="Arial" w:hAnsi="Arial" w:cs="Arial"/>
          <w:sz w:val="24"/>
          <w:szCs w:val="24"/>
        </w:rPr>
      </w:pPr>
      <w:r w:rsidRPr="002F6AA9">
        <w:rPr>
          <w:rFonts w:ascii="Arial" w:hAnsi="Arial" w:cs="Arial"/>
          <w:color w:val="000000"/>
          <w:sz w:val="24"/>
          <w:szCs w:val="24"/>
          <w:shd w:val="clear" w:color="auto" w:fill="FFFFFF"/>
        </w:rPr>
        <w:t>Itamar Franco</w:t>
      </w:r>
      <w:r w:rsidRPr="002F6AA9">
        <w:rPr>
          <w:rFonts w:ascii="Arial" w:hAnsi="Arial" w:cs="Arial"/>
          <w:color w:val="000000"/>
          <w:sz w:val="24"/>
          <w:szCs w:val="24"/>
        </w:rPr>
        <w:t xml:space="preserve"> </w:t>
      </w:r>
      <w:r w:rsidRPr="002F6AA9">
        <w:rPr>
          <w:rStyle w:val="nfase"/>
          <w:rFonts w:ascii="Arial" w:hAnsi="Arial" w:cs="Arial"/>
          <w:color w:val="000000"/>
          <w:sz w:val="24"/>
          <w:szCs w:val="24"/>
          <w:shd w:val="clear" w:color="auto" w:fill="FFFFFF"/>
        </w:rPr>
        <w:t xml:space="preserve">Paulo Roberto Haddad/ </w:t>
      </w:r>
      <w:r w:rsidRPr="002F6AA9">
        <w:rPr>
          <w:rFonts w:ascii="Arial" w:hAnsi="Arial" w:cs="Arial"/>
          <w:sz w:val="24"/>
          <w:szCs w:val="24"/>
        </w:rPr>
        <w:t xml:space="preserve">Lei N° 8.541, de Dezembro de 1992 disponível em </w:t>
      </w:r>
      <w:hyperlink r:id="rId20" w:history="1">
        <w:r w:rsidRPr="002F6AA9">
          <w:rPr>
            <w:rStyle w:val="Hyperlink"/>
            <w:rFonts w:ascii="Arial" w:hAnsi="Arial" w:cs="Arial"/>
            <w:sz w:val="24"/>
            <w:szCs w:val="24"/>
          </w:rPr>
          <w:t>http://www.planalto.gov.br/ccivil_03/leis/L8541.htm</w:t>
        </w:r>
      </w:hyperlink>
      <w:r w:rsidRPr="002F6AA9">
        <w:rPr>
          <w:rFonts w:ascii="Arial" w:hAnsi="Arial" w:cs="Arial"/>
          <w:sz w:val="24"/>
          <w:szCs w:val="24"/>
        </w:rPr>
        <w:t xml:space="preserve"> acesso em 30/03/2016</w:t>
      </w:r>
    </w:p>
    <w:p w:rsidR="00B14A09" w:rsidRPr="002F6AA9" w:rsidRDefault="00B14A09" w:rsidP="00B14A09">
      <w:pPr>
        <w:rPr>
          <w:rFonts w:ascii="Arial" w:hAnsi="Arial" w:cs="Arial"/>
          <w:sz w:val="24"/>
          <w:szCs w:val="24"/>
        </w:rPr>
      </w:pPr>
      <w:r w:rsidRPr="002F6AA9">
        <w:rPr>
          <w:rFonts w:ascii="Arial" w:hAnsi="Arial" w:cs="Arial"/>
          <w:sz w:val="24"/>
          <w:szCs w:val="24"/>
        </w:rPr>
        <w:t xml:space="preserve">Constituição federal, </w:t>
      </w:r>
      <w:hyperlink r:id="rId21" w:history="1">
        <w:r w:rsidRPr="002F6AA9">
          <w:rPr>
            <w:rStyle w:val="Hyperlink"/>
            <w:rFonts w:ascii="Arial" w:hAnsi="Arial" w:cs="Arial"/>
            <w:sz w:val="24"/>
            <w:szCs w:val="24"/>
          </w:rPr>
          <w:t>http://www.planalto.gov.br/ccivil_03/Constituicao/Constituicao.htm acesso em 30/03/2016</w:t>
        </w:r>
      </w:hyperlink>
    </w:p>
    <w:p w:rsidR="00B14A09" w:rsidRPr="002F6AA9" w:rsidRDefault="00B14A09" w:rsidP="00B14A09">
      <w:pPr>
        <w:rPr>
          <w:rFonts w:ascii="Arial" w:hAnsi="Arial" w:cs="Arial"/>
          <w:sz w:val="24"/>
          <w:szCs w:val="24"/>
        </w:rPr>
      </w:pPr>
      <w:r w:rsidRPr="002F6AA9">
        <w:rPr>
          <w:rFonts w:ascii="Arial" w:hAnsi="Arial" w:cs="Arial"/>
          <w:sz w:val="24"/>
          <w:szCs w:val="24"/>
        </w:rPr>
        <w:t xml:space="preserve">Lei 10.406 ( Código Civil) </w:t>
      </w:r>
      <w:hyperlink r:id="rId22" w:history="1">
        <w:r w:rsidRPr="002F6AA9">
          <w:rPr>
            <w:rStyle w:val="Hyperlink"/>
            <w:rFonts w:ascii="Arial" w:hAnsi="Arial" w:cs="Arial"/>
            <w:sz w:val="24"/>
            <w:szCs w:val="24"/>
          </w:rPr>
          <w:t>http://www.planalto.gov.br/ccivil_03/Constituicao/Constituicao.htm acesso em 30/03/2016</w:t>
        </w:r>
      </w:hyperlink>
    </w:p>
    <w:p w:rsidR="00B14A09" w:rsidRDefault="00B14A09" w:rsidP="00B14A09">
      <w:pPr>
        <w:rPr>
          <w:rFonts w:ascii="Arial" w:hAnsi="Arial" w:cs="Arial"/>
          <w:sz w:val="24"/>
          <w:szCs w:val="24"/>
        </w:rPr>
      </w:pPr>
      <w:r w:rsidRPr="002F6AA9">
        <w:rPr>
          <w:rFonts w:ascii="Arial" w:hAnsi="Arial" w:cs="Arial"/>
          <w:sz w:val="24"/>
          <w:szCs w:val="24"/>
        </w:rPr>
        <w:t>Manual de procedimentos do terceiro setor, autor CFC</w:t>
      </w:r>
    </w:p>
    <w:p w:rsidR="00B14A09" w:rsidRPr="002F6AA9" w:rsidRDefault="00B14A09" w:rsidP="00B14A09">
      <w:pPr>
        <w:rPr>
          <w:rFonts w:ascii="Arial" w:hAnsi="Arial" w:cs="Arial"/>
          <w:sz w:val="24"/>
          <w:szCs w:val="24"/>
        </w:rPr>
      </w:pPr>
      <w:r w:rsidRPr="002F6AA9">
        <w:rPr>
          <w:rFonts w:ascii="Arial" w:hAnsi="Arial" w:cs="Arial"/>
          <w:sz w:val="24"/>
          <w:szCs w:val="24"/>
        </w:rPr>
        <w:lastRenderedPageBreak/>
        <w:t xml:space="preserve">Captação de recursos para o terceiro setor, </w:t>
      </w:r>
      <w:hyperlink r:id="rId23" w:history="1">
        <w:r w:rsidRPr="002F6AA9">
          <w:rPr>
            <w:rStyle w:val="Hyperlink"/>
            <w:rFonts w:ascii="Arial" w:hAnsi="Arial" w:cs="Arial"/>
            <w:sz w:val="24"/>
            <w:szCs w:val="24"/>
          </w:rPr>
          <w:t>file:///C:/Users/884771/Downloads/captacao_aspjur21092011%20revisada.pdf</w:t>
        </w:r>
      </w:hyperlink>
      <w:r w:rsidRPr="002F6AA9">
        <w:rPr>
          <w:rFonts w:ascii="Arial" w:hAnsi="Arial" w:cs="Arial"/>
          <w:sz w:val="24"/>
          <w:szCs w:val="24"/>
        </w:rPr>
        <w:t xml:space="preserve"> , acesso em 30/03/2016.</w:t>
      </w:r>
    </w:p>
    <w:p w:rsidR="00B14A09" w:rsidRPr="005E7825" w:rsidRDefault="00B14A09" w:rsidP="005E7825">
      <w:pPr>
        <w:spacing w:after="0"/>
        <w:rPr>
          <w:rFonts w:ascii="Arial" w:hAnsi="Arial" w:cs="Arial"/>
          <w:sz w:val="24"/>
        </w:rPr>
      </w:pPr>
      <w:hyperlink r:id="rId24" w:history="1">
        <w:r w:rsidRPr="002F6AA9">
          <w:rPr>
            <w:rStyle w:val="Hyperlink"/>
            <w:rFonts w:ascii="Arial" w:hAnsi="Arial" w:cs="Arial"/>
            <w:sz w:val="24"/>
            <w:szCs w:val="24"/>
          </w:rPr>
          <w:t>http://www.sebrae.com.br/sites/PortalSebrae/bis/OSCIP-%E2%80%93-organiza%C3%A7%C3%A3o-da-sociedade-civil-de-interesse-p%C3%BAblico</w:t>
        </w:r>
      </w:hyperlink>
      <w:r w:rsidRPr="002F6AA9">
        <w:rPr>
          <w:rFonts w:ascii="Arial" w:hAnsi="Arial" w:cs="Arial"/>
          <w:sz w:val="24"/>
          <w:szCs w:val="24"/>
        </w:rPr>
        <w:t xml:space="preserve"> acesso em 30/03/2016</w:t>
      </w:r>
    </w:p>
    <w:sectPr w:rsidR="00B14A09" w:rsidRPr="005E7825" w:rsidSect="0071184B">
      <w:footerReference w:type="default" r:id="rId25"/>
      <w:type w:val="continuous"/>
      <w:pgSz w:w="11906" w:h="16838"/>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9BD" w:rsidRDefault="004719BD">
      <w:pPr>
        <w:spacing w:after="0" w:line="240" w:lineRule="auto"/>
      </w:pPr>
      <w:r>
        <w:separator/>
      </w:r>
    </w:p>
  </w:endnote>
  <w:endnote w:type="continuationSeparator" w:id="1">
    <w:p w:rsidR="004719BD" w:rsidRDefault="00471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4B" w:rsidRDefault="0047364D">
    <w:pPr>
      <w:pStyle w:val="Rodap"/>
      <w:jc w:val="right"/>
    </w:pPr>
    <w:r>
      <w:fldChar w:fldCharType="begin"/>
    </w:r>
    <w:r w:rsidR="00247600">
      <w:instrText>PAGE   \* MERGEFORMAT</w:instrText>
    </w:r>
    <w:r>
      <w:fldChar w:fldCharType="separate"/>
    </w:r>
    <w:r w:rsidR="0047276E">
      <w:rPr>
        <w:noProof/>
      </w:rPr>
      <w:t>14</w:t>
    </w:r>
    <w:r>
      <w:fldChar w:fldCharType="end"/>
    </w:r>
  </w:p>
  <w:p w:rsidR="0071184B" w:rsidRDefault="007118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9BD" w:rsidRDefault="004719BD">
      <w:pPr>
        <w:spacing w:after="0" w:line="240" w:lineRule="auto"/>
      </w:pPr>
      <w:r>
        <w:separator/>
      </w:r>
    </w:p>
  </w:footnote>
  <w:footnote w:type="continuationSeparator" w:id="1">
    <w:p w:rsidR="004719BD" w:rsidRDefault="00471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1E77"/>
    <w:multiLevelType w:val="hybridMultilevel"/>
    <w:tmpl w:val="C1B4D06C"/>
    <w:lvl w:ilvl="0" w:tplc="4042AA34">
      <w:start w:val="1"/>
      <w:numFmt w:val="decimal"/>
      <w:lvlText w:val="%1."/>
      <w:lvlJc w:val="left"/>
      <w:pPr>
        <w:ind w:left="720" w:hanging="360"/>
      </w:pPr>
    </w:lvl>
    <w:lvl w:ilvl="1" w:tplc="1A78D0BA">
      <w:start w:val="1"/>
      <w:numFmt w:val="lowerLetter"/>
      <w:lvlText w:val="%2."/>
      <w:lvlJc w:val="left"/>
      <w:pPr>
        <w:ind w:left="1440" w:hanging="360"/>
      </w:pPr>
    </w:lvl>
    <w:lvl w:ilvl="2" w:tplc="F2C89E54">
      <w:start w:val="1"/>
      <w:numFmt w:val="lowerRoman"/>
      <w:lvlText w:val="%3."/>
      <w:lvlJc w:val="right"/>
      <w:pPr>
        <w:ind w:left="2160" w:hanging="180"/>
      </w:pPr>
    </w:lvl>
    <w:lvl w:ilvl="3" w:tplc="8B8C249E">
      <w:start w:val="1"/>
      <w:numFmt w:val="decimal"/>
      <w:lvlText w:val="%4."/>
      <w:lvlJc w:val="left"/>
      <w:pPr>
        <w:ind w:left="2880" w:hanging="360"/>
      </w:pPr>
    </w:lvl>
    <w:lvl w:ilvl="4" w:tplc="2FCC3426">
      <w:start w:val="1"/>
      <w:numFmt w:val="lowerLetter"/>
      <w:lvlText w:val="%5."/>
      <w:lvlJc w:val="left"/>
      <w:pPr>
        <w:ind w:left="3600" w:hanging="360"/>
      </w:pPr>
    </w:lvl>
    <w:lvl w:ilvl="5" w:tplc="F928F584">
      <w:start w:val="1"/>
      <w:numFmt w:val="lowerRoman"/>
      <w:lvlText w:val="%6."/>
      <w:lvlJc w:val="right"/>
      <w:pPr>
        <w:ind w:left="4320" w:hanging="180"/>
      </w:pPr>
    </w:lvl>
    <w:lvl w:ilvl="6" w:tplc="5A6A0B10">
      <w:start w:val="1"/>
      <w:numFmt w:val="decimal"/>
      <w:lvlText w:val="%7."/>
      <w:lvlJc w:val="left"/>
      <w:pPr>
        <w:ind w:left="5040" w:hanging="360"/>
      </w:pPr>
    </w:lvl>
    <w:lvl w:ilvl="7" w:tplc="B79A123C">
      <w:start w:val="1"/>
      <w:numFmt w:val="lowerLetter"/>
      <w:lvlText w:val="%8."/>
      <w:lvlJc w:val="left"/>
      <w:pPr>
        <w:ind w:left="5760" w:hanging="360"/>
      </w:pPr>
    </w:lvl>
    <w:lvl w:ilvl="8" w:tplc="C9242870">
      <w:start w:val="1"/>
      <w:numFmt w:val="lowerRoman"/>
      <w:lvlText w:val="%9."/>
      <w:lvlJc w:val="right"/>
      <w:pPr>
        <w:ind w:left="6480" w:hanging="180"/>
      </w:pPr>
    </w:lvl>
  </w:abstractNum>
  <w:abstractNum w:abstractNumId="1">
    <w:nsid w:val="163A5E89"/>
    <w:multiLevelType w:val="hybridMultilevel"/>
    <w:tmpl w:val="0FD49260"/>
    <w:lvl w:ilvl="0" w:tplc="E7B22B90">
      <w:start w:val="1"/>
      <w:numFmt w:val="decimal"/>
      <w:lvlText w:val="%1."/>
      <w:lvlJc w:val="left"/>
      <w:pPr>
        <w:ind w:left="720" w:hanging="360"/>
      </w:pPr>
      <w:rPr>
        <w:rFonts w:hint="default"/>
      </w:rPr>
    </w:lvl>
    <w:lvl w:ilvl="1" w:tplc="A4B66E88">
      <w:start w:val="1"/>
      <w:numFmt w:val="lowerLetter"/>
      <w:lvlText w:val="%2."/>
      <w:lvlJc w:val="left"/>
      <w:pPr>
        <w:ind w:left="1440" w:hanging="360"/>
      </w:pPr>
    </w:lvl>
    <w:lvl w:ilvl="2" w:tplc="D55E05EC">
      <w:start w:val="1"/>
      <w:numFmt w:val="lowerRoman"/>
      <w:lvlText w:val="%3."/>
      <w:lvlJc w:val="right"/>
      <w:pPr>
        <w:ind w:left="2160" w:hanging="180"/>
      </w:pPr>
    </w:lvl>
    <w:lvl w:ilvl="3" w:tplc="8488D686">
      <w:start w:val="1"/>
      <w:numFmt w:val="decimal"/>
      <w:lvlText w:val="%4."/>
      <w:lvlJc w:val="left"/>
      <w:pPr>
        <w:ind w:left="2880" w:hanging="360"/>
      </w:pPr>
    </w:lvl>
    <w:lvl w:ilvl="4" w:tplc="93CEEAA6">
      <w:start w:val="1"/>
      <w:numFmt w:val="lowerLetter"/>
      <w:lvlText w:val="%5."/>
      <w:lvlJc w:val="left"/>
      <w:pPr>
        <w:ind w:left="3600" w:hanging="360"/>
      </w:pPr>
    </w:lvl>
    <w:lvl w:ilvl="5" w:tplc="97D8C90C">
      <w:start w:val="1"/>
      <w:numFmt w:val="lowerRoman"/>
      <w:lvlText w:val="%6."/>
      <w:lvlJc w:val="right"/>
      <w:pPr>
        <w:ind w:left="4320" w:hanging="180"/>
      </w:pPr>
    </w:lvl>
    <w:lvl w:ilvl="6" w:tplc="6A6C127A">
      <w:start w:val="1"/>
      <w:numFmt w:val="decimal"/>
      <w:lvlText w:val="%7."/>
      <w:lvlJc w:val="left"/>
      <w:pPr>
        <w:ind w:left="5040" w:hanging="360"/>
      </w:pPr>
    </w:lvl>
    <w:lvl w:ilvl="7" w:tplc="0EECBE94">
      <w:start w:val="1"/>
      <w:numFmt w:val="lowerLetter"/>
      <w:lvlText w:val="%8."/>
      <w:lvlJc w:val="left"/>
      <w:pPr>
        <w:ind w:left="5760" w:hanging="360"/>
      </w:pPr>
    </w:lvl>
    <w:lvl w:ilvl="8" w:tplc="DC680608">
      <w:start w:val="1"/>
      <w:numFmt w:val="lowerRoman"/>
      <w:lvlText w:val="%9."/>
      <w:lvlJc w:val="right"/>
      <w:pPr>
        <w:ind w:left="6480" w:hanging="180"/>
      </w:pPr>
    </w:lvl>
  </w:abstractNum>
  <w:abstractNum w:abstractNumId="2">
    <w:nsid w:val="17D032F4"/>
    <w:multiLevelType w:val="multilevel"/>
    <w:tmpl w:val="CF30E66A"/>
    <w:lvl w:ilvl="0">
      <w:start w:val="1"/>
      <w:numFmt w:val="decimal"/>
      <w:lvlText w:val="%1."/>
      <w:lvlJc w:val="left"/>
      <w:pPr>
        <w:ind w:left="643" w:hanging="360"/>
      </w:pPr>
    </w:lvl>
    <w:lvl w:ilvl="1">
      <w:start w:val="1"/>
      <w:numFmt w:val="decimal"/>
      <w:lvlText w:val="%1.%2."/>
      <w:lvlJc w:val="left"/>
      <w:pPr>
        <w:ind w:left="1018" w:hanging="375"/>
      </w:pPr>
      <w:rPr>
        <w:rFonts w:hint="default"/>
      </w:rPr>
    </w:lvl>
    <w:lvl w:ilvl="2">
      <w:start w:val="1"/>
      <w:numFmt w:val="decimal"/>
      <w:lvlText w:val="%1.%2.%3."/>
      <w:lvlJc w:val="left"/>
      <w:pPr>
        <w:ind w:left="1777" w:hanging="720"/>
      </w:pPr>
      <w:rPr>
        <w:rFonts w:hint="default"/>
      </w:rPr>
    </w:lvl>
    <w:lvl w:ilvl="3">
      <w:start w:val="1"/>
      <w:numFmt w:val="decimal"/>
      <w:lvlText w:val="%1.%2.%3.%4."/>
      <w:lvlJc w:val="left"/>
      <w:pPr>
        <w:ind w:left="2083" w:hanging="720"/>
      </w:pPr>
      <w:rPr>
        <w:rFonts w:hint="default"/>
      </w:rPr>
    </w:lvl>
    <w:lvl w:ilvl="4">
      <w:start w:val="1"/>
      <w:numFmt w:val="decimal"/>
      <w:lvlText w:val="%1.%2.%3.%4.%5."/>
      <w:lvlJc w:val="left"/>
      <w:pPr>
        <w:ind w:left="2803" w:hanging="1080"/>
      </w:pPr>
      <w:rPr>
        <w:rFonts w:hint="default"/>
      </w:rPr>
    </w:lvl>
    <w:lvl w:ilvl="5">
      <w:start w:val="1"/>
      <w:numFmt w:val="decimal"/>
      <w:lvlText w:val="%1.%2.%3.%4.%5.%6."/>
      <w:lvlJc w:val="left"/>
      <w:pPr>
        <w:ind w:left="3163" w:hanging="1080"/>
      </w:pPr>
      <w:rPr>
        <w:rFonts w:hint="default"/>
      </w:rPr>
    </w:lvl>
    <w:lvl w:ilvl="6">
      <w:start w:val="1"/>
      <w:numFmt w:val="decimal"/>
      <w:lvlText w:val="%1.%2.%3.%4.%5.%6.%7."/>
      <w:lvlJc w:val="left"/>
      <w:pPr>
        <w:ind w:left="3883" w:hanging="1440"/>
      </w:pPr>
      <w:rPr>
        <w:rFonts w:hint="default"/>
      </w:rPr>
    </w:lvl>
    <w:lvl w:ilvl="7">
      <w:start w:val="1"/>
      <w:numFmt w:val="decimal"/>
      <w:lvlText w:val="%1.%2.%3.%4.%5.%6.%7.%8."/>
      <w:lvlJc w:val="left"/>
      <w:pPr>
        <w:ind w:left="4243" w:hanging="1440"/>
      </w:pPr>
      <w:rPr>
        <w:rFonts w:hint="default"/>
      </w:rPr>
    </w:lvl>
    <w:lvl w:ilvl="8">
      <w:start w:val="1"/>
      <w:numFmt w:val="decimal"/>
      <w:lvlText w:val="%1.%2.%3.%4.%5.%6.%7.%8.%9."/>
      <w:lvlJc w:val="left"/>
      <w:pPr>
        <w:ind w:left="4963" w:hanging="1800"/>
      </w:pPr>
      <w:rPr>
        <w:rFonts w:hint="default"/>
      </w:rPr>
    </w:lvl>
  </w:abstractNum>
  <w:abstractNum w:abstractNumId="3">
    <w:nsid w:val="30736B99"/>
    <w:multiLevelType w:val="hybridMultilevel"/>
    <w:tmpl w:val="BC28F774"/>
    <w:lvl w:ilvl="0" w:tplc="AE4E78CA">
      <w:start w:val="1"/>
      <w:numFmt w:val="bullet"/>
      <w:lvlText w:val="•"/>
      <w:lvlJc w:val="left"/>
      <w:pPr>
        <w:ind w:left="644"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8AE3BE2"/>
    <w:multiLevelType w:val="hybridMultilevel"/>
    <w:tmpl w:val="FCC00488"/>
    <w:lvl w:ilvl="0" w:tplc="57E45AB8">
      <w:start w:val="1"/>
      <w:numFmt w:val="decimal"/>
      <w:lvlText w:val="%1."/>
      <w:lvlJc w:val="left"/>
      <w:pPr>
        <w:ind w:left="1287" w:hanging="360"/>
      </w:pPr>
    </w:lvl>
    <w:lvl w:ilvl="1" w:tplc="9B7EBAD2">
      <w:start w:val="1"/>
      <w:numFmt w:val="lowerLetter"/>
      <w:lvlText w:val="%2."/>
      <w:lvlJc w:val="left"/>
      <w:pPr>
        <w:ind w:left="2007" w:hanging="360"/>
      </w:pPr>
    </w:lvl>
    <w:lvl w:ilvl="2" w:tplc="BB5A16F2">
      <w:start w:val="1"/>
      <w:numFmt w:val="lowerRoman"/>
      <w:lvlText w:val="%3."/>
      <w:lvlJc w:val="right"/>
      <w:pPr>
        <w:ind w:left="2727" w:hanging="180"/>
      </w:pPr>
    </w:lvl>
    <w:lvl w:ilvl="3" w:tplc="AAD090A0">
      <w:start w:val="1"/>
      <w:numFmt w:val="decimal"/>
      <w:lvlText w:val="%4."/>
      <w:lvlJc w:val="left"/>
      <w:pPr>
        <w:ind w:left="3447" w:hanging="360"/>
      </w:pPr>
    </w:lvl>
    <w:lvl w:ilvl="4" w:tplc="AF6AFF94">
      <w:start w:val="1"/>
      <w:numFmt w:val="lowerLetter"/>
      <w:lvlText w:val="%5."/>
      <w:lvlJc w:val="left"/>
      <w:pPr>
        <w:ind w:left="4167" w:hanging="360"/>
      </w:pPr>
    </w:lvl>
    <w:lvl w:ilvl="5" w:tplc="6D7235A6">
      <w:start w:val="1"/>
      <w:numFmt w:val="lowerRoman"/>
      <w:lvlText w:val="%6."/>
      <w:lvlJc w:val="right"/>
      <w:pPr>
        <w:ind w:left="4887" w:hanging="180"/>
      </w:pPr>
    </w:lvl>
    <w:lvl w:ilvl="6" w:tplc="982A1502">
      <w:start w:val="1"/>
      <w:numFmt w:val="decimal"/>
      <w:lvlText w:val="%7."/>
      <w:lvlJc w:val="left"/>
      <w:pPr>
        <w:ind w:left="5607" w:hanging="360"/>
      </w:pPr>
    </w:lvl>
    <w:lvl w:ilvl="7" w:tplc="68F2746A">
      <w:start w:val="1"/>
      <w:numFmt w:val="lowerLetter"/>
      <w:lvlText w:val="%8."/>
      <w:lvlJc w:val="left"/>
      <w:pPr>
        <w:ind w:left="6327" w:hanging="360"/>
      </w:pPr>
    </w:lvl>
    <w:lvl w:ilvl="8" w:tplc="60F02BF6">
      <w:start w:val="1"/>
      <w:numFmt w:val="lowerRoman"/>
      <w:lvlText w:val="%9."/>
      <w:lvlJc w:val="right"/>
      <w:pPr>
        <w:ind w:left="7047" w:hanging="180"/>
      </w:pPr>
    </w:lvl>
  </w:abstractNum>
  <w:abstractNum w:abstractNumId="5">
    <w:nsid w:val="3A2D1055"/>
    <w:multiLevelType w:val="multilevel"/>
    <w:tmpl w:val="64F808C0"/>
    <w:lvl w:ilvl="0">
      <w:start w:val="1"/>
      <w:numFmt w:val="decimal"/>
      <w:lvlText w:val="%1."/>
      <w:lvlJc w:val="left"/>
      <w:pPr>
        <w:ind w:left="720" w:hanging="360"/>
      </w:pPr>
    </w:lvl>
    <w:lvl w:ilvl="1">
      <w:start w:val="1"/>
      <w:numFmt w:val="decimal"/>
      <w:lvlText w:val="%1.%2."/>
      <w:lvlJc w:val="left"/>
      <w:pPr>
        <w:ind w:left="109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
    <w:nsid w:val="51BC6C07"/>
    <w:multiLevelType w:val="multilevel"/>
    <w:tmpl w:val="0BDE88BE"/>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E00FF6"/>
    <w:multiLevelType w:val="hybridMultilevel"/>
    <w:tmpl w:val="D2FE1572"/>
    <w:lvl w:ilvl="0" w:tplc="3692FD88">
      <w:numFmt w:val="bullet"/>
      <w:lvlText w:val=""/>
      <w:lvlJc w:val="left"/>
      <w:pPr>
        <w:ind w:left="720" w:hanging="360"/>
      </w:pPr>
      <w:rPr>
        <w:rFonts w:ascii="Symbol" w:eastAsia="Calibri" w:hAnsi="Symbol" w:hint="default"/>
      </w:rPr>
    </w:lvl>
    <w:lvl w:ilvl="1" w:tplc="E24CFDC4">
      <w:start w:val="1"/>
      <w:numFmt w:val="bullet"/>
      <w:lvlText w:val="o"/>
      <w:lvlJc w:val="left"/>
      <w:pPr>
        <w:ind w:left="1440" w:hanging="360"/>
      </w:pPr>
      <w:rPr>
        <w:rFonts w:ascii="Courier New" w:hAnsi="Courier New" w:cs="Courier New" w:hint="default"/>
      </w:rPr>
    </w:lvl>
    <w:lvl w:ilvl="2" w:tplc="EAC2CE0C">
      <w:start w:val="1"/>
      <w:numFmt w:val="bullet"/>
      <w:lvlText w:val=""/>
      <w:lvlJc w:val="left"/>
      <w:pPr>
        <w:ind w:left="2160" w:hanging="360"/>
      </w:pPr>
      <w:rPr>
        <w:rFonts w:ascii="Wingdings" w:hAnsi="Wingdings" w:hint="default"/>
      </w:rPr>
    </w:lvl>
    <w:lvl w:ilvl="3" w:tplc="2FD0B5C8">
      <w:start w:val="1"/>
      <w:numFmt w:val="bullet"/>
      <w:lvlText w:val=""/>
      <w:lvlJc w:val="left"/>
      <w:pPr>
        <w:ind w:left="2880" w:hanging="360"/>
      </w:pPr>
      <w:rPr>
        <w:rFonts w:ascii="Symbol" w:hAnsi="Symbol" w:hint="default"/>
      </w:rPr>
    </w:lvl>
    <w:lvl w:ilvl="4" w:tplc="663A4D88">
      <w:start w:val="1"/>
      <w:numFmt w:val="bullet"/>
      <w:lvlText w:val="o"/>
      <w:lvlJc w:val="left"/>
      <w:pPr>
        <w:ind w:left="3600" w:hanging="360"/>
      </w:pPr>
      <w:rPr>
        <w:rFonts w:ascii="Courier New" w:hAnsi="Courier New" w:cs="Courier New" w:hint="default"/>
      </w:rPr>
    </w:lvl>
    <w:lvl w:ilvl="5" w:tplc="E75A2622">
      <w:start w:val="1"/>
      <w:numFmt w:val="bullet"/>
      <w:lvlText w:val=""/>
      <w:lvlJc w:val="left"/>
      <w:pPr>
        <w:ind w:left="4320" w:hanging="360"/>
      </w:pPr>
      <w:rPr>
        <w:rFonts w:ascii="Wingdings" w:hAnsi="Wingdings" w:hint="default"/>
      </w:rPr>
    </w:lvl>
    <w:lvl w:ilvl="6" w:tplc="4CEECD58">
      <w:start w:val="1"/>
      <w:numFmt w:val="bullet"/>
      <w:lvlText w:val=""/>
      <w:lvlJc w:val="left"/>
      <w:pPr>
        <w:ind w:left="5040" w:hanging="360"/>
      </w:pPr>
      <w:rPr>
        <w:rFonts w:ascii="Symbol" w:hAnsi="Symbol" w:hint="default"/>
      </w:rPr>
    </w:lvl>
    <w:lvl w:ilvl="7" w:tplc="2B606FF4">
      <w:start w:val="1"/>
      <w:numFmt w:val="bullet"/>
      <w:lvlText w:val="o"/>
      <w:lvlJc w:val="left"/>
      <w:pPr>
        <w:ind w:left="5760" w:hanging="360"/>
      </w:pPr>
      <w:rPr>
        <w:rFonts w:ascii="Courier New" w:hAnsi="Courier New" w:cs="Courier New" w:hint="default"/>
      </w:rPr>
    </w:lvl>
    <w:lvl w:ilvl="8" w:tplc="7E0879D4">
      <w:start w:val="1"/>
      <w:numFmt w:val="bullet"/>
      <w:lvlText w:val=""/>
      <w:lvlJc w:val="left"/>
      <w:pPr>
        <w:ind w:left="6480" w:hanging="360"/>
      </w:pPr>
      <w:rPr>
        <w:rFonts w:ascii="Wingdings" w:hAnsi="Wingdings" w:hint="default"/>
      </w:rPr>
    </w:lvl>
  </w:abstractNum>
  <w:abstractNum w:abstractNumId="8">
    <w:nsid w:val="5ED55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4C22B04"/>
    <w:multiLevelType w:val="hybridMultilevel"/>
    <w:tmpl w:val="DEA85AD0"/>
    <w:lvl w:ilvl="0" w:tplc="4470D7FC">
      <w:start w:val="1"/>
      <w:numFmt w:val="decimal"/>
      <w:lvlText w:val="%1."/>
      <w:lvlJc w:val="left"/>
      <w:pPr>
        <w:ind w:left="2136" w:hanging="360"/>
      </w:pPr>
    </w:lvl>
    <w:lvl w:ilvl="1" w:tplc="6BE6B7B8">
      <w:start w:val="1"/>
      <w:numFmt w:val="lowerLetter"/>
      <w:lvlText w:val="%2."/>
      <w:lvlJc w:val="left"/>
      <w:pPr>
        <w:ind w:left="2856" w:hanging="360"/>
      </w:pPr>
    </w:lvl>
    <w:lvl w:ilvl="2" w:tplc="A23418D8">
      <w:start w:val="1"/>
      <w:numFmt w:val="lowerRoman"/>
      <w:lvlText w:val="%3."/>
      <w:lvlJc w:val="right"/>
      <w:pPr>
        <w:ind w:left="3576" w:hanging="180"/>
      </w:pPr>
    </w:lvl>
    <w:lvl w:ilvl="3" w:tplc="83421E9A">
      <w:start w:val="1"/>
      <w:numFmt w:val="decimal"/>
      <w:lvlText w:val="%4."/>
      <w:lvlJc w:val="left"/>
      <w:pPr>
        <w:ind w:left="4296" w:hanging="360"/>
      </w:pPr>
    </w:lvl>
    <w:lvl w:ilvl="4" w:tplc="5AC467CA">
      <w:start w:val="1"/>
      <w:numFmt w:val="lowerLetter"/>
      <w:lvlText w:val="%5."/>
      <w:lvlJc w:val="left"/>
      <w:pPr>
        <w:ind w:left="5016" w:hanging="360"/>
      </w:pPr>
    </w:lvl>
    <w:lvl w:ilvl="5" w:tplc="47807BB0">
      <w:start w:val="1"/>
      <w:numFmt w:val="lowerRoman"/>
      <w:lvlText w:val="%6."/>
      <w:lvlJc w:val="right"/>
      <w:pPr>
        <w:ind w:left="5736" w:hanging="180"/>
      </w:pPr>
    </w:lvl>
    <w:lvl w:ilvl="6" w:tplc="ADDC435A">
      <w:start w:val="1"/>
      <w:numFmt w:val="decimal"/>
      <w:lvlText w:val="%7."/>
      <w:lvlJc w:val="left"/>
      <w:pPr>
        <w:ind w:left="6456" w:hanging="360"/>
      </w:pPr>
    </w:lvl>
    <w:lvl w:ilvl="7" w:tplc="65F869B0">
      <w:start w:val="1"/>
      <w:numFmt w:val="lowerLetter"/>
      <w:lvlText w:val="%8."/>
      <w:lvlJc w:val="left"/>
      <w:pPr>
        <w:ind w:left="7176" w:hanging="360"/>
      </w:pPr>
    </w:lvl>
    <w:lvl w:ilvl="8" w:tplc="F112EC6C">
      <w:start w:val="1"/>
      <w:numFmt w:val="lowerRoman"/>
      <w:lvlText w:val="%9."/>
      <w:lvlJc w:val="right"/>
      <w:pPr>
        <w:ind w:left="7896" w:hanging="180"/>
      </w:pPr>
    </w:lvl>
  </w:abstractNum>
  <w:abstractNum w:abstractNumId="10">
    <w:nsid w:val="72EB60D9"/>
    <w:multiLevelType w:val="hybridMultilevel"/>
    <w:tmpl w:val="4718C804"/>
    <w:lvl w:ilvl="0" w:tplc="D666A06A">
      <w:start w:val="1"/>
      <w:numFmt w:val="lowerLetter"/>
      <w:lvlText w:val="%1-"/>
      <w:lvlJc w:val="left"/>
      <w:pPr>
        <w:ind w:left="1497" w:hanging="930"/>
      </w:pPr>
      <w:rPr>
        <w:rFonts w:hint="default"/>
      </w:rPr>
    </w:lvl>
    <w:lvl w:ilvl="1" w:tplc="AF447090">
      <w:start w:val="1"/>
      <w:numFmt w:val="lowerLetter"/>
      <w:lvlText w:val="%2."/>
      <w:lvlJc w:val="left"/>
      <w:pPr>
        <w:ind w:left="1647" w:hanging="360"/>
      </w:pPr>
    </w:lvl>
    <w:lvl w:ilvl="2" w:tplc="C90090A6">
      <w:start w:val="1"/>
      <w:numFmt w:val="lowerRoman"/>
      <w:lvlText w:val="%3."/>
      <w:lvlJc w:val="right"/>
      <w:pPr>
        <w:ind w:left="2367" w:hanging="180"/>
      </w:pPr>
    </w:lvl>
    <w:lvl w:ilvl="3" w:tplc="BEBEF67A">
      <w:start w:val="1"/>
      <w:numFmt w:val="decimal"/>
      <w:lvlText w:val="%4."/>
      <w:lvlJc w:val="left"/>
      <w:pPr>
        <w:ind w:left="3087" w:hanging="360"/>
      </w:pPr>
    </w:lvl>
    <w:lvl w:ilvl="4" w:tplc="41329F84">
      <w:start w:val="1"/>
      <w:numFmt w:val="lowerLetter"/>
      <w:lvlText w:val="%5."/>
      <w:lvlJc w:val="left"/>
      <w:pPr>
        <w:ind w:left="3807" w:hanging="360"/>
      </w:pPr>
    </w:lvl>
    <w:lvl w:ilvl="5" w:tplc="0CF20304">
      <w:start w:val="1"/>
      <w:numFmt w:val="lowerRoman"/>
      <w:lvlText w:val="%6."/>
      <w:lvlJc w:val="right"/>
      <w:pPr>
        <w:ind w:left="4527" w:hanging="180"/>
      </w:pPr>
    </w:lvl>
    <w:lvl w:ilvl="6" w:tplc="F29862C0">
      <w:start w:val="1"/>
      <w:numFmt w:val="decimal"/>
      <w:lvlText w:val="%7."/>
      <w:lvlJc w:val="left"/>
      <w:pPr>
        <w:ind w:left="5247" w:hanging="360"/>
      </w:pPr>
    </w:lvl>
    <w:lvl w:ilvl="7" w:tplc="CBBC7D26">
      <w:start w:val="1"/>
      <w:numFmt w:val="lowerLetter"/>
      <w:lvlText w:val="%8."/>
      <w:lvlJc w:val="left"/>
      <w:pPr>
        <w:ind w:left="5967" w:hanging="360"/>
      </w:pPr>
    </w:lvl>
    <w:lvl w:ilvl="8" w:tplc="B92C40B6">
      <w:start w:val="1"/>
      <w:numFmt w:val="lowerRoman"/>
      <w:lvlText w:val="%9."/>
      <w:lvlJc w:val="right"/>
      <w:pPr>
        <w:ind w:left="6687" w:hanging="180"/>
      </w:pPr>
    </w:lvl>
  </w:abstractNum>
  <w:num w:numId="1">
    <w:abstractNumId w:val="7"/>
  </w:num>
  <w:num w:numId="2">
    <w:abstractNumId w:val="2"/>
  </w:num>
  <w:num w:numId="3">
    <w:abstractNumId w:val="0"/>
  </w:num>
  <w:num w:numId="4">
    <w:abstractNumId w:val="8"/>
  </w:num>
  <w:num w:numId="5">
    <w:abstractNumId w:val="9"/>
  </w:num>
  <w:num w:numId="6">
    <w:abstractNumId w:val="5"/>
  </w:num>
  <w:num w:numId="7">
    <w:abstractNumId w:val="1"/>
  </w:num>
  <w:num w:numId="8">
    <w:abstractNumId w:val="6"/>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115D38"/>
    <w:rsid w:val="00050358"/>
    <w:rsid w:val="000662AE"/>
    <w:rsid w:val="0009764B"/>
    <w:rsid w:val="000B0372"/>
    <w:rsid w:val="000B6430"/>
    <w:rsid w:val="00115D38"/>
    <w:rsid w:val="001422B1"/>
    <w:rsid w:val="00160C9B"/>
    <w:rsid w:val="001C3479"/>
    <w:rsid w:val="00205CD8"/>
    <w:rsid w:val="00224E9A"/>
    <w:rsid w:val="00247600"/>
    <w:rsid w:val="002B025F"/>
    <w:rsid w:val="002E72B3"/>
    <w:rsid w:val="002F462F"/>
    <w:rsid w:val="00301A91"/>
    <w:rsid w:val="00301F65"/>
    <w:rsid w:val="0030575E"/>
    <w:rsid w:val="003E1D89"/>
    <w:rsid w:val="00442494"/>
    <w:rsid w:val="004719BD"/>
    <w:rsid w:val="0047276E"/>
    <w:rsid w:val="0047364D"/>
    <w:rsid w:val="004A7754"/>
    <w:rsid w:val="004E566F"/>
    <w:rsid w:val="00510546"/>
    <w:rsid w:val="00541DF9"/>
    <w:rsid w:val="005C3250"/>
    <w:rsid w:val="005E7825"/>
    <w:rsid w:val="005F6C01"/>
    <w:rsid w:val="006A4E4C"/>
    <w:rsid w:val="006D3288"/>
    <w:rsid w:val="006E17B8"/>
    <w:rsid w:val="006E4353"/>
    <w:rsid w:val="00707259"/>
    <w:rsid w:val="0071184B"/>
    <w:rsid w:val="00730966"/>
    <w:rsid w:val="0075608A"/>
    <w:rsid w:val="0077143C"/>
    <w:rsid w:val="007B740F"/>
    <w:rsid w:val="00843B00"/>
    <w:rsid w:val="008815B0"/>
    <w:rsid w:val="008967E0"/>
    <w:rsid w:val="008E4AEA"/>
    <w:rsid w:val="00902D66"/>
    <w:rsid w:val="0093322E"/>
    <w:rsid w:val="00A20A31"/>
    <w:rsid w:val="00A342F1"/>
    <w:rsid w:val="00A440C8"/>
    <w:rsid w:val="00AF1DFF"/>
    <w:rsid w:val="00AF244A"/>
    <w:rsid w:val="00B14A09"/>
    <w:rsid w:val="00B375E9"/>
    <w:rsid w:val="00B829B1"/>
    <w:rsid w:val="00C302B7"/>
    <w:rsid w:val="00C674A8"/>
    <w:rsid w:val="00C7096D"/>
    <w:rsid w:val="00CD3EA1"/>
    <w:rsid w:val="00CD511A"/>
    <w:rsid w:val="00CF0553"/>
    <w:rsid w:val="00D13C63"/>
    <w:rsid w:val="00D530E7"/>
    <w:rsid w:val="00D82ED1"/>
    <w:rsid w:val="00E12910"/>
    <w:rsid w:val="00F21A56"/>
    <w:rsid w:val="00F51D70"/>
    <w:rsid w:val="00F65A89"/>
    <w:rsid w:val="00F90F81"/>
    <w:rsid w:val="00FF21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4B"/>
  </w:style>
  <w:style w:type="paragraph" w:styleId="Ttulo1">
    <w:name w:val="heading 1"/>
    <w:basedOn w:val="Normal"/>
    <w:link w:val="Ttulo1Char"/>
    <w:uiPriority w:val="9"/>
    <w:qFormat/>
    <w:rsid w:val="0071184B"/>
    <w:pPr>
      <w:keepNext/>
      <w:keepLines/>
      <w:spacing w:before="480" w:after="0"/>
      <w:outlineLvl w:val="0"/>
    </w:pPr>
    <w:rPr>
      <w:rFonts w:ascii="Cambria"/>
      <w:b/>
      <w:sz w:val="28"/>
      <w:szCs w:val="28"/>
    </w:rPr>
  </w:style>
  <w:style w:type="paragraph" w:styleId="Ttulo2">
    <w:name w:val="heading 2"/>
    <w:basedOn w:val="Normal"/>
    <w:link w:val="Ttulo2Char"/>
    <w:uiPriority w:val="9"/>
    <w:qFormat/>
    <w:rsid w:val="0071184B"/>
    <w:pPr>
      <w:keepNext/>
      <w:keepLines/>
      <w:spacing w:before="200" w:after="0"/>
      <w:outlineLvl w:val="1"/>
    </w:pPr>
    <w:rPr>
      <w:rFonts w:ascii="Cambria"/>
      <w:b/>
      <w:color w:val="4F81BD"/>
      <w:sz w:val="26"/>
      <w:szCs w:val="26"/>
    </w:rPr>
  </w:style>
  <w:style w:type="paragraph" w:styleId="Ttulo3">
    <w:name w:val="heading 3"/>
    <w:basedOn w:val="Normal"/>
    <w:link w:val="Ttulo3Char"/>
    <w:uiPriority w:val="9"/>
    <w:qFormat/>
    <w:rsid w:val="0071184B"/>
    <w:pPr>
      <w:keepNext/>
      <w:keepLines/>
      <w:spacing w:before="200" w:after="0"/>
      <w:outlineLvl w:val="2"/>
    </w:pPr>
    <w:rPr>
      <w:rFonts w:ascii="Cambria"/>
      <w:b/>
      <w:color w:val="4F81BD"/>
    </w:rPr>
  </w:style>
  <w:style w:type="paragraph" w:styleId="Ttulo4">
    <w:name w:val="heading 4"/>
    <w:basedOn w:val="Normal"/>
    <w:link w:val="Ttulo4Char"/>
    <w:uiPriority w:val="9"/>
    <w:qFormat/>
    <w:rsid w:val="0071184B"/>
    <w:pPr>
      <w:keepNext/>
      <w:keepLines/>
      <w:spacing w:before="200" w:after="0"/>
      <w:outlineLvl w:val="3"/>
    </w:pPr>
    <w:rPr>
      <w:rFonts w:ascii="Cambria"/>
      <w:b/>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184B"/>
    <w:pPr>
      <w:ind w:left="720"/>
      <w:contextualSpacing/>
    </w:pPr>
  </w:style>
  <w:style w:type="character" w:customStyle="1" w:styleId="Ttulo1Char">
    <w:name w:val="Título 1 Char"/>
    <w:basedOn w:val="Fontepargpadro"/>
    <w:link w:val="Ttulo1"/>
    <w:uiPriority w:val="9"/>
    <w:rsid w:val="0071184B"/>
    <w:rPr>
      <w:rFonts w:ascii="Cambria"/>
      <w:b/>
      <w:sz w:val="28"/>
      <w:szCs w:val="28"/>
    </w:rPr>
  </w:style>
  <w:style w:type="character" w:customStyle="1" w:styleId="Ttulo2Char">
    <w:name w:val="Título 2 Char"/>
    <w:basedOn w:val="Fontepargpadro"/>
    <w:link w:val="Ttulo2"/>
    <w:uiPriority w:val="9"/>
    <w:rsid w:val="0071184B"/>
    <w:rPr>
      <w:rFonts w:ascii="Cambria"/>
      <w:b/>
      <w:color w:val="4F81BD"/>
      <w:sz w:val="26"/>
      <w:szCs w:val="26"/>
    </w:rPr>
  </w:style>
  <w:style w:type="character" w:customStyle="1" w:styleId="Ttulo3Char">
    <w:name w:val="Título 3 Char"/>
    <w:basedOn w:val="Fontepargpadro"/>
    <w:link w:val="Ttulo3"/>
    <w:uiPriority w:val="9"/>
    <w:rsid w:val="0071184B"/>
    <w:rPr>
      <w:rFonts w:ascii="Cambria"/>
      <w:b/>
      <w:color w:val="4F81BD"/>
    </w:rPr>
  </w:style>
  <w:style w:type="paragraph" w:styleId="CabealhodoSumrio">
    <w:name w:val="TOC Heading"/>
    <w:basedOn w:val="Ttulo1"/>
    <w:uiPriority w:val="39"/>
    <w:qFormat/>
    <w:rsid w:val="0071184B"/>
    <w:pPr>
      <w:outlineLvl w:val="9"/>
    </w:pPr>
  </w:style>
  <w:style w:type="paragraph" w:styleId="Sumrio1">
    <w:name w:val="toc 1"/>
    <w:basedOn w:val="Normal"/>
    <w:uiPriority w:val="39"/>
    <w:rsid w:val="0071184B"/>
    <w:pPr>
      <w:tabs>
        <w:tab w:val="right" w:leader="dot" w:pos="8494"/>
      </w:tabs>
      <w:spacing w:after="100"/>
      <w:jc w:val="center"/>
    </w:pPr>
    <w:rPr>
      <w:b/>
    </w:rPr>
  </w:style>
  <w:style w:type="paragraph" w:styleId="Sumrio2">
    <w:name w:val="toc 2"/>
    <w:basedOn w:val="Normal"/>
    <w:uiPriority w:val="39"/>
    <w:rsid w:val="0071184B"/>
    <w:pPr>
      <w:spacing w:after="100"/>
      <w:ind w:left="220"/>
    </w:pPr>
  </w:style>
  <w:style w:type="paragraph" w:styleId="Sumrio3">
    <w:name w:val="toc 3"/>
    <w:basedOn w:val="Normal"/>
    <w:uiPriority w:val="39"/>
    <w:rsid w:val="0071184B"/>
    <w:pPr>
      <w:spacing w:after="100"/>
      <w:ind w:left="440"/>
    </w:pPr>
  </w:style>
  <w:style w:type="character" w:styleId="Hyperlink">
    <w:name w:val="Hyperlink"/>
    <w:basedOn w:val="Fontepargpadro"/>
    <w:uiPriority w:val="99"/>
    <w:rsid w:val="0071184B"/>
    <w:rPr>
      <w:color w:val="0000FF"/>
      <w:u w:val="single"/>
    </w:rPr>
  </w:style>
  <w:style w:type="paragraph" w:styleId="Textodebalo">
    <w:name w:val="Balloon Text"/>
    <w:basedOn w:val="Normal"/>
    <w:link w:val="TextodebaloChar"/>
    <w:uiPriority w:val="99"/>
    <w:rsid w:val="007118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71184B"/>
    <w:rPr>
      <w:rFonts w:ascii="Tahoma" w:hAnsi="Tahoma" w:cs="Tahoma"/>
      <w:sz w:val="16"/>
      <w:szCs w:val="16"/>
    </w:rPr>
  </w:style>
  <w:style w:type="paragraph" w:styleId="Cabealho">
    <w:name w:val="header"/>
    <w:basedOn w:val="Normal"/>
    <w:link w:val="CabealhoChar"/>
    <w:uiPriority w:val="99"/>
    <w:rsid w:val="007118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184B"/>
  </w:style>
  <w:style w:type="paragraph" w:styleId="Rodap">
    <w:name w:val="footer"/>
    <w:basedOn w:val="Normal"/>
    <w:link w:val="RodapChar"/>
    <w:uiPriority w:val="99"/>
    <w:rsid w:val="0071184B"/>
    <w:pPr>
      <w:tabs>
        <w:tab w:val="center" w:pos="4252"/>
        <w:tab w:val="right" w:pos="8504"/>
      </w:tabs>
      <w:spacing w:after="0" w:line="240" w:lineRule="auto"/>
    </w:pPr>
  </w:style>
  <w:style w:type="character" w:customStyle="1" w:styleId="RodapChar">
    <w:name w:val="Rodapé Char"/>
    <w:basedOn w:val="Fontepargpadro"/>
    <w:link w:val="Rodap"/>
    <w:uiPriority w:val="99"/>
    <w:rsid w:val="0071184B"/>
  </w:style>
  <w:style w:type="paragraph" w:styleId="NormalWeb">
    <w:name w:val="Normal (Web)"/>
    <w:basedOn w:val="Normal"/>
    <w:uiPriority w:val="99"/>
    <w:rsid w:val="0071184B"/>
    <w:pPr>
      <w:spacing w:before="100" w:beforeAutospacing="1" w:after="100" w:afterAutospacing="1" w:line="240" w:lineRule="auto"/>
    </w:pPr>
    <w:rPr>
      <w:rFonts w:ascii="Times New Roman"/>
      <w:sz w:val="24"/>
      <w:szCs w:val="24"/>
    </w:rPr>
  </w:style>
  <w:style w:type="character" w:customStyle="1" w:styleId="apple-converted-space">
    <w:name w:val="apple-converted-space"/>
    <w:basedOn w:val="Fontepargpadro"/>
    <w:rsid w:val="0071184B"/>
  </w:style>
  <w:style w:type="character" w:customStyle="1" w:styleId="highlight">
    <w:name w:val="highlight"/>
    <w:basedOn w:val="Fontepargpadro"/>
    <w:rsid w:val="0071184B"/>
  </w:style>
  <w:style w:type="character" w:customStyle="1" w:styleId="Ttulo4Char">
    <w:name w:val="Título 4 Char"/>
    <w:basedOn w:val="Fontepargpadro"/>
    <w:link w:val="Ttulo4"/>
    <w:uiPriority w:val="9"/>
    <w:rsid w:val="0071184B"/>
    <w:rPr>
      <w:rFonts w:ascii="Cambria"/>
      <w:b/>
      <w:i/>
      <w:color w:val="000000"/>
    </w:rPr>
  </w:style>
  <w:style w:type="paragraph" w:styleId="Sumrio4">
    <w:name w:val="toc 4"/>
    <w:basedOn w:val="Normal"/>
    <w:uiPriority w:val="39"/>
    <w:rsid w:val="0071184B"/>
    <w:pPr>
      <w:spacing w:after="100"/>
      <w:ind w:left="660"/>
    </w:pPr>
  </w:style>
  <w:style w:type="character" w:styleId="nfase">
    <w:name w:val="Emphasis"/>
    <w:basedOn w:val="Fontepargpadro"/>
    <w:uiPriority w:val="20"/>
    <w:qFormat/>
    <w:rsid w:val="00B14A09"/>
    <w:rPr>
      <w:i/>
      <w:iCs/>
    </w:rPr>
  </w:style>
  <w:style w:type="character" w:styleId="Forte">
    <w:name w:val="Strong"/>
    <w:basedOn w:val="Fontepargpadro"/>
    <w:uiPriority w:val="22"/>
    <w:qFormat/>
    <w:rsid w:val="00D530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967E0"/>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har"/>
    <w:uiPriority w:val="9"/>
    <w:unhideWhenUsed/>
    <w:qFormat/>
    <w:rsid w:val="006D32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7096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09764B"/>
    <w:pPr>
      <w:keepNext/>
      <w:keepLines/>
      <w:spacing w:before="200" w:after="0"/>
      <w:outlineLvl w:val="3"/>
    </w:pPr>
    <w:rPr>
      <w:rFonts w:asciiTheme="majorHAnsi" w:eastAsiaTheme="majorEastAsia" w:hAnsiTheme="majorHAnsi" w:cstheme="majorBidi"/>
      <w:b/>
      <w:bCs/>
      <w:i/>
      <w:i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5D38"/>
    <w:pPr>
      <w:ind w:left="720"/>
      <w:contextualSpacing/>
    </w:pPr>
  </w:style>
  <w:style w:type="character" w:customStyle="1" w:styleId="Ttulo1Char">
    <w:name w:val="Título 1 Char"/>
    <w:basedOn w:val="Fontepargpadro"/>
    <w:link w:val="Ttulo1"/>
    <w:uiPriority w:val="9"/>
    <w:rsid w:val="008967E0"/>
    <w:rPr>
      <w:rFonts w:asciiTheme="majorHAnsi" w:eastAsiaTheme="majorEastAsia" w:hAnsiTheme="majorHAnsi" w:cstheme="majorBidi"/>
      <w:b/>
      <w:bCs/>
      <w:sz w:val="28"/>
      <w:szCs w:val="28"/>
    </w:rPr>
  </w:style>
  <w:style w:type="character" w:customStyle="1" w:styleId="Ttulo2Char">
    <w:name w:val="Título 2 Char"/>
    <w:basedOn w:val="Fontepargpadro"/>
    <w:link w:val="Ttulo2"/>
    <w:uiPriority w:val="9"/>
    <w:rsid w:val="006D328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C7096D"/>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C7096D"/>
    <w:pPr>
      <w:outlineLvl w:val="9"/>
    </w:pPr>
  </w:style>
  <w:style w:type="paragraph" w:styleId="Sumrio1">
    <w:name w:val="toc 1"/>
    <w:basedOn w:val="Normal"/>
    <w:next w:val="Normal"/>
    <w:autoRedefine/>
    <w:uiPriority w:val="39"/>
    <w:unhideWhenUsed/>
    <w:rsid w:val="004A7754"/>
    <w:pPr>
      <w:tabs>
        <w:tab w:val="right" w:leader="dot" w:pos="8494"/>
      </w:tabs>
      <w:spacing w:after="100"/>
      <w:jc w:val="center"/>
    </w:pPr>
    <w:rPr>
      <w:b/>
    </w:rPr>
  </w:style>
  <w:style w:type="paragraph" w:styleId="Sumrio2">
    <w:name w:val="toc 2"/>
    <w:basedOn w:val="Normal"/>
    <w:next w:val="Normal"/>
    <w:autoRedefine/>
    <w:uiPriority w:val="39"/>
    <w:unhideWhenUsed/>
    <w:rsid w:val="00C7096D"/>
    <w:pPr>
      <w:spacing w:after="100"/>
      <w:ind w:left="220"/>
    </w:pPr>
  </w:style>
  <w:style w:type="paragraph" w:styleId="Sumrio3">
    <w:name w:val="toc 3"/>
    <w:basedOn w:val="Normal"/>
    <w:next w:val="Normal"/>
    <w:autoRedefine/>
    <w:uiPriority w:val="39"/>
    <w:unhideWhenUsed/>
    <w:rsid w:val="00C7096D"/>
    <w:pPr>
      <w:spacing w:after="100"/>
      <w:ind w:left="440"/>
    </w:pPr>
  </w:style>
  <w:style w:type="character" w:styleId="Hyperlink">
    <w:name w:val="Hyperlink"/>
    <w:basedOn w:val="Fontepargpadro"/>
    <w:uiPriority w:val="99"/>
    <w:unhideWhenUsed/>
    <w:rsid w:val="00C7096D"/>
    <w:rPr>
      <w:color w:val="0000FF" w:themeColor="hyperlink"/>
      <w:u w:val="single"/>
    </w:rPr>
  </w:style>
  <w:style w:type="paragraph" w:styleId="Textodebalo">
    <w:name w:val="Balloon Text"/>
    <w:basedOn w:val="Normal"/>
    <w:link w:val="TextodebaloChar"/>
    <w:uiPriority w:val="99"/>
    <w:semiHidden/>
    <w:unhideWhenUsed/>
    <w:rsid w:val="00C709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96D"/>
    <w:rPr>
      <w:rFonts w:ascii="Tahoma" w:hAnsi="Tahoma" w:cs="Tahoma"/>
      <w:sz w:val="16"/>
      <w:szCs w:val="16"/>
    </w:rPr>
  </w:style>
  <w:style w:type="paragraph" w:styleId="Cabealho">
    <w:name w:val="header"/>
    <w:basedOn w:val="Normal"/>
    <w:link w:val="CabealhoChar"/>
    <w:uiPriority w:val="99"/>
    <w:unhideWhenUsed/>
    <w:rsid w:val="00C709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096D"/>
  </w:style>
  <w:style w:type="paragraph" w:styleId="Rodap">
    <w:name w:val="footer"/>
    <w:basedOn w:val="Normal"/>
    <w:link w:val="RodapChar"/>
    <w:uiPriority w:val="99"/>
    <w:unhideWhenUsed/>
    <w:rsid w:val="00C7096D"/>
    <w:pPr>
      <w:tabs>
        <w:tab w:val="center" w:pos="4252"/>
        <w:tab w:val="right" w:pos="8504"/>
      </w:tabs>
      <w:spacing w:after="0" w:line="240" w:lineRule="auto"/>
    </w:pPr>
  </w:style>
  <w:style w:type="character" w:customStyle="1" w:styleId="RodapChar">
    <w:name w:val="Rodapé Char"/>
    <w:basedOn w:val="Fontepargpadro"/>
    <w:link w:val="Rodap"/>
    <w:uiPriority w:val="99"/>
    <w:rsid w:val="00C7096D"/>
  </w:style>
  <w:style w:type="paragraph" w:styleId="NormalWeb">
    <w:name w:val="Normal (Web)"/>
    <w:basedOn w:val="Normal"/>
    <w:uiPriority w:val="99"/>
    <w:semiHidden/>
    <w:unhideWhenUsed/>
    <w:rsid w:val="00896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8967E0"/>
  </w:style>
  <w:style w:type="character" w:customStyle="1" w:styleId="highlight">
    <w:name w:val="highlight"/>
    <w:basedOn w:val="Fontepargpadro"/>
    <w:rsid w:val="008967E0"/>
  </w:style>
  <w:style w:type="character" w:customStyle="1" w:styleId="Ttulo4Char">
    <w:name w:val="Título 4 Char"/>
    <w:basedOn w:val="Fontepargpadro"/>
    <w:link w:val="Ttulo4"/>
    <w:uiPriority w:val="9"/>
    <w:rsid w:val="0009764B"/>
    <w:rPr>
      <w:rFonts w:asciiTheme="majorHAnsi" w:eastAsiaTheme="majorEastAsia" w:hAnsiTheme="majorHAnsi" w:cstheme="majorBidi"/>
      <w:b/>
      <w:bCs/>
      <w:i/>
      <w:iCs/>
      <w:color w:val="000000" w:themeColor="text1"/>
    </w:rPr>
  </w:style>
  <w:style w:type="paragraph" w:styleId="Sumrio4">
    <w:name w:val="toc 4"/>
    <w:basedOn w:val="Normal"/>
    <w:next w:val="Normal"/>
    <w:autoRedefine/>
    <w:uiPriority w:val="39"/>
    <w:unhideWhenUsed/>
    <w:rsid w:val="0009764B"/>
    <w:pPr>
      <w:spacing w:after="100"/>
      <w:ind w:left="660"/>
    </w:pPr>
  </w:style>
</w:styles>
</file>

<file path=word/webSettings.xml><?xml version="1.0" encoding="utf-8"?>
<w:webSettings xmlns:r="http://schemas.openxmlformats.org/officeDocument/2006/relationships" xmlns:w="http://schemas.openxmlformats.org/wordprocessingml/2006/main">
  <w:divs>
    <w:div w:id="1113328478">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20159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icro/Downloads/10729-41181-1-PB.pdf" TargetMode="External"/><Relationship Id="rId18" Type="http://schemas.openxmlformats.org/officeDocument/2006/relationships/hyperlink" Target="http://www.portaltributario.com.br/artigos/planeje_doacoes_pf.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Constituicao/Constituicao.htm%20acesso%20em%2030/03/201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conomia.uol.com.br/imposto-de-renda/duvidas/ir-2015-e-melhor-fazer-a-declaracao-completa-ou-a-simplificada.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ibutario.com.br/guia/declaracao_simplificada.htm" TargetMode="External"/><Relationship Id="rId20" Type="http://schemas.openxmlformats.org/officeDocument/2006/relationships/hyperlink" Target="http://www.planalto.gov.br/ccivil_03/leis/L854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ebrae.com.br/sites/PortalSebrae/bis/OSCIP-%E2%80%93-organiza%C3%A7%C3%A3o-da-sociedade-civil-de-interesse-p%C3%BAblico" TargetMode="External"/><Relationship Id="rId5" Type="http://schemas.openxmlformats.org/officeDocument/2006/relationships/webSettings" Target="webSettings.xml"/><Relationship Id="rId15" Type="http://schemas.openxmlformats.org/officeDocument/2006/relationships/hyperlink" Target="http://www.receita.fazenda.gov.br/PessoaFisica/IRPF/2015/perguntao/assuntos/deducoes-despesas-medicas.htm" TargetMode="External"/><Relationship Id="rId23" Type="http://schemas.openxmlformats.org/officeDocument/2006/relationships/hyperlink" Target="file:///C:/Users/884771/Downloads/captacao_aspjur21092011%20revisada.pdf" TargetMode="External"/><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s://www.childfundbrasil.org.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eese.org.br/notatecnica/2013/notaTec131impostoRenda.pdf" TargetMode="External"/><Relationship Id="rId22" Type="http://schemas.openxmlformats.org/officeDocument/2006/relationships/hyperlink" Target="http://www.planalto.gov.br/ccivil_03/Constituicao/Constituicao.htm%20acesso%20em%2030/03/2016"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E573-F51F-4701-B95E-51195034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5122</Words>
  <Characters>27660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Tadeu</dc:creator>
  <cp:lastModifiedBy>Usuario</cp:lastModifiedBy>
  <cp:revision>3</cp:revision>
  <dcterms:created xsi:type="dcterms:W3CDTF">2016-04-21T16:55:00Z</dcterms:created>
  <dcterms:modified xsi:type="dcterms:W3CDTF">2016-04-21T23:27:00Z</dcterms:modified>
</cp:coreProperties>
</file>