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920" w:rsidRDefault="00087920" w:rsidP="00087920">
      <w:pPr>
        <w:pStyle w:val="Standard"/>
        <w:spacing w:line="360" w:lineRule="auto"/>
      </w:pPr>
      <w:r>
        <w:rPr>
          <w:rFonts w:ascii="Arial" w:hAnsi="Arial"/>
          <w:b/>
          <w:bCs/>
        </w:rPr>
        <w:t>1 INTRODUÇÃO</w:t>
      </w:r>
    </w:p>
    <w:p w:rsidR="00087920" w:rsidRDefault="00087920" w:rsidP="00087920">
      <w:pPr>
        <w:pStyle w:val="Standard"/>
        <w:spacing w:line="360" w:lineRule="auto"/>
        <w:ind w:firstLine="709"/>
        <w:jc w:val="both"/>
        <w:rPr>
          <w:rFonts w:ascii="Arial" w:hAnsi="Arial"/>
        </w:rPr>
      </w:pPr>
    </w:p>
    <w:p w:rsidR="00087920" w:rsidRDefault="00087920" w:rsidP="00087920">
      <w:pPr>
        <w:pStyle w:val="Standard"/>
        <w:spacing w:line="360" w:lineRule="auto"/>
        <w:ind w:firstLine="709"/>
        <w:jc w:val="both"/>
        <w:rPr>
          <w:rFonts w:ascii="Arial" w:hAnsi="Arial"/>
        </w:rPr>
      </w:pPr>
      <w:r>
        <w:rPr>
          <w:rFonts w:ascii="Arial" w:hAnsi="Arial"/>
        </w:rPr>
        <w:t>Os indicadores auxiliam as tomadas de decisão, tornando-as mais rápidas e aumentando a probabilidade de acerto. Indicadores são transposições gráficas de fórmulas matemáticas, baseados no preço e/ou volume da ação em função do tempo (CORREIA, 2010).</w:t>
      </w:r>
    </w:p>
    <w:p w:rsidR="00087920" w:rsidRDefault="00087920" w:rsidP="00087920">
      <w:pPr>
        <w:pStyle w:val="Standard"/>
        <w:spacing w:line="360" w:lineRule="auto"/>
        <w:ind w:firstLine="709"/>
        <w:jc w:val="both"/>
        <w:rPr>
          <w:rFonts w:ascii="Arial" w:hAnsi="Arial"/>
        </w:rPr>
      </w:pPr>
      <w:r>
        <w:rPr>
          <w:rFonts w:ascii="Arial" w:hAnsi="Arial"/>
        </w:rPr>
        <w:t>Quanto mais curto for período utilizado pelo indicador, mais sensível será o resultado obtido, porém ao fazermos isso, aumentamos a quantidade de falsos sinais que serão absorvidos pelos indicadores. A medida que aumentamos o período utilizado no indicador, conseguimos reduzir esses falsos sinais, mas passamos a receber informações atrasadas e poderemos perder boas oportunidades. Portanto é necessário certo equilíbrio, abrindo mão de parte do lucro para reduzir as chances de uma decisão precipitada que acarrete um prejuízo (CORREIA, 2010).</w:t>
      </w:r>
    </w:p>
    <w:p w:rsidR="00087920" w:rsidRDefault="00087920" w:rsidP="00087920">
      <w:pPr>
        <w:pStyle w:val="Standard"/>
        <w:spacing w:line="360" w:lineRule="auto"/>
        <w:ind w:firstLine="709"/>
        <w:jc w:val="both"/>
        <w:rPr>
          <w:rFonts w:ascii="Arial" w:hAnsi="Arial"/>
        </w:rPr>
      </w:pPr>
      <w:r>
        <w:rPr>
          <w:rFonts w:ascii="Arial" w:hAnsi="Arial"/>
        </w:rPr>
        <w:t xml:space="preserve">No desenvolvimento deste trabalho serão utilizados dois indicadores. Um indicador de tendência, o MMA-9, e um indicador de momento, o IRF-9. </w:t>
      </w:r>
    </w:p>
    <w:p w:rsidR="00087920" w:rsidRDefault="00087920" w:rsidP="00087920">
      <w:pPr>
        <w:pStyle w:val="Standard"/>
        <w:spacing w:line="360" w:lineRule="auto"/>
        <w:ind w:firstLine="709"/>
        <w:jc w:val="both"/>
        <w:rPr>
          <w:rFonts w:ascii="Arial" w:hAnsi="Arial"/>
        </w:rPr>
      </w:pPr>
      <w:r>
        <w:rPr>
          <w:rFonts w:ascii="Arial" w:hAnsi="Arial"/>
        </w:rPr>
        <w:t>O MMA-9, Média Móvel Aritmética de 9 períodos, tem a função de suavizar os ziguezagues do gráfico, transformando-os em uma linha ou curva, que de forma mais clara mostrará a tendência da ação, sem nunca antecipar uma mudança de tendência, mas sim, ajudando a confirma-la (CORREIA, 2010).</w:t>
      </w:r>
    </w:p>
    <w:p w:rsidR="00087920" w:rsidRDefault="00087920" w:rsidP="00087920">
      <w:pPr>
        <w:pStyle w:val="Standard"/>
        <w:spacing w:line="360" w:lineRule="auto"/>
        <w:ind w:firstLine="709"/>
        <w:jc w:val="both"/>
        <w:rPr>
          <w:rFonts w:ascii="Arial" w:hAnsi="Arial"/>
        </w:rPr>
      </w:pPr>
      <w:r>
        <w:rPr>
          <w:rFonts w:ascii="Arial" w:hAnsi="Arial"/>
        </w:rPr>
        <w:t xml:space="preserve">O IRF-9, Índice de Força Relativa de Wilder de 9 períodos, é um oscilador que mede a cada período as forças de oferta e demanda no mercado, é expresso em percentual. Sendo 50% sua zona neutra, com oferta e demanda em equilíbrio. A medida que o indicador se afasta superiormente desta zona, indica que as de demanda (compradora) são maiores que as de oferta (vendedora), sinalizando uma possível alta nos preços do ativo. Porém, se esse valor fica muito próximo do limite superior de 100%, indica que temos uma demanda excessiva em relação à oferta, de modo que não se pode descartar uma correção no preço do ativo. Neste último caso dizemos que o ativo está sobre comprado e tomamos isso como um possível sinal de venda (CORREIA, 2010). Por raciocínio análogo, quando o preço se encontra muito próximo de 0%, dizemos que o ativo está sobre vendido, sinalizando uma possível oportunidade de compra. </w:t>
      </w:r>
    </w:p>
    <w:p w:rsidR="00087920" w:rsidRDefault="00087920" w:rsidP="00087920">
      <w:pPr>
        <w:pStyle w:val="Standard"/>
        <w:spacing w:line="360" w:lineRule="auto"/>
        <w:ind w:firstLine="709"/>
        <w:jc w:val="both"/>
        <w:rPr>
          <w:rFonts w:ascii="Arial" w:hAnsi="Arial"/>
        </w:rPr>
      </w:pPr>
      <w:r>
        <w:rPr>
          <w:rFonts w:ascii="Arial" w:hAnsi="Arial"/>
        </w:rPr>
        <w:t>Sendo assim, o objetivo deste trabalho consiste em testar, no passado, mais especificamente entre 1 de julho de 2014 a 30 de junho de 2016 estratégias de compra e venda de ações, baseadas nesses dois indicadores.</w:t>
      </w:r>
    </w:p>
    <w:p w:rsidR="00087920" w:rsidRDefault="00087920" w:rsidP="00087920">
      <w:pPr>
        <w:pStyle w:val="Standard"/>
        <w:spacing w:line="360" w:lineRule="auto"/>
        <w:jc w:val="both"/>
        <w:rPr>
          <w:rFonts w:ascii="Arial" w:hAnsi="Arial"/>
          <w:b/>
        </w:rPr>
      </w:pPr>
      <w:r>
        <w:rPr>
          <w:rFonts w:ascii="Arial" w:hAnsi="Arial"/>
          <w:b/>
        </w:rPr>
        <w:lastRenderedPageBreak/>
        <w:t>2 DESENVOLVIMENTO</w:t>
      </w:r>
    </w:p>
    <w:p w:rsidR="00087920" w:rsidRDefault="00087920" w:rsidP="00087920">
      <w:pPr>
        <w:pStyle w:val="Standard"/>
        <w:spacing w:line="360" w:lineRule="auto"/>
        <w:jc w:val="both"/>
        <w:rPr>
          <w:rFonts w:ascii="Arial" w:hAnsi="Arial"/>
          <w:b/>
        </w:rPr>
      </w:pPr>
    </w:p>
    <w:p w:rsidR="00087920" w:rsidRDefault="00087920" w:rsidP="00087920">
      <w:pPr>
        <w:pStyle w:val="Standard"/>
        <w:spacing w:line="360" w:lineRule="auto"/>
        <w:jc w:val="both"/>
        <w:rPr>
          <w:rFonts w:ascii="Arial" w:hAnsi="Arial"/>
          <w:b/>
        </w:rPr>
      </w:pPr>
      <w:r>
        <w:rPr>
          <w:rFonts w:ascii="Arial" w:hAnsi="Arial"/>
          <w:b/>
        </w:rPr>
        <w:t>2.1 APRESENTAÇÃO DAS EMPRESAS E DOS SETUPS</w:t>
      </w:r>
    </w:p>
    <w:p w:rsidR="00087920" w:rsidRDefault="00087920" w:rsidP="00087920">
      <w:pPr>
        <w:pStyle w:val="Standard"/>
        <w:spacing w:line="360" w:lineRule="auto"/>
        <w:ind w:firstLine="709"/>
        <w:jc w:val="both"/>
        <w:rPr>
          <w:rFonts w:ascii="Arial" w:hAnsi="Arial"/>
        </w:rPr>
      </w:pPr>
    </w:p>
    <w:p w:rsidR="00087920" w:rsidRDefault="00087920" w:rsidP="00087920">
      <w:pPr>
        <w:pStyle w:val="Standard"/>
        <w:spacing w:line="360" w:lineRule="auto"/>
        <w:ind w:firstLine="709"/>
        <w:jc w:val="both"/>
        <w:rPr>
          <w:rFonts w:ascii="Arial" w:hAnsi="Arial" w:cs="Arial"/>
        </w:rPr>
      </w:pPr>
      <w:r>
        <w:rPr>
          <w:rFonts w:ascii="Arial" w:hAnsi="Arial" w:cs="Arial"/>
        </w:rPr>
        <w:t>O primeiro setup foi realizado para as ações BBDC3, que são as ações ordinárias do Banco Bradesco S.A. Para este setup foi utilizado a média móvel de 9 períodos, para gráfico diário. Sendo que, a MMA-9 com inclinação positiva define uma compra, e a MMA-9 negativa define uma venda a descoberto, sempre no preço de fechamento. Neste setup, estamos sempre operando comprados ou vendidos, assim a partir do segundo trade, faz-se sempre a entrada dobrada.</w:t>
      </w:r>
    </w:p>
    <w:p w:rsidR="00087920" w:rsidRDefault="00087920" w:rsidP="00087920">
      <w:pPr>
        <w:pStyle w:val="Standard"/>
        <w:spacing w:line="360" w:lineRule="auto"/>
        <w:ind w:firstLine="709"/>
        <w:jc w:val="both"/>
        <w:rPr>
          <w:rFonts w:ascii="Arial" w:hAnsi="Arial" w:cs="Arial"/>
        </w:rPr>
      </w:pPr>
      <w:r>
        <w:rPr>
          <w:rFonts w:ascii="Arial" w:hAnsi="Arial" w:cs="Arial"/>
        </w:rPr>
        <w:t>No segundo setup foi analisado gráfico de candles diários da Cielo S.A. Neste setup, foi utilizado IFR-9, sendo que, períodos abaixo de 40 % definiriam uma compra e períodos acima de 60% definiriam uma venda, sempre no preço de fechamento. Diferente do primeiro setup, neste operamos apenas na compra, sem fazer venda a descoberto.</w:t>
      </w:r>
    </w:p>
    <w:p w:rsidR="00087920" w:rsidRDefault="00087920" w:rsidP="00087920">
      <w:pPr>
        <w:pStyle w:val="Standard"/>
        <w:spacing w:line="360" w:lineRule="auto"/>
        <w:ind w:firstLine="709"/>
        <w:jc w:val="both"/>
        <w:rPr>
          <w:rFonts w:ascii="Arial" w:hAnsi="Arial" w:cs="Arial"/>
        </w:rPr>
      </w:pPr>
    </w:p>
    <w:p w:rsidR="00087920" w:rsidRDefault="00087920" w:rsidP="00087920">
      <w:pPr>
        <w:pStyle w:val="Standard"/>
        <w:spacing w:line="360" w:lineRule="auto"/>
        <w:jc w:val="both"/>
        <w:rPr>
          <w:rFonts w:ascii="Arial" w:hAnsi="Arial" w:cs="Arial"/>
          <w:b/>
        </w:rPr>
      </w:pPr>
      <w:r>
        <w:rPr>
          <w:rFonts w:ascii="Arial" w:hAnsi="Arial" w:cs="Arial"/>
          <w:b/>
        </w:rPr>
        <w:t>2.2 ANÁLISE DAS TENDÊNCIAS</w:t>
      </w:r>
    </w:p>
    <w:p w:rsidR="00087920" w:rsidRDefault="00087920" w:rsidP="00087920">
      <w:pPr>
        <w:pStyle w:val="Standard"/>
        <w:tabs>
          <w:tab w:val="left" w:pos="2928"/>
        </w:tabs>
        <w:spacing w:line="360" w:lineRule="auto"/>
        <w:ind w:firstLine="709"/>
        <w:jc w:val="both"/>
        <w:rPr>
          <w:rFonts w:ascii="Arial" w:hAnsi="Arial" w:cs="Arial"/>
        </w:rPr>
      </w:pPr>
      <w:r>
        <w:rPr>
          <w:rFonts w:ascii="Arial" w:hAnsi="Arial" w:cs="Arial"/>
        </w:rPr>
        <w:tab/>
      </w:r>
    </w:p>
    <w:p w:rsidR="00087920" w:rsidRDefault="00087920" w:rsidP="00087920">
      <w:pPr>
        <w:suppressAutoHyphens w:val="0"/>
        <w:spacing w:line="360" w:lineRule="auto"/>
        <w:ind w:firstLine="709"/>
        <w:jc w:val="both"/>
        <w:rPr>
          <w:rFonts w:ascii="Arial" w:hAnsi="Arial" w:cs="Arial"/>
        </w:rPr>
      </w:pPr>
      <w:r>
        <w:rPr>
          <w:rFonts w:ascii="Arial" w:hAnsi="Arial" w:cs="Arial"/>
        </w:rPr>
        <w:t>Observa-se no gráfico 1, uma linha de tendência de baixa bem definida entre abril de 2015 e início de 2016, com uma recuperação bem acentuada no início de 2016. É possível verificar a formação de um topo duplo, anterior ao início da LTB, indicando a reversão de tendência</w:t>
      </w:r>
    </w:p>
    <w:p w:rsidR="00087920" w:rsidRDefault="00087920" w:rsidP="00087920">
      <w:pPr>
        <w:suppressAutoHyphens w:val="0"/>
        <w:rPr>
          <w:rFonts w:ascii="Arial" w:hAnsi="Arial" w:cs="Arial"/>
          <w:b/>
        </w:rPr>
      </w:pPr>
    </w:p>
    <w:p w:rsidR="00087920" w:rsidRDefault="00087920" w:rsidP="00087920">
      <w:pPr>
        <w:suppressAutoHyphens w:val="0"/>
        <w:rPr>
          <w:rFonts w:ascii="Arial" w:hAnsi="Arial" w:cs="Arial"/>
          <w:b/>
        </w:rPr>
      </w:pPr>
      <w:r>
        <w:rPr>
          <w:rFonts w:ascii="Arial" w:hAnsi="Arial" w:cs="Arial"/>
          <w:b/>
        </w:rPr>
        <w:t>Gráfico 1: Linhas de tendência da BBCD3</w:t>
      </w:r>
    </w:p>
    <w:p w:rsidR="00087920" w:rsidRDefault="00087920" w:rsidP="00087920">
      <w:pPr>
        <w:suppressAutoHyphens w:val="0"/>
      </w:pPr>
      <w:r>
        <w:rPr>
          <w:rFonts w:ascii="Arial" w:hAnsi="Arial" w:cs="Arial"/>
          <w:noProof/>
          <w:lang w:eastAsia="pt-BR" w:bidi="ar-SA"/>
        </w:rPr>
        <w:drawing>
          <wp:inline distT="0" distB="0" distL="0" distR="0" wp14:anchorId="15115E91" wp14:editId="56659C65">
            <wp:extent cx="5763938" cy="2593146"/>
            <wp:effectExtent l="0" t="0" r="8212" b="0"/>
            <wp:docPr id="1"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63938" cy="2593146"/>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suppressAutoHyphens w:val="0"/>
        <w:rPr>
          <w:rFonts w:ascii="Arial" w:hAnsi="Arial" w:cs="Arial"/>
          <w:b/>
        </w:rPr>
      </w:pPr>
      <w:r>
        <w:rPr>
          <w:rFonts w:ascii="Arial" w:hAnsi="Arial" w:cs="Arial"/>
          <w:b/>
        </w:rPr>
        <w:lastRenderedPageBreak/>
        <w:t>Gráfico 2: Linhas de tendência da CIEL3</w:t>
      </w:r>
    </w:p>
    <w:p w:rsidR="00087920" w:rsidRDefault="00087920" w:rsidP="00087920">
      <w:pPr>
        <w:suppressAutoHyphens w:val="0"/>
      </w:pPr>
      <w:r>
        <w:rPr>
          <w:rFonts w:ascii="Arial" w:hAnsi="Arial" w:cs="Arial"/>
          <w:noProof/>
          <w:lang w:eastAsia="pt-BR" w:bidi="ar-SA"/>
        </w:rPr>
        <w:drawing>
          <wp:inline distT="0" distB="0" distL="0" distR="0" wp14:anchorId="132D9F9E" wp14:editId="58512A77">
            <wp:extent cx="5774774" cy="3324255"/>
            <wp:effectExtent l="0" t="0" r="0" b="9495"/>
            <wp:docPr id="2"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74774" cy="3324255"/>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suppressAutoHyphens w:val="0"/>
        <w:spacing w:line="360" w:lineRule="auto"/>
        <w:rPr>
          <w:rFonts w:ascii="Arial" w:hAnsi="Arial" w:cs="Arial"/>
          <w:szCs w:val="20"/>
        </w:rPr>
      </w:pPr>
    </w:p>
    <w:p w:rsidR="00087920" w:rsidRDefault="00087920" w:rsidP="00087920">
      <w:pPr>
        <w:suppressAutoHyphens w:val="0"/>
        <w:spacing w:line="360" w:lineRule="auto"/>
        <w:ind w:firstLine="709"/>
        <w:rPr>
          <w:rFonts w:ascii="Arial" w:hAnsi="Arial" w:cs="Arial"/>
        </w:rPr>
      </w:pPr>
      <w:r>
        <w:rPr>
          <w:rFonts w:ascii="Arial" w:hAnsi="Arial" w:cs="Arial"/>
        </w:rPr>
        <w:t>Nos gráficos 3 e 4, de volume e volatilidade da BBDC3 e da CIEL3 respectivamente, destaca-se aumento considerável da volatilidade no período eleitoral de outubro de 2014 e em abril de 2016 juntamente com o processo de impeachment da Presidente Dilma Rousseff.</w:t>
      </w:r>
    </w:p>
    <w:p w:rsidR="00087920" w:rsidRDefault="00087920" w:rsidP="00087920">
      <w:pPr>
        <w:suppressAutoHyphens w:val="0"/>
        <w:rPr>
          <w:rFonts w:ascii="Arial" w:hAnsi="Arial" w:cs="Arial"/>
        </w:rPr>
      </w:pPr>
    </w:p>
    <w:p w:rsidR="00087920" w:rsidRDefault="00087920" w:rsidP="00087920">
      <w:pPr>
        <w:suppressAutoHyphens w:val="0"/>
        <w:rPr>
          <w:rFonts w:ascii="Arial" w:hAnsi="Arial" w:cs="Arial"/>
          <w:b/>
        </w:rPr>
      </w:pPr>
      <w:r>
        <w:rPr>
          <w:rFonts w:ascii="Arial" w:hAnsi="Arial" w:cs="Arial"/>
          <w:b/>
        </w:rPr>
        <w:t>Gráfico 3: Volume e volatilidade da BBDC3</w:t>
      </w:r>
    </w:p>
    <w:p w:rsidR="00087920" w:rsidRDefault="00087920" w:rsidP="00087920">
      <w:pPr>
        <w:suppressAutoHyphens w:val="0"/>
      </w:pPr>
      <w:r>
        <w:rPr>
          <w:rFonts w:ascii="Arial" w:hAnsi="Arial" w:cs="Arial"/>
          <w:noProof/>
          <w:lang w:eastAsia="pt-BR" w:bidi="ar-SA"/>
        </w:rPr>
        <w:drawing>
          <wp:inline distT="0" distB="0" distL="0" distR="0" wp14:anchorId="3CD70EAB" wp14:editId="215A7E21">
            <wp:extent cx="5775277" cy="3277968"/>
            <wp:effectExtent l="0" t="0" r="0" b="0"/>
            <wp:docPr id="3"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75277" cy="3277968"/>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suppressAutoHyphens w:val="0"/>
        <w:rPr>
          <w:rFonts w:ascii="Arial" w:hAnsi="Arial" w:cs="Arial"/>
          <w:b/>
        </w:rPr>
      </w:pPr>
      <w:r>
        <w:rPr>
          <w:rFonts w:ascii="Arial" w:hAnsi="Arial" w:cs="Arial"/>
          <w:b/>
        </w:rPr>
        <w:lastRenderedPageBreak/>
        <w:t>Gráfico 4: Volume e volatilidade da CIEL3</w:t>
      </w:r>
    </w:p>
    <w:p w:rsidR="00087920" w:rsidRDefault="00087920" w:rsidP="00087920">
      <w:pPr>
        <w:suppressAutoHyphens w:val="0"/>
      </w:pPr>
      <w:r>
        <w:rPr>
          <w:rFonts w:ascii="Arial" w:hAnsi="Arial" w:cs="Arial"/>
          <w:noProof/>
          <w:lang w:eastAsia="pt-BR" w:bidi="ar-SA"/>
        </w:rPr>
        <w:drawing>
          <wp:inline distT="0" distB="0" distL="0" distR="0" wp14:anchorId="27A580D2" wp14:editId="134BC10C">
            <wp:extent cx="5760089" cy="3360420"/>
            <wp:effectExtent l="0" t="0" r="0" b="0"/>
            <wp:docPr id="4" name="Imagem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089" cy="3360420"/>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suppressAutoHyphens w:val="0"/>
        <w:spacing w:line="360" w:lineRule="auto"/>
        <w:jc w:val="both"/>
        <w:rPr>
          <w:rFonts w:ascii="Arial" w:hAnsi="Arial" w:cs="Arial"/>
        </w:rPr>
      </w:pPr>
    </w:p>
    <w:p w:rsidR="00087920" w:rsidRDefault="00087920" w:rsidP="00087920">
      <w:pPr>
        <w:suppressAutoHyphens w:val="0"/>
        <w:spacing w:line="360" w:lineRule="auto"/>
        <w:ind w:firstLine="709"/>
        <w:jc w:val="both"/>
        <w:rPr>
          <w:rFonts w:ascii="Arial" w:hAnsi="Arial" w:cs="Arial"/>
        </w:rPr>
      </w:pPr>
      <w:r>
        <w:rPr>
          <w:rFonts w:ascii="Arial" w:hAnsi="Arial" w:cs="Arial"/>
        </w:rPr>
        <w:t>No gráfico 5, estão representados alguns dos pontos de compra e venda da BBDC3 para o setup utilizando MMA-9. A linha azul representa a média móvel aritmética de nove períodos, de forma que, quando a inclinação da linha passa de negativa a positiva define-se uma compra, e quando ela passa de positiva a negativa define-se uma venda.</w:t>
      </w:r>
    </w:p>
    <w:p w:rsidR="00087920" w:rsidRDefault="00087920" w:rsidP="00087920">
      <w:pPr>
        <w:suppressAutoHyphens w:val="0"/>
        <w:rPr>
          <w:rFonts w:ascii="Arial" w:hAnsi="Arial" w:cs="Arial"/>
        </w:rPr>
      </w:pPr>
    </w:p>
    <w:p w:rsidR="00087920" w:rsidRDefault="00087920" w:rsidP="00087920">
      <w:pPr>
        <w:suppressAutoHyphens w:val="0"/>
        <w:rPr>
          <w:rFonts w:ascii="Arial" w:hAnsi="Arial" w:cs="Arial"/>
          <w:b/>
        </w:rPr>
      </w:pPr>
      <w:r>
        <w:rPr>
          <w:rFonts w:ascii="Arial" w:hAnsi="Arial" w:cs="Arial"/>
          <w:b/>
        </w:rPr>
        <w:t>Gráfico 5: Pontos de compra e venda da BBDC3</w:t>
      </w:r>
    </w:p>
    <w:p w:rsidR="00087920" w:rsidRDefault="00087920" w:rsidP="00087920">
      <w:pPr>
        <w:suppressAutoHyphens w:val="0"/>
      </w:pPr>
      <w:r>
        <w:rPr>
          <w:rFonts w:ascii="Arial" w:hAnsi="Arial" w:cs="Arial"/>
          <w:noProof/>
          <w:lang w:eastAsia="pt-BR" w:bidi="ar-SA"/>
        </w:rPr>
        <w:drawing>
          <wp:inline distT="0" distB="0" distL="0" distR="0" wp14:anchorId="5C39AB25" wp14:editId="2B6796B7">
            <wp:extent cx="5776191" cy="3110752"/>
            <wp:effectExtent l="0" t="0" r="0" b="0"/>
            <wp:docPr id="5"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76191" cy="3110752"/>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suppressAutoHyphens w:val="0"/>
        <w:spacing w:line="360" w:lineRule="auto"/>
        <w:ind w:firstLine="709"/>
        <w:jc w:val="both"/>
        <w:rPr>
          <w:rFonts w:ascii="Arial" w:hAnsi="Arial" w:cs="Arial"/>
        </w:rPr>
      </w:pPr>
      <w:r>
        <w:rPr>
          <w:rFonts w:ascii="Arial" w:hAnsi="Arial" w:cs="Arial"/>
        </w:rPr>
        <w:lastRenderedPageBreak/>
        <w:t>No gráfico 6, são apresentados todos os pontos de compra e venda da CIEL3, as setas para cima indicam os pontos de compra e as setas para baixo os pontos de venda. No RSI-9 ou IFR-9, uma compra é definida quando esse indicador atinge um ponto abaixo de 40.000 (40%) e a venda o ocorre no primeiro ponto seguinte a ultrapassar os 60.0000 (60%).</w:t>
      </w:r>
    </w:p>
    <w:p w:rsidR="00087920" w:rsidRDefault="00087920" w:rsidP="00087920">
      <w:pPr>
        <w:suppressAutoHyphens w:val="0"/>
        <w:spacing w:line="360" w:lineRule="auto"/>
        <w:ind w:firstLine="709"/>
        <w:jc w:val="both"/>
        <w:rPr>
          <w:rFonts w:ascii="Arial" w:hAnsi="Arial" w:cs="Arial"/>
        </w:rPr>
      </w:pPr>
    </w:p>
    <w:p w:rsidR="00087920" w:rsidRDefault="00087920" w:rsidP="00087920">
      <w:pPr>
        <w:suppressAutoHyphens w:val="0"/>
        <w:rPr>
          <w:rFonts w:ascii="Arial" w:hAnsi="Arial" w:cs="Arial"/>
          <w:b/>
        </w:rPr>
      </w:pPr>
      <w:r>
        <w:rPr>
          <w:rFonts w:ascii="Arial" w:hAnsi="Arial" w:cs="Arial"/>
          <w:b/>
        </w:rPr>
        <w:t>Gráfico 6: Pontos de compra e venda da CIEL3</w:t>
      </w:r>
    </w:p>
    <w:p w:rsidR="00087920" w:rsidRDefault="00087920" w:rsidP="00087920">
      <w:pPr>
        <w:suppressAutoHyphens w:val="0"/>
      </w:pPr>
      <w:r>
        <w:rPr>
          <w:rFonts w:ascii="Arial" w:hAnsi="Arial" w:cs="Arial"/>
          <w:noProof/>
          <w:lang w:eastAsia="pt-BR" w:bidi="ar-SA"/>
        </w:rPr>
        <w:drawing>
          <wp:inline distT="0" distB="0" distL="0" distR="0" wp14:anchorId="400DB004" wp14:editId="68265282">
            <wp:extent cx="5768931" cy="3670849"/>
            <wp:effectExtent l="0" t="0" r="3219" b="5801"/>
            <wp:docPr id="6" name="Imagem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8931" cy="3670849"/>
                    </a:xfrm>
                    <a:prstGeom prst="rect">
                      <a:avLst/>
                    </a:prstGeom>
                    <a:noFill/>
                    <a:ln>
                      <a:noFill/>
                      <a:prstDash/>
                    </a:ln>
                  </pic:spPr>
                </pic:pic>
              </a:graphicData>
            </a:graphic>
          </wp:inline>
        </w:drawing>
      </w:r>
    </w:p>
    <w:p w:rsidR="00087920" w:rsidRDefault="00087920" w:rsidP="00087920">
      <w:pPr>
        <w:suppressAutoHyphens w:val="0"/>
        <w:rPr>
          <w:rFonts w:ascii="Arial" w:hAnsi="Arial" w:cs="Arial"/>
          <w:sz w:val="20"/>
          <w:szCs w:val="20"/>
        </w:rPr>
      </w:pPr>
      <w:r>
        <w:rPr>
          <w:rFonts w:ascii="Arial" w:hAnsi="Arial" w:cs="Arial"/>
          <w:sz w:val="20"/>
          <w:szCs w:val="20"/>
        </w:rPr>
        <w:t>Fonte: BMFBovespa (2016)</w:t>
      </w:r>
    </w:p>
    <w:p w:rsidR="00087920" w:rsidRDefault="00087920" w:rsidP="00087920">
      <w:pPr>
        <w:pStyle w:val="Standard"/>
        <w:spacing w:line="360" w:lineRule="auto"/>
        <w:jc w:val="both"/>
        <w:rPr>
          <w:rFonts w:ascii="Arial" w:hAnsi="Arial" w:cs="Arial"/>
          <w:sz w:val="20"/>
        </w:rPr>
      </w:pPr>
    </w:p>
    <w:p w:rsidR="00087920" w:rsidRDefault="00087920" w:rsidP="00087920">
      <w:pPr>
        <w:pStyle w:val="Standard"/>
        <w:spacing w:line="360" w:lineRule="auto"/>
        <w:jc w:val="both"/>
        <w:rPr>
          <w:rFonts w:ascii="Arial" w:hAnsi="Arial" w:cs="Arial"/>
          <w:sz w:val="20"/>
        </w:rPr>
      </w:pPr>
    </w:p>
    <w:p w:rsidR="00087920" w:rsidRDefault="00087920" w:rsidP="00087920">
      <w:pPr>
        <w:pStyle w:val="Standard"/>
        <w:spacing w:line="360" w:lineRule="auto"/>
        <w:jc w:val="both"/>
        <w:rPr>
          <w:rFonts w:ascii="Arial" w:hAnsi="Arial" w:cs="Arial"/>
          <w:b/>
        </w:rPr>
      </w:pPr>
      <w:r>
        <w:rPr>
          <w:rFonts w:ascii="Arial" w:hAnsi="Arial" w:cs="Arial"/>
          <w:b/>
        </w:rPr>
        <w:t>Tabela 1: Backtesting com MMA-9 para BBDC3</w:t>
      </w:r>
    </w:p>
    <w:tbl>
      <w:tblPr>
        <w:tblW w:w="9055" w:type="dxa"/>
        <w:tblCellMar>
          <w:left w:w="10" w:type="dxa"/>
          <w:right w:w="10" w:type="dxa"/>
        </w:tblCellMar>
        <w:tblLook w:val="0000" w:firstRow="0" w:lastRow="0" w:firstColumn="0" w:lastColumn="0" w:noHBand="0" w:noVBand="0"/>
      </w:tblPr>
      <w:tblGrid>
        <w:gridCol w:w="823"/>
        <w:gridCol w:w="452"/>
        <w:gridCol w:w="582"/>
        <w:gridCol w:w="656"/>
        <w:gridCol w:w="870"/>
        <w:gridCol w:w="870"/>
        <w:gridCol w:w="825"/>
        <w:gridCol w:w="870"/>
        <w:gridCol w:w="870"/>
        <w:gridCol w:w="577"/>
        <w:gridCol w:w="390"/>
        <w:gridCol w:w="498"/>
        <w:gridCol w:w="772"/>
      </w:tblGrid>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Data</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Preço</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Quant.</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Valor</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L/P - B</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Custos</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L/P - L</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CA - L</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R % CA L</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Nº T</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RM % T</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Cap Disp</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10/07/14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25,14</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47.766,00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50.000,00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2.234,00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31/07/14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49.438,00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1.672,00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-354,40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1.317,60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51.317,60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2,64</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rPr>
                <w:rFonts w:ascii="Arial" w:eastAsia="Times New Roman" w:hAnsi="Arial" w:cs="Arial"/>
                <w:color w:val="000000"/>
                <w:kern w:val="0"/>
                <w:sz w:val="20"/>
                <w:szCs w:val="20"/>
                <w:lang w:eastAsia="pt-BR" w:bidi="ar-SA"/>
              </w:rPr>
            </w:pPr>
            <w:r>
              <w:rPr>
                <w:rFonts w:ascii="Arial" w:eastAsia="Times New Roman" w:hAnsi="Arial" w:cs="Arial"/>
                <w:color w:val="000000"/>
                <w:kern w:val="0"/>
                <w:sz w:val="20"/>
                <w:szCs w:val="20"/>
                <w:lang w:eastAsia="pt-BR" w:bidi="ar-SA"/>
              </w:rPr>
              <w:t>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31/07/14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49.438,00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51.317,60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1.879,60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11/08/14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26,65</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50.635,00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-1.197,00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219,40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-977,60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50.340,00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11/08/14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26,65</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47.970,00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50.340,00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2.370,00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08/09/14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28,38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51.084,00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3.114,00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-642,80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2.471,20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52.811,20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5,62</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08/09/14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28,38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51.084,00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52.811,20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1.727,20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27,85</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50.130,00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954,00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743,20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53.554,40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7,11</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1,73</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27,85</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52.915,00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53.554,40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639,40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27,48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52.212,00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-703,00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-582,40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52.972,00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5,94</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27,48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52.212,00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52.972,00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760,00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26,39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50.141,00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2.071,00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-434,20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1.636,80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54.608,80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9,22</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1,48</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lastRenderedPageBreak/>
              <w:t>10/10/14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26,39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52.780,00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54.608,80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1.828,80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53.960,00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1.180,00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924,00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55.532,80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11,07</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53.960,00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55.532,80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1.572,80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53.740,00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55.688,80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11,38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31/10/14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53.740,00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55.688,80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1.948,80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13/11/14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50.220,00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-3.520,00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-2.836,00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52.852,80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5,71</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0,62</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13/11/14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52.731,00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52.852,80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121,80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19/11/14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27,00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56.700,00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-3.969,00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773,80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-3.195,20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49.657,60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-0,07</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19/11/14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27,00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48.600,00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49.657,60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1.057,60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03/12/14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49.464,80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-1,07</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03/12/14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49.464,80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1.080,80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22/12/14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46.764,00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1.620,00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1.276,00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50.740,80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0,12</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22/12/14</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49.362,00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50.740,80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1.378,80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25,06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47.614,00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-1.748,00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329,60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-1.418,40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49.322,40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25,06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47.614,00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49.322,40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1.708,40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46.764,00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-850,00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48.622,40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25,98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46.764,00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48.622,40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1.858,40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03/03/15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27,61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49.698,00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2.934,00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-606,80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2.327,20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50.949,60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0,13</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03/03/15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27,61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49.698,00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50.949,60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1.251,60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18/03/15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-1.062,00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192,40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-869,60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50.080,00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18/03/15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47.940,00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50.080,00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2.140,00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16/04/15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47.974,00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50.087,20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0,17</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16/04/15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47.974,00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50.087,20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2.113,20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12/06/15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24,09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40.953,00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7.021,00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-1.424,20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5.596,80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55.684,00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11,37</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12/06/15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24,09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55.407,00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55.684,00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277,00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24,79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57.017,00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1.268,00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56.952,00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13,90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0,69</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24,79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54.538,00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56.952,00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2.414,00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25,36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-1.254,00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-1.023,20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55.928,80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11,86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25,36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55.928,80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136,80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23,83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52.426,00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-3.366,00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653,20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-2.712,80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53.216,00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6,43</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23/07/15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23,83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52.426,00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53.216,00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790,00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24,70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54.340,00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-1.914,00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-1.551,20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51.664,80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3,33</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0,15</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24,70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51.664,80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2.264,80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24,16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-1.080,00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50.780,80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0,07</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24,16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50.736,00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50.780,80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23,57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49.497,00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1.239,00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-267,80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971,20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51.752,00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23,57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49.497,00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51.752,00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2.255,00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22,82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47.922,00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-1.575,00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295,00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50.472,00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0,94</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31/08/15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22,82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50.204,00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50.472,00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50.776,00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94,40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-477,60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49.994,40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-0,01</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48.468,00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49.994,40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1.526,40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04/09/15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22,12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46.452,00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-2.016,00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383,20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-1.632,80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48.361,60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-0,12</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04/09/15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22,12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46.452,00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48.361,60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1.909,60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22,50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47.250,00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-798,00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139,60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-658,40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47.703,20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-4,59</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-0,17</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22,50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47.250,00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47.703,20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453,20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22,61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47.481,00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231,00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-66,20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164,80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47.868,00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-4,26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-0,15</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22,61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47.481,00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47.868,00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387,00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23,42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49.182,00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-1.701,00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320,20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-1.380,80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46.487,20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-7,03</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30</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lastRenderedPageBreak/>
              <w:t>14/09/15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23,42</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44.498,00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46.487,20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1.989,20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41.857,00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-2.641,00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508,20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-2.132,80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44.354,40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-11,29</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-0,39</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23/09/15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22,03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44.060,00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44.354,40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294,40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05/10/15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23,20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46.400,00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-2.340,00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42.462,40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05/10/15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23,20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41.760,00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42.462,40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702,40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16/10/15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40.374,00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-1.386,00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257,20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-1.128,80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41.333,60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-17,33</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-0,58</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16/10/15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40.374,00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41.333,60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959,60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40.482,00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-108,00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-106,40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41.227,20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-17,55</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-0,57</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40.482,00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41.227,20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745,20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21,57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38.826,00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-1.656,00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311,20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-1.344,80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39.882,40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-20,24</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21,57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38.826,00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39.882,40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1.056,40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21,89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39.402,00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95,20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-480,80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39.401,60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-21,20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21,89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37.213,00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39.401,60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2.188,60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21,50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36.550,00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-663,00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112,60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-550,40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38.851,20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-22,30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37</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-0,68</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21,50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38.700,00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38.851,20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151,20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40.482,00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-1.782,00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336,40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-1.445,60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37.405,60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-25,19</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-0,76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17/11/15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22,49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35.984,00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37.405,60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1.421,60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01/12/15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34.992,00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-992,00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178,40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-813,60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36.592,00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-26,82</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01/12/15</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34.992,00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36.592,00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1.600,00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29/01/16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17,76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28.416,00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6.576,00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-1.335,20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5.240,80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41.832,80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-16,33</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-0,44</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29/01/16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17,76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40.848,00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41.832,80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984,80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26,78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61.594,00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20.746,00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-4.169,20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16.576,80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58.409,60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16,82</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0,38</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26,78</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56.238,00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58.409,60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2.171,60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27,66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58.086,00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-1.848,00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349,60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-1.498,40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56.911,20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13,82</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27,66</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55.320,00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56.911,20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1.591,20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27,79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57.099,20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14,20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0,31</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31/03/16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27,79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57.099,20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1.519,20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08/04/16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56.951,20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13,90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44</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08/04/16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56.951,20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1.211,20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25/04/16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27,47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54.940,00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-800,00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56.291,20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12,58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25/04/16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27,47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54.940,00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56.291,20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1.351,20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12/05/16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-840,00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55.599,20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11,20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0,23</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12/05/16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52.991,00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55.599,20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2.608,20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17/05/16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50.939,00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-2.052,00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390,40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-1.661,60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53.937,60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7,88</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0,16</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17/05/16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26,81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53.620,00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53.937,60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317,60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52.140,00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1.480,00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1.164,00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55.101,60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10,20</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0,20</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26,07</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54.747,00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55.101,60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354,60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25,31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53.151,00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-1.596,00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299,20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-1.296,80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53.804,80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7,61</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0,15</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25,31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53.151,00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53.804,80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653,80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25,63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53.823,00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-672,00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114,40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-557,60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53.247,20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6,49</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0,13</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25,63</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51.260,00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53.247,20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1.987,20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50.200,00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-1.060,00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-868,00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52.379,20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4,76</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0,09</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25,10</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50.200,00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52.379,20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2.179,20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50.980,00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-780,00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136,00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-644,00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51.735,20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3,47</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0,07</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25,49</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50.980,00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51.735,20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755,20</w:t>
            </w:r>
          </w:p>
        </w:tc>
      </w:tr>
      <w:tr w:rsidR="00087920" w:rsidTr="00652C44">
        <w:tblPrEx>
          <w:tblCellMar>
            <w:top w:w="0" w:type="dxa"/>
            <w:bottom w:w="0" w:type="dxa"/>
          </w:tblCellMar>
        </w:tblPrEx>
        <w:trPr>
          <w:trHeight w:val="228"/>
        </w:trPr>
        <w:tc>
          <w:tcPr>
            <w:tcW w:w="82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30/06/16</w:t>
            </w:r>
          </w:p>
        </w:tc>
        <w:tc>
          <w:tcPr>
            <w:tcW w:w="45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58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27,01</w:t>
            </w:r>
          </w:p>
        </w:tc>
        <w:tc>
          <w:tcPr>
            <w:tcW w:w="65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54.020,00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3.040,00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-628,00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2.412,00</w:t>
            </w:r>
          </w:p>
        </w:tc>
        <w:tc>
          <w:tcPr>
            <w:tcW w:w="8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54.147,20</w:t>
            </w:r>
          </w:p>
        </w:tc>
        <w:tc>
          <w:tcPr>
            <w:tcW w:w="57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8,29</w:t>
            </w:r>
          </w:p>
        </w:tc>
        <w:tc>
          <w:tcPr>
            <w:tcW w:w="39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w:t>
            </w: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0,15</w:t>
            </w:r>
          </w:p>
        </w:tc>
        <w:tc>
          <w:tcPr>
            <w:tcW w:w="77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bl>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rPr>
      </w:pPr>
    </w:p>
    <w:p w:rsidR="00087920" w:rsidRDefault="00087920" w:rsidP="00087920">
      <w:pPr>
        <w:pStyle w:val="Standard"/>
        <w:spacing w:line="360" w:lineRule="auto"/>
        <w:jc w:val="both"/>
        <w:rPr>
          <w:rFonts w:ascii="Arial" w:hAnsi="Arial" w:cs="Arial"/>
          <w:b/>
        </w:rPr>
      </w:pPr>
      <w:r>
        <w:rPr>
          <w:rFonts w:ascii="Arial" w:hAnsi="Arial" w:cs="Arial"/>
          <w:b/>
        </w:rPr>
        <w:lastRenderedPageBreak/>
        <w:t>Tabela 2: Backtesting com IFR-9 para a CIEL3</w:t>
      </w:r>
    </w:p>
    <w:tbl>
      <w:tblPr>
        <w:tblW w:w="9055" w:type="dxa"/>
        <w:tblCellMar>
          <w:left w:w="10" w:type="dxa"/>
          <w:right w:w="10" w:type="dxa"/>
        </w:tblCellMar>
        <w:tblLook w:val="0000" w:firstRow="0" w:lastRow="0" w:firstColumn="0" w:lastColumn="0" w:noHBand="0" w:noVBand="0"/>
      </w:tblPr>
      <w:tblGrid>
        <w:gridCol w:w="876"/>
        <w:gridCol w:w="418"/>
        <w:gridCol w:w="624"/>
        <w:gridCol w:w="695"/>
        <w:gridCol w:w="881"/>
        <w:gridCol w:w="806"/>
        <w:gridCol w:w="806"/>
        <w:gridCol w:w="806"/>
        <w:gridCol w:w="881"/>
        <w:gridCol w:w="544"/>
        <w:gridCol w:w="368"/>
        <w:gridCol w:w="544"/>
        <w:gridCol w:w="806"/>
      </w:tblGrid>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Data</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Preço</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Quant.</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Valor</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L/P - B</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Custos</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L/P - L</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CA - L</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R % CA L</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Nº T</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RM % T</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Cap Disp</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16/07/14</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29,50</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47.200,00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50.000,00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2.800,00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07/10/14</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45.152,00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-2.048,00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389,60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-1.658,40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48.341,60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-3,32</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-3,32</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15/10/14</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25,96</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46.728,00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48.341,60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1.613,60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31/10/14</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27,94</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50.292,00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3.564,00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-732,80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2.831,20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51.172,80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2,35</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1,17</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15/12/14</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27,50</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49.500,00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51.172,80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1.672,80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03/02/15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27,81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50.058,00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558,00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-131,60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426,40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51.599,20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3,20</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1,05</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26/05/15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34,04</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51.060,00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51.599,20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539,20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10/06/15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35,72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53.580,00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2.520,00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-524,00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1.996,00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53.595,20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7,19</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1,75</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06/08/15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35,19</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52.785,00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53.595,20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810,20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02/10/15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32,29</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48.435,00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-4.350,00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850,00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-3.500,00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50.095,20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0,19</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0,04</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30/10/15</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30,51</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48.816,00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50.095,20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1.279,20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29/01/16</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28,22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1.600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45.152,00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-3.664,00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712,80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-2.951,20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47.144,00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-5,71</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6</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-0,98</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02/02/16</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26,00</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46.800,00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47.144,00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344,00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02/03/16</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28,82</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51.876,00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5.076,00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-1.035,20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4.040,80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51.184,80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2,37</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7</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0,34</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18/05/16</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C</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32,67</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49.005,00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51.184,80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2.179,80</w:t>
            </w:r>
          </w:p>
        </w:tc>
      </w:tr>
      <w:tr w:rsidR="00087920" w:rsidTr="00652C44">
        <w:tblPrEx>
          <w:tblCellMar>
            <w:top w:w="0" w:type="dxa"/>
            <w:bottom w:w="0" w:type="dxa"/>
          </w:tblCellMar>
        </w:tblPrEx>
        <w:trPr>
          <w:trHeight w:val="228"/>
        </w:trPr>
        <w:tc>
          <w:tcPr>
            <w:tcW w:w="87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08/06/16</w:t>
            </w:r>
          </w:p>
        </w:tc>
        <w:tc>
          <w:tcPr>
            <w:tcW w:w="41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087920" w:rsidRDefault="00087920" w:rsidP="00652C44">
            <w:pPr>
              <w:widowControl/>
              <w:suppressAutoHyphens w:val="0"/>
              <w:textAlignment w:val="auto"/>
            </w:pPr>
            <w:r>
              <w:rPr>
                <w:rFonts w:ascii="Calibri" w:eastAsia="Times New Roman" w:hAnsi="Calibri" w:cs="Calibri"/>
                <w:color w:val="000000"/>
                <w:kern w:val="0"/>
                <w:sz w:val="20"/>
                <w:szCs w:val="20"/>
                <w:lang w:eastAsia="pt-BR" w:bidi="ar-SA"/>
              </w:rPr>
              <w:t>v</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33,58</w:t>
            </w:r>
          </w:p>
        </w:tc>
        <w:tc>
          <w:tcPr>
            <w:tcW w:w="69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1.500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50.370,00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1.365,00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-293,00</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1.072,00</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52.256,80</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4,51</w:t>
            </w:r>
          </w:p>
        </w:tc>
        <w:tc>
          <w:tcPr>
            <w:tcW w:w="3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8</w:t>
            </w:r>
          </w:p>
        </w:tc>
        <w:tc>
          <w:tcPr>
            <w:tcW w:w="544"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jc w:val="right"/>
              <w:textAlignment w:val="auto"/>
            </w:pPr>
            <w:r>
              <w:rPr>
                <w:rFonts w:ascii="Calibri" w:eastAsia="Times New Roman" w:hAnsi="Calibri" w:cs="Calibri"/>
                <w:color w:val="000000"/>
                <w:kern w:val="0"/>
                <w:sz w:val="20"/>
                <w:szCs w:val="20"/>
                <w:lang w:eastAsia="pt-BR" w:bidi="ar-SA"/>
              </w:rPr>
              <w:t>0,55</w:t>
            </w:r>
          </w:p>
        </w:tc>
        <w:tc>
          <w:tcPr>
            <w:tcW w:w="80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0"/>
                <w:szCs w:val="20"/>
                <w:lang w:eastAsia="pt-BR" w:bidi="ar-SA"/>
              </w:rPr>
            </w:pPr>
          </w:p>
        </w:tc>
      </w:tr>
    </w:tbl>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rPr>
      </w:pPr>
    </w:p>
    <w:p w:rsidR="00087920" w:rsidRDefault="00087920" w:rsidP="00087920">
      <w:pPr>
        <w:pStyle w:val="Standard"/>
        <w:spacing w:line="360" w:lineRule="auto"/>
        <w:jc w:val="both"/>
        <w:rPr>
          <w:rFonts w:ascii="Arial" w:hAnsi="Arial" w:cs="Arial"/>
          <w:b/>
        </w:rPr>
      </w:pPr>
      <w:r>
        <w:rPr>
          <w:rFonts w:ascii="Arial" w:hAnsi="Arial" w:cs="Arial"/>
          <w:b/>
        </w:rPr>
        <w:t>Gráfico 7: Curva de Capital Acumulado (líquido) da BBDC3</w:t>
      </w:r>
    </w:p>
    <w:p w:rsidR="00087920" w:rsidRDefault="00087920" w:rsidP="00087920">
      <w:pPr>
        <w:pStyle w:val="Standard"/>
        <w:spacing w:line="360" w:lineRule="auto"/>
        <w:jc w:val="both"/>
      </w:pPr>
      <w:r>
        <w:rPr>
          <w:noProof/>
          <w:lang w:eastAsia="pt-BR" w:bidi="ar-SA"/>
        </w:rPr>
        <w:drawing>
          <wp:inline distT="0" distB="0" distL="0" distR="0" wp14:anchorId="213822E4" wp14:editId="019F3A42">
            <wp:extent cx="5771144" cy="3800346"/>
            <wp:effectExtent l="0" t="0" r="1006" b="0"/>
            <wp:docPr id="7" name="Imagem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71144" cy="3800346"/>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sz w:val="20"/>
        </w:rPr>
      </w:pPr>
    </w:p>
    <w:p w:rsidR="00087920" w:rsidRDefault="00087920" w:rsidP="00087920">
      <w:pPr>
        <w:pStyle w:val="Standard"/>
        <w:spacing w:line="360" w:lineRule="auto"/>
        <w:jc w:val="both"/>
        <w:rPr>
          <w:rFonts w:ascii="Arial" w:hAnsi="Arial" w:cs="Arial"/>
          <w:sz w:val="20"/>
        </w:rPr>
      </w:pPr>
    </w:p>
    <w:p w:rsidR="00087920" w:rsidRDefault="00087920" w:rsidP="00087920">
      <w:pPr>
        <w:pStyle w:val="Standard"/>
        <w:spacing w:line="360" w:lineRule="auto"/>
        <w:jc w:val="both"/>
        <w:rPr>
          <w:rFonts w:ascii="Arial" w:hAnsi="Arial" w:cs="Arial"/>
          <w:b/>
        </w:rPr>
      </w:pPr>
      <w:r>
        <w:rPr>
          <w:rFonts w:ascii="Arial" w:hAnsi="Arial" w:cs="Arial"/>
          <w:b/>
        </w:rPr>
        <w:lastRenderedPageBreak/>
        <w:t>Gráfico 8: Curva de Capital Acumulado (líquido) da CIEL3</w:t>
      </w:r>
    </w:p>
    <w:p w:rsidR="00087920" w:rsidRDefault="00087920" w:rsidP="00087920">
      <w:pPr>
        <w:pStyle w:val="Standard"/>
        <w:spacing w:line="360" w:lineRule="auto"/>
        <w:jc w:val="both"/>
      </w:pPr>
      <w:r>
        <w:rPr>
          <w:noProof/>
          <w:lang w:eastAsia="pt-BR" w:bidi="ar-SA"/>
        </w:rPr>
        <w:drawing>
          <wp:inline distT="0" distB="0" distL="0" distR="0" wp14:anchorId="548A96A5" wp14:editId="63C21946">
            <wp:extent cx="5863498" cy="3569378"/>
            <wp:effectExtent l="0" t="0" r="3902" b="0"/>
            <wp:docPr id="8" name="Imagem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3498" cy="3569378"/>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b/>
          <w:sz w:val="20"/>
        </w:rPr>
      </w:pPr>
    </w:p>
    <w:p w:rsidR="00087920" w:rsidRDefault="00087920" w:rsidP="00087920">
      <w:pPr>
        <w:pStyle w:val="Standard"/>
        <w:spacing w:line="360" w:lineRule="auto"/>
        <w:jc w:val="both"/>
        <w:rPr>
          <w:rFonts w:ascii="Arial" w:hAnsi="Arial" w:cs="Arial"/>
          <w:b/>
          <w:sz w:val="20"/>
        </w:rPr>
      </w:pPr>
    </w:p>
    <w:p w:rsidR="00087920" w:rsidRDefault="00087920" w:rsidP="00087920">
      <w:pPr>
        <w:pStyle w:val="Standard"/>
        <w:spacing w:line="360" w:lineRule="auto"/>
        <w:jc w:val="both"/>
        <w:rPr>
          <w:rFonts w:ascii="Arial" w:hAnsi="Arial" w:cs="Arial"/>
          <w:b/>
        </w:rPr>
      </w:pPr>
      <w:r>
        <w:rPr>
          <w:rFonts w:ascii="Arial" w:hAnsi="Arial" w:cs="Arial"/>
          <w:b/>
        </w:rPr>
        <w:t>Gráfico 9: Curva de Retorno Percentual Acumulado Sobre o Capital (líquido) da       BBDC3</w:t>
      </w:r>
    </w:p>
    <w:p w:rsidR="00087920" w:rsidRDefault="00087920" w:rsidP="00087920">
      <w:pPr>
        <w:pStyle w:val="Standard"/>
        <w:spacing w:line="360" w:lineRule="auto"/>
        <w:jc w:val="both"/>
      </w:pPr>
      <w:r>
        <w:rPr>
          <w:noProof/>
          <w:lang w:eastAsia="pt-BR" w:bidi="ar-SA"/>
        </w:rPr>
        <w:drawing>
          <wp:inline distT="0" distB="0" distL="0" distR="0" wp14:anchorId="285075DC" wp14:editId="31C65430">
            <wp:extent cx="5773238" cy="3208144"/>
            <wp:effectExtent l="0" t="0" r="0" b="0"/>
            <wp:docPr id="9" name="Imagem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73238" cy="3208144"/>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b/>
        </w:rPr>
      </w:pPr>
    </w:p>
    <w:p w:rsidR="00087920" w:rsidRDefault="00087920" w:rsidP="00087920">
      <w:pPr>
        <w:pStyle w:val="Standard"/>
        <w:spacing w:line="360" w:lineRule="auto"/>
        <w:jc w:val="both"/>
        <w:rPr>
          <w:rFonts w:ascii="Arial" w:hAnsi="Arial" w:cs="Arial"/>
          <w:b/>
        </w:rPr>
      </w:pPr>
      <w:r>
        <w:rPr>
          <w:rFonts w:ascii="Arial" w:hAnsi="Arial" w:cs="Arial"/>
          <w:b/>
        </w:rPr>
        <w:lastRenderedPageBreak/>
        <w:t>Gráfico 10: Curva de Retorno Percentual Acumulado Sobre o Capital (líquido) da       CIEL3</w:t>
      </w:r>
    </w:p>
    <w:p w:rsidR="00087920" w:rsidRDefault="00087920" w:rsidP="00087920">
      <w:pPr>
        <w:pStyle w:val="Standard"/>
        <w:spacing w:line="360" w:lineRule="auto"/>
        <w:jc w:val="both"/>
      </w:pPr>
      <w:r>
        <w:rPr>
          <w:noProof/>
          <w:lang w:eastAsia="pt-BR" w:bidi="ar-SA"/>
        </w:rPr>
        <w:drawing>
          <wp:inline distT="0" distB="0" distL="0" distR="0" wp14:anchorId="2098720F" wp14:editId="135C5AE8">
            <wp:extent cx="5775030" cy="3369984"/>
            <wp:effectExtent l="0" t="0" r="0" b="1866"/>
            <wp:docPr id="10" name="Imagem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75030" cy="3369984"/>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b/>
          <w:sz w:val="20"/>
        </w:rPr>
      </w:pPr>
    </w:p>
    <w:p w:rsidR="00087920" w:rsidRDefault="00087920" w:rsidP="00087920">
      <w:pPr>
        <w:pStyle w:val="Standard"/>
        <w:spacing w:line="360" w:lineRule="auto"/>
        <w:jc w:val="both"/>
        <w:rPr>
          <w:rFonts w:ascii="Arial" w:hAnsi="Arial" w:cs="Arial"/>
          <w:b/>
        </w:rPr>
      </w:pPr>
    </w:p>
    <w:p w:rsidR="00087920" w:rsidRDefault="00087920" w:rsidP="00087920">
      <w:pPr>
        <w:pStyle w:val="Standard"/>
        <w:spacing w:line="360" w:lineRule="auto"/>
        <w:jc w:val="both"/>
        <w:rPr>
          <w:rFonts w:ascii="Arial" w:hAnsi="Arial" w:cs="Arial"/>
          <w:b/>
        </w:rPr>
      </w:pPr>
      <w:r>
        <w:rPr>
          <w:rFonts w:ascii="Arial" w:hAnsi="Arial" w:cs="Arial"/>
          <w:b/>
        </w:rPr>
        <w:t>Gráfico 11: Curva de Retorno Percentual Médio por Trade da BBDC3</w:t>
      </w:r>
    </w:p>
    <w:p w:rsidR="00087920" w:rsidRDefault="00087920" w:rsidP="00087920">
      <w:pPr>
        <w:pStyle w:val="Standard"/>
        <w:spacing w:line="360" w:lineRule="auto"/>
        <w:jc w:val="both"/>
      </w:pPr>
      <w:r>
        <w:rPr>
          <w:noProof/>
          <w:lang w:eastAsia="pt-BR" w:bidi="ar-SA"/>
        </w:rPr>
        <w:drawing>
          <wp:inline distT="0" distB="0" distL="0" distR="0" wp14:anchorId="59182543" wp14:editId="0E5A50E9">
            <wp:extent cx="5772552" cy="3478843"/>
            <wp:effectExtent l="0" t="0" r="0" b="7307"/>
            <wp:docPr id="11" name="Imagem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552" cy="3478843"/>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 xml:space="preserve">  Fonte: elaborado pelo autor a partir de dados extraídos de BMFBOVESPA (2016).</w:t>
      </w:r>
    </w:p>
    <w:p w:rsidR="00087920" w:rsidRDefault="00087920" w:rsidP="00087920">
      <w:pPr>
        <w:pStyle w:val="Standard"/>
        <w:spacing w:line="360" w:lineRule="auto"/>
        <w:jc w:val="both"/>
        <w:rPr>
          <w:rFonts w:ascii="Arial" w:hAnsi="Arial" w:cs="Arial"/>
          <w:b/>
        </w:rPr>
      </w:pPr>
    </w:p>
    <w:p w:rsidR="00087920" w:rsidRDefault="00087920" w:rsidP="00087920">
      <w:pPr>
        <w:pStyle w:val="Standard"/>
        <w:spacing w:line="360" w:lineRule="auto"/>
        <w:jc w:val="both"/>
        <w:rPr>
          <w:rFonts w:ascii="Arial" w:hAnsi="Arial" w:cs="Arial"/>
          <w:b/>
        </w:rPr>
      </w:pPr>
      <w:r>
        <w:rPr>
          <w:rFonts w:ascii="Arial" w:hAnsi="Arial" w:cs="Arial"/>
          <w:b/>
        </w:rPr>
        <w:t>Gráfico 12: Curva de Retorno Percentual Médio por Trade da CIEL3</w:t>
      </w:r>
    </w:p>
    <w:p w:rsidR="00087920" w:rsidRDefault="00087920" w:rsidP="00087920">
      <w:pPr>
        <w:pStyle w:val="Standard"/>
        <w:spacing w:line="360" w:lineRule="auto"/>
        <w:jc w:val="both"/>
      </w:pPr>
      <w:r>
        <w:rPr>
          <w:noProof/>
          <w:lang w:eastAsia="pt-BR" w:bidi="ar-SA"/>
        </w:rPr>
        <w:drawing>
          <wp:inline distT="0" distB="0" distL="0" distR="0" wp14:anchorId="39DEBEC1" wp14:editId="3148D039">
            <wp:extent cx="5770659" cy="3282613"/>
            <wp:effectExtent l="0" t="0" r="1491" b="0"/>
            <wp:docPr id="12" name="Imagem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0659" cy="3282613"/>
                    </a:xfrm>
                    <a:prstGeom prst="rect">
                      <a:avLst/>
                    </a:prstGeom>
                    <a:noFill/>
                    <a:ln>
                      <a:noFill/>
                      <a:prstDash/>
                    </a:ln>
                  </pic:spPr>
                </pic:pic>
              </a:graphicData>
            </a:graphic>
          </wp:inline>
        </w:drawing>
      </w:r>
    </w:p>
    <w:p w:rsidR="00087920" w:rsidRDefault="00087920" w:rsidP="00087920">
      <w:pPr>
        <w:pStyle w:val="Standard"/>
        <w:spacing w:line="360" w:lineRule="auto"/>
        <w:jc w:val="both"/>
        <w:rPr>
          <w:rFonts w:ascii="Arial" w:hAnsi="Arial" w:cs="Arial"/>
          <w:sz w:val="20"/>
        </w:rPr>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rPr>
      </w:pPr>
    </w:p>
    <w:p w:rsidR="00087920" w:rsidRDefault="00087920" w:rsidP="00087920">
      <w:pPr>
        <w:pStyle w:val="Standard"/>
        <w:spacing w:line="360" w:lineRule="auto"/>
        <w:jc w:val="both"/>
      </w:pPr>
      <w:r>
        <w:rPr>
          <w:rFonts w:ascii="Arial" w:hAnsi="Arial" w:cs="Arial"/>
          <w:b/>
        </w:rPr>
        <w:t>Tabela 3: Resultados obtidos para BBDC3</w:t>
      </w:r>
    </w:p>
    <w:tbl>
      <w:tblPr>
        <w:tblW w:w="9072" w:type="dxa"/>
        <w:tblCellMar>
          <w:left w:w="10" w:type="dxa"/>
          <w:right w:w="10" w:type="dxa"/>
        </w:tblCellMar>
        <w:tblLook w:val="0000" w:firstRow="0" w:lastRow="0" w:firstColumn="0" w:lastColumn="0" w:noHBand="0" w:noVBand="0"/>
      </w:tblPr>
      <w:tblGrid>
        <w:gridCol w:w="823"/>
        <w:gridCol w:w="823"/>
        <w:gridCol w:w="842"/>
        <w:gridCol w:w="938"/>
        <w:gridCol w:w="911"/>
        <w:gridCol w:w="823"/>
        <w:gridCol w:w="938"/>
        <w:gridCol w:w="911"/>
        <w:gridCol w:w="938"/>
        <w:gridCol w:w="911"/>
        <w:gridCol w:w="823"/>
      </w:tblGrid>
      <w:tr w:rsidR="00087920" w:rsidTr="00652C44">
        <w:tblPrEx>
          <w:tblCellMar>
            <w:top w:w="0" w:type="dxa"/>
            <w:bottom w:w="0" w:type="dxa"/>
          </w:tblCellMar>
        </w:tblPrEx>
        <w:trPr>
          <w:trHeight w:val="1537"/>
        </w:trPr>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color w:val="000000"/>
                <w:kern w:val="0"/>
                <w:sz w:val="16"/>
                <w:szCs w:val="16"/>
                <w:lang w:eastAsia="pt-BR" w:bidi="ar-SA"/>
              </w:rPr>
            </w:pPr>
            <w:r>
              <w:rPr>
                <w:rFonts w:ascii="Arial" w:eastAsia="Times New Roman" w:hAnsi="Arial" w:cs="Arial"/>
                <w:color w:val="000000"/>
                <w:kern w:val="0"/>
                <w:sz w:val="16"/>
                <w:szCs w:val="16"/>
                <w:lang w:eastAsia="pt-BR" w:bidi="ar-SA"/>
              </w:rPr>
              <w:t>Ano/Item</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Anual Liq.</w:t>
            </w:r>
          </w:p>
        </w:tc>
        <w:tc>
          <w:tcPr>
            <w:tcW w:w="842" w:type="dxa"/>
            <w:tcBorders>
              <w:top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Drawdown Máximo % do Sist. Liq.</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Nº de Trades Vencedores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xml:space="preserve"> Nº Trades Perdedores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Total de Trades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de Trades Vencedores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xml:space="preserve"> % de Trades Perdedores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Liq Trades Vencedores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Liq. Trades Perdedores</w:t>
            </w:r>
          </w:p>
        </w:tc>
        <w:tc>
          <w:tcPr>
            <w:tcW w:w="823"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Total % dos Retornos Médios</w:t>
            </w:r>
          </w:p>
        </w:tc>
      </w:tr>
      <w:tr w:rsidR="00087920" w:rsidTr="00652C44">
        <w:tblPrEx>
          <w:tblCellMar>
            <w:top w:w="0" w:type="dxa"/>
            <w:bottom w:w="0" w:type="dxa"/>
          </w:tblCellMar>
        </w:tblPrEx>
        <w:trPr>
          <w:trHeight w:val="267"/>
        </w:trPr>
        <w:tc>
          <w:tcPr>
            <w:tcW w:w="823"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2014</w:t>
            </w:r>
          </w:p>
        </w:tc>
        <w:tc>
          <w:tcPr>
            <w:tcW w:w="823"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2,99</w:t>
            </w:r>
          </w:p>
        </w:tc>
        <w:tc>
          <w:tcPr>
            <w:tcW w:w="842" w:type="dxa"/>
            <w:tcBorders>
              <w:top w:val="single" w:sz="4" w:space="0" w:color="000000"/>
              <w:left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 </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7</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12</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58,33</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41,67</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2,37</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-2,90</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0,17</w:t>
            </w:r>
          </w:p>
        </w:tc>
      </w:tr>
      <w:tr w:rsidR="00087920" w:rsidTr="00652C44">
        <w:tblPrEx>
          <w:tblCellMar>
            <w:top w:w="0" w:type="dxa"/>
            <w:bottom w:w="0" w:type="dxa"/>
          </w:tblCellMar>
        </w:tblPrEx>
        <w:trPr>
          <w:trHeight w:val="267"/>
        </w:trPr>
        <w:tc>
          <w:tcPr>
            <w:tcW w:w="823"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2015</w:t>
            </w:r>
          </w:p>
        </w:tc>
        <w:tc>
          <w:tcPr>
            <w:tcW w:w="823"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-27,90</w:t>
            </w:r>
          </w:p>
        </w:tc>
        <w:tc>
          <w:tcPr>
            <w:tcW w:w="842" w:type="dxa"/>
            <w:tcBorders>
              <w:left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35,70</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6</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21</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27</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22,22</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77,78</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3,42</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-2,50</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-1,20</w:t>
            </w:r>
          </w:p>
        </w:tc>
      </w:tr>
      <w:tr w:rsidR="00087920" w:rsidTr="00652C44">
        <w:tblPrEx>
          <w:tblCellMar>
            <w:top w:w="0" w:type="dxa"/>
            <w:bottom w:w="0" w:type="dxa"/>
          </w:tblCellMar>
        </w:tblPrEx>
        <w:trPr>
          <w:trHeight w:val="267"/>
        </w:trPr>
        <w:tc>
          <w:tcPr>
            <w:tcW w:w="823"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2016</w:t>
            </w:r>
          </w:p>
        </w:tc>
        <w:tc>
          <w:tcPr>
            <w:tcW w:w="823"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118,97</w:t>
            </w:r>
          </w:p>
        </w:tc>
        <w:tc>
          <w:tcPr>
            <w:tcW w:w="842"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 </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9</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14</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35,71</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64,29</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12,22</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-1,60</w:t>
            </w:r>
          </w:p>
        </w:tc>
        <w:tc>
          <w:tcPr>
            <w:tcW w:w="823"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3,33</w:t>
            </w:r>
          </w:p>
        </w:tc>
      </w:tr>
    </w:tbl>
    <w:p w:rsidR="00087920" w:rsidRDefault="00087920" w:rsidP="00087920">
      <w:pPr>
        <w:pStyle w:val="Standard"/>
        <w:spacing w:line="360" w:lineRule="auto"/>
        <w:jc w:val="both"/>
      </w:pPr>
      <w:r>
        <w:rPr>
          <w:rFonts w:ascii="Arial" w:hAnsi="Arial" w:cs="Arial"/>
          <w:sz w:val="20"/>
        </w:rPr>
        <w:t>Fonte: elaborado pelo autor a partir de dados extraídos de BMFBOVESPA (2016).</w:t>
      </w:r>
    </w:p>
    <w:p w:rsidR="00087920" w:rsidRDefault="00087920" w:rsidP="00087920">
      <w:pPr>
        <w:pStyle w:val="Standard"/>
        <w:spacing w:line="360" w:lineRule="auto"/>
        <w:jc w:val="both"/>
        <w:rPr>
          <w:rFonts w:ascii="Arial" w:hAnsi="Arial" w:cs="Arial"/>
        </w:rPr>
      </w:pPr>
    </w:p>
    <w:p w:rsidR="00087920" w:rsidRDefault="00087920" w:rsidP="00087920">
      <w:pPr>
        <w:pStyle w:val="Standard"/>
        <w:spacing w:line="360" w:lineRule="auto"/>
        <w:jc w:val="both"/>
        <w:rPr>
          <w:rFonts w:ascii="Arial" w:hAnsi="Arial" w:cs="Arial"/>
        </w:rPr>
      </w:pPr>
    </w:p>
    <w:p w:rsidR="00087920" w:rsidRDefault="00087920" w:rsidP="00087920">
      <w:pPr>
        <w:pStyle w:val="Standard"/>
        <w:spacing w:line="360" w:lineRule="auto"/>
        <w:jc w:val="both"/>
      </w:pPr>
      <w:r>
        <w:rPr>
          <w:rFonts w:ascii="Arial" w:hAnsi="Arial" w:cs="Arial"/>
          <w:b/>
        </w:rPr>
        <w:t>Tabela 4: Resultados obtidos para CIEL3</w:t>
      </w:r>
    </w:p>
    <w:tbl>
      <w:tblPr>
        <w:tblW w:w="9083" w:type="dxa"/>
        <w:tblCellMar>
          <w:left w:w="10" w:type="dxa"/>
          <w:right w:w="10" w:type="dxa"/>
        </w:tblCellMar>
        <w:tblLook w:val="0000" w:firstRow="0" w:lastRow="0" w:firstColumn="0" w:lastColumn="0" w:noHBand="0" w:noVBand="0"/>
      </w:tblPr>
      <w:tblGrid>
        <w:gridCol w:w="821"/>
        <w:gridCol w:w="821"/>
        <w:gridCol w:w="873"/>
        <w:gridCol w:w="938"/>
        <w:gridCol w:w="911"/>
        <w:gridCol w:w="821"/>
        <w:gridCol w:w="938"/>
        <w:gridCol w:w="911"/>
        <w:gridCol w:w="938"/>
        <w:gridCol w:w="911"/>
        <w:gridCol w:w="821"/>
      </w:tblGrid>
      <w:tr w:rsidR="00087920" w:rsidTr="00652C44">
        <w:tblPrEx>
          <w:tblCellMar>
            <w:top w:w="0" w:type="dxa"/>
            <w:bottom w:w="0" w:type="dxa"/>
          </w:tblCellMar>
        </w:tblPrEx>
        <w:trPr>
          <w:trHeight w:val="1308"/>
        </w:trPr>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color w:val="000000"/>
                <w:kern w:val="0"/>
                <w:sz w:val="16"/>
                <w:szCs w:val="16"/>
                <w:lang w:eastAsia="pt-BR" w:bidi="ar-SA"/>
              </w:rPr>
            </w:pPr>
            <w:r>
              <w:rPr>
                <w:rFonts w:ascii="Arial" w:eastAsia="Times New Roman" w:hAnsi="Arial" w:cs="Arial"/>
                <w:color w:val="000000"/>
                <w:kern w:val="0"/>
                <w:sz w:val="16"/>
                <w:szCs w:val="16"/>
                <w:lang w:eastAsia="pt-BR" w:bidi="ar-SA"/>
              </w:rPr>
              <w:t>Ano/Item</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Anual Liq.</w:t>
            </w:r>
          </w:p>
        </w:tc>
        <w:tc>
          <w:tcPr>
            <w:tcW w:w="873" w:type="dxa"/>
            <w:tcBorders>
              <w:top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Drawdown Máximo % do Sist. Liq.</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Nº de Trades Vencedores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xml:space="preserve"> Nº Trades Perdedores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Total de Trades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de Trades Vencedores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 xml:space="preserve"> % de Trades Perdedores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Liq Trades Vencedores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Retorno Médio % Liq. Trades Perdedores</w:t>
            </w:r>
          </w:p>
        </w:tc>
        <w:tc>
          <w:tcPr>
            <w:tcW w:w="82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center"/>
              <w:textAlignment w:val="auto"/>
              <w:rPr>
                <w:rFonts w:ascii="Arial" w:eastAsia="Times New Roman" w:hAnsi="Arial" w:cs="Arial"/>
                <w:b/>
                <w:bCs/>
                <w:color w:val="000000"/>
                <w:kern w:val="0"/>
                <w:sz w:val="16"/>
                <w:szCs w:val="16"/>
                <w:lang w:eastAsia="pt-BR" w:bidi="ar-SA"/>
              </w:rPr>
            </w:pPr>
            <w:r>
              <w:rPr>
                <w:rFonts w:ascii="Arial" w:eastAsia="Times New Roman" w:hAnsi="Arial" w:cs="Arial"/>
                <w:b/>
                <w:bCs/>
                <w:color w:val="000000"/>
                <w:kern w:val="0"/>
                <w:sz w:val="16"/>
                <w:szCs w:val="16"/>
                <w:lang w:eastAsia="pt-BR" w:bidi="ar-SA"/>
              </w:rPr>
              <w:t>Total % dos Retornos Médios</w:t>
            </w:r>
          </w:p>
        </w:tc>
      </w:tr>
      <w:tr w:rsidR="00087920" w:rsidTr="00652C44">
        <w:tblPrEx>
          <w:tblCellMar>
            <w:top w:w="0" w:type="dxa"/>
            <w:bottom w:w="0" w:type="dxa"/>
          </w:tblCellMar>
        </w:tblPrEx>
        <w:trPr>
          <w:trHeight w:val="303"/>
        </w:trPr>
        <w:tc>
          <w:tcPr>
            <w:tcW w:w="821"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2014</w:t>
            </w:r>
          </w:p>
        </w:tc>
        <w:tc>
          <w:tcPr>
            <w:tcW w:w="821"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pPr>
            <w:r>
              <w:rPr>
                <w:rFonts w:ascii="Arial" w:eastAsia="Times New Roman" w:hAnsi="Arial" w:cs="Arial"/>
                <w:color w:val="000000"/>
                <w:kern w:val="0"/>
                <w:sz w:val="22"/>
                <w:lang w:eastAsia="pt-BR" w:bidi="ar-SA"/>
              </w:rPr>
              <w:t>4,75</w:t>
            </w:r>
          </w:p>
        </w:tc>
        <w:tc>
          <w:tcPr>
            <w:tcW w:w="873" w:type="dxa"/>
            <w:tcBorders>
              <w:top w:val="single" w:sz="4" w:space="0" w:color="000000"/>
              <w:left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 </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50,00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50,00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5,85</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-3,31</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2,54</w:t>
            </w:r>
          </w:p>
        </w:tc>
      </w:tr>
      <w:tr w:rsidR="00087920" w:rsidTr="00652C44">
        <w:tblPrEx>
          <w:tblCellMar>
            <w:top w:w="0" w:type="dxa"/>
            <w:bottom w:w="0" w:type="dxa"/>
          </w:tblCellMar>
        </w:tblPrEx>
        <w:trPr>
          <w:trHeight w:val="303"/>
        </w:trPr>
        <w:tc>
          <w:tcPr>
            <w:tcW w:w="821"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2015</w:t>
            </w:r>
          </w:p>
        </w:tc>
        <w:tc>
          <w:tcPr>
            <w:tcW w:w="821"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-2,10</w:t>
            </w:r>
          </w:p>
        </w:tc>
        <w:tc>
          <w:tcPr>
            <w:tcW w:w="873" w:type="dxa"/>
            <w:tcBorders>
              <w:left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17,90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66,60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33,30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2,35</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-6,53</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-1,82</w:t>
            </w:r>
          </w:p>
        </w:tc>
      </w:tr>
      <w:tr w:rsidR="00087920" w:rsidTr="00652C44">
        <w:tblPrEx>
          <w:tblCellMar>
            <w:top w:w="0" w:type="dxa"/>
            <w:bottom w:w="0" w:type="dxa"/>
          </w:tblCellMar>
        </w:tblPrEx>
        <w:trPr>
          <w:trHeight w:val="303"/>
        </w:trPr>
        <w:tc>
          <w:tcPr>
            <w:tcW w:w="821"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2016</w:t>
            </w:r>
          </w:p>
        </w:tc>
        <w:tc>
          <w:tcPr>
            <w:tcW w:w="821" w:type="dxa"/>
            <w:tcBorders>
              <w:bottom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8,81</w:t>
            </w:r>
          </w:p>
        </w:tc>
        <w:tc>
          <w:tcPr>
            <w:tcW w:w="873"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 </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2</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66,60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33,30</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5,33</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-5,89</w:t>
            </w:r>
          </w:p>
        </w:tc>
        <w:tc>
          <w:tcPr>
            <w:tcW w:w="821"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087920" w:rsidRDefault="00087920" w:rsidP="00652C44">
            <w:pPr>
              <w:widowControl/>
              <w:suppressAutoHyphens w:val="0"/>
              <w:jc w:val="right"/>
              <w:textAlignment w:val="auto"/>
              <w:rPr>
                <w:rFonts w:ascii="Arial" w:eastAsia="Times New Roman" w:hAnsi="Arial" w:cs="Arial"/>
                <w:color w:val="000000"/>
                <w:kern w:val="0"/>
                <w:sz w:val="22"/>
                <w:szCs w:val="22"/>
                <w:lang w:eastAsia="pt-BR" w:bidi="ar-SA"/>
              </w:rPr>
            </w:pPr>
            <w:r>
              <w:rPr>
                <w:rFonts w:ascii="Arial" w:eastAsia="Times New Roman" w:hAnsi="Arial" w:cs="Arial"/>
                <w:color w:val="000000"/>
                <w:kern w:val="0"/>
                <w:sz w:val="22"/>
                <w:szCs w:val="22"/>
                <w:lang w:eastAsia="pt-BR" w:bidi="ar-SA"/>
              </w:rPr>
              <w:t>1,59</w:t>
            </w:r>
          </w:p>
        </w:tc>
      </w:tr>
    </w:tbl>
    <w:p w:rsidR="00087920" w:rsidRDefault="00087920" w:rsidP="00087920">
      <w:pPr>
        <w:pStyle w:val="Standard"/>
        <w:spacing w:line="360" w:lineRule="auto"/>
        <w:jc w:val="both"/>
      </w:pPr>
      <w:r>
        <w:rPr>
          <w:rFonts w:ascii="Arial" w:hAnsi="Arial" w:cs="Arial"/>
          <w:sz w:val="20"/>
        </w:rPr>
        <w:t xml:space="preserve"> Fonte: elaborado pelo autor a partir de dados extraídos de BMFBOVESPA (2016).</w:t>
      </w:r>
    </w:p>
    <w:p w:rsidR="00087920" w:rsidRDefault="00087920" w:rsidP="00087920">
      <w:pPr>
        <w:suppressAutoHyphens w:val="0"/>
        <w:rPr>
          <w:rFonts w:ascii="Arial" w:hAnsi="Arial" w:cs="Arial"/>
          <w:b/>
        </w:rPr>
      </w:pPr>
      <w:r>
        <w:rPr>
          <w:rFonts w:ascii="Arial" w:hAnsi="Arial" w:cs="Arial"/>
          <w:b/>
        </w:rPr>
        <w:lastRenderedPageBreak/>
        <w:t>3 CONCLUSÃO</w:t>
      </w:r>
    </w:p>
    <w:p w:rsidR="00087920" w:rsidRDefault="00087920" w:rsidP="00087920">
      <w:pPr>
        <w:pStyle w:val="Standard"/>
        <w:spacing w:line="360" w:lineRule="auto"/>
        <w:ind w:firstLine="709"/>
        <w:jc w:val="both"/>
        <w:rPr>
          <w:rFonts w:ascii="Arial" w:hAnsi="Arial" w:cs="Arial"/>
          <w:b/>
        </w:rPr>
      </w:pPr>
    </w:p>
    <w:p w:rsidR="00087920" w:rsidRDefault="00087920" w:rsidP="00087920">
      <w:pPr>
        <w:pStyle w:val="Standard"/>
        <w:spacing w:line="360" w:lineRule="auto"/>
        <w:ind w:firstLine="709"/>
        <w:jc w:val="both"/>
        <w:rPr>
          <w:rFonts w:ascii="Arial" w:hAnsi="Arial" w:cs="Arial"/>
          <w:b/>
        </w:rPr>
      </w:pPr>
    </w:p>
    <w:p w:rsidR="00087920" w:rsidRDefault="00087920" w:rsidP="00087920">
      <w:pPr>
        <w:pStyle w:val="Standard"/>
        <w:spacing w:line="360" w:lineRule="auto"/>
        <w:ind w:firstLine="709"/>
        <w:jc w:val="both"/>
        <w:rPr>
          <w:rFonts w:ascii="Arial" w:hAnsi="Arial" w:cs="Arial"/>
        </w:rPr>
      </w:pPr>
      <w:r>
        <w:rPr>
          <w:rFonts w:ascii="Arial" w:hAnsi="Arial" w:cs="Arial"/>
        </w:rPr>
        <w:t>Em ambos os setups foram obtidos resultados positivos, porém inferiores à taxa de juros livre de risco.</w:t>
      </w:r>
    </w:p>
    <w:p w:rsidR="00087920" w:rsidRDefault="00087920" w:rsidP="00087920">
      <w:pPr>
        <w:pStyle w:val="Standard"/>
        <w:spacing w:line="360" w:lineRule="auto"/>
        <w:ind w:firstLine="709"/>
        <w:jc w:val="both"/>
        <w:rPr>
          <w:rFonts w:ascii="Arial" w:hAnsi="Arial" w:cs="Arial"/>
        </w:rPr>
      </w:pPr>
      <w:r>
        <w:rPr>
          <w:rFonts w:ascii="Arial" w:hAnsi="Arial" w:cs="Arial"/>
        </w:rPr>
        <w:t>O MMA-9 testado na BBDC3 entre julho de 2014 e junho de 2016 gerou um retorno percentual sobre do capital liquido de 8,29%. Esse setup obtém bons resultados quando as tendências de alta ou baixa são um pouco mais longas, devido ao fato deste não antecipar as tendências. Em tendências curtas, este setup, normalmente, entra com atraso, fazendo com que o trade termine sem sucesso. O trade 41 exemplifica bem o bom comportamento deste setup numa tendência mais longa, neste caso uma tendência de alta que durou entre janeiro de 2016 a abril de 2016, um único trade gerou um retorno de 39,63%. Porém, na maior parte do tempo as tendências foram curtas, fazendo com que o setup entrasse na maioria das vezes com atraso, gerando um resultado final insatisfatório.</w:t>
      </w:r>
    </w:p>
    <w:p w:rsidR="00087920" w:rsidRDefault="00087920" w:rsidP="00087920">
      <w:pPr>
        <w:pStyle w:val="Standard"/>
        <w:spacing w:line="360" w:lineRule="auto"/>
        <w:ind w:firstLine="709"/>
        <w:jc w:val="both"/>
        <w:rPr>
          <w:rFonts w:ascii="Arial" w:hAnsi="Arial" w:cs="Arial"/>
        </w:rPr>
      </w:pPr>
      <w:r>
        <w:rPr>
          <w:rFonts w:ascii="Arial" w:hAnsi="Arial" w:cs="Arial"/>
        </w:rPr>
        <w:t>O IFR-9 testado na CIEL3 entre julho de 2014 e junho de 2016 obteve um retorno percentual sobre o capital liquido de 4,51%. O percentual de trades vencedores deste setup foi bem superior ao anterior, porém a quantidade de operações foi bem. Este setup demora muito tanto para entrar quanto para sair de uma operação, perdendo boas oportunidade ou saindo tarde demais de uma operação. Os trades 5 e 6 exemplificam bem o aspecto negativo deste setup, em ambos os casos, o ativo encontrava-se em tendência de baixa e o método indicava uma possível reversão de tendência, a reversão de tendência não houve ou demorou a acontecer e método demorou a determinar a saída da posição. Com isso, nessas duas operações o setup acumulou um retorno de aproximadamente 13%.</w:t>
      </w:r>
    </w:p>
    <w:p w:rsidR="00087920" w:rsidRDefault="00087920" w:rsidP="00087920">
      <w:pPr>
        <w:pStyle w:val="Standard"/>
        <w:spacing w:line="360" w:lineRule="auto"/>
        <w:ind w:firstLine="709"/>
        <w:jc w:val="both"/>
        <w:rPr>
          <w:rFonts w:ascii="Arial" w:hAnsi="Arial" w:cs="Arial"/>
        </w:rPr>
      </w:pPr>
      <w:r>
        <w:rPr>
          <w:rFonts w:ascii="Arial" w:hAnsi="Arial" w:cs="Arial"/>
        </w:rPr>
        <w:t>Contudo, ambos os métodos apresentam aspectos positivos e negativos e é necessário conhece-los para melhor aproveitamento dos métodos.</w:t>
      </w:r>
    </w:p>
    <w:p w:rsidR="00087920" w:rsidRDefault="00087920" w:rsidP="00087920">
      <w:pPr>
        <w:pageBreakBefore/>
        <w:suppressAutoHyphens w:val="0"/>
        <w:rPr>
          <w:rFonts w:ascii="Arial" w:hAnsi="Arial" w:cs="Arial"/>
        </w:rPr>
      </w:pPr>
    </w:p>
    <w:p w:rsidR="00087920" w:rsidRDefault="00087920" w:rsidP="00087920">
      <w:pPr>
        <w:pStyle w:val="Standard"/>
        <w:spacing w:line="360" w:lineRule="auto"/>
        <w:ind w:firstLine="709"/>
        <w:jc w:val="center"/>
        <w:rPr>
          <w:b/>
        </w:rPr>
      </w:pPr>
      <w:r>
        <w:rPr>
          <w:b/>
        </w:rPr>
        <w:t>REFERÊRNCIAS</w:t>
      </w:r>
    </w:p>
    <w:p w:rsidR="00087920" w:rsidRDefault="00087920" w:rsidP="00087920">
      <w:pPr>
        <w:pStyle w:val="Standard"/>
        <w:spacing w:line="360" w:lineRule="auto"/>
        <w:ind w:firstLine="709"/>
        <w:jc w:val="center"/>
        <w:rPr>
          <w:b/>
        </w:rPr>
      </w:pPr>
    </w:p>
    <w:p w:rsidR="00087920" w:rsidRDefault="00087920" w:rsidP="00087920">
      <w:pPr>
        <w:pStyle w:val="Standard"/>
      </w:pPr>
      <w:r>
        <w:rPr>
          <w:b/>
        </w:rPr>
        <w:t>BM&amp;FBOVESPA.</w:t>
      </w:r>
      <w:r>
        <w:t xml:space="preserve"> São Paulo. Disponível em:&lt; </w:t>
      </w:r>
      <w:hyperlink r:id="rId16" w:history="1">
        <w:r>
          <w:rPr>
            <w:rStyle w:val="Hyperlink"/>
          </w:rPr>
          <w:t>http://www.bmfbovespa.com.br/pt_br/servicos/market-data/cotacoes/</w:t>
        </w:r>
      </w:hyperlink>
      <w:r>
        <w:t>&gt;. Acesso em: nov. 2016.</w:t>
      </w:r>
    </w:p>
    <w:p w:rsidR="00087920" w:rsidRDefault="00087920" w:rsidP="00087920">
      <w:pPr>
        <w:pStyle w:val="Standard"/>
      </w:pPr>
    </w:p>
    <w:p w:rsidR="00087920" w:rsidRDefault="00087920" w:rsidP="00087920">
      <w:pPr>
        <w:pStyle w:val="Standard"/>
      </w:pPr>
      <w:r>
        <w:t xml:space="preserve">CORREIA. Joseílton S. </w:t>
      </w:r>
      <w:r>
        <w:rPr>
          <w:b/>
        </w:rPr>
        <w:t xml:space="preserve">Operando na bolsa de valores utilizando análise técnica. </w:t>
      </w:r>
      <w:r>
        <w:t>São Paulo: Novatec, 2008.</w:t>
      </w:r>
    </w:p>
    <w:p w:rsidR="00BD33D5" w:rsidRDefault="00BD33D5">
      <w:bookmarkStart w:id="0" w:name="_GoBack"/>
      <w:bookmarkEnd w:id="0"/>
    </w:p>
    <w:sectPr w:rsidR="00BD33D5">
      <w:pgSz w:w="11906" w:h="16838"/>
      <w:pgMar w:top="1701" w:right="1134"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48"/>
    <w:rsid w:val="00087920"/>
    <w:rsid w:val="00684348"/>
    <w:rsid w:val="00BD33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9F450-6DE6-49DE-9ADD-D7426CDC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7920"/>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087920"/>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Ttulo">
    <w:name w:val="Title"/>
    <w:basedOn w:val="Standard"/>
    <w:next w:val="Textbody"/>
    <w:link w:val="TtuloChar"/>
    <w:rsid w:val="00087920"/>
    <w:pPr>
      <w:keepNext/>
      <w:spacing w:before="240" w:after="120"/>
    </w:pPr>
    <w:rPr>
      <w:rFonts w:ascii="Arial" w:eastAsia="Andale Sans UI" w:hAnsi="Arial" w:cs="Tahoma"/>
      <w:sz w:val="28"/>
      <w:szCs w:val="28"/>
    </w:rPr>
  </w:style>
  <w:style w:type="character" w:customStyle="1" w:styleId="TtuloChar">
    <w:name w:val="Título Char"/>
    <w:basedOn w:val="Fontepargpadro"/>
    <w:link w:val="Ttulo"/>
    <w:rsid w:val="00087920"/>
    <w:rPr>
      <w:rFonts w:ascii="Arial" w:eastAsia="Andale Sans UI" w:hAnsi="Arial" w:cs="Tahoma"/>
      <w:kern w:val="3"/>
      <w:sz w:val="28"/>
      <w:szCs w:val="28"/>
      <w:lang w:eastAsia="zh-CN" w:bidi="hi-IN"/>
    </w:rPr>
  </w:style>
  <w:style w:type="paragraph" w:customStyle="1" w:styleId="Textbody">
    <w:name w:val="Text body"/>
    <w:basedOn w:val="Standard"/>
    <w:rsid w:val="00087920"/>
    <w:pPr>
      <w:spacing w:after="120"/>
    </w:pPr>
  </w:style>
  <w:style w:type="paragraph" w:styleId="Subttulo">
    <w:name w:val="Subtitle"/>
    <w:basedOn w:val="Ttulo"/>
    <w:next w:val="Textbody"/>
    <w:link w:val="SubttuloChar"/>
    <w:rsid w:val="00087920"/>
    <w:pPr>
      <w:jc w:val="center"/>
    </w:pPr>
    <w:rPr>
      <w:i/>
      <w:iCs/>
    </w:rPr>
  </w:style>
  <w:style w:type="character" w:customStyle="1" w:styleId="SubttuloChar">
    <w:name w:val="Subtítulo Char"/>
    <w:basedOn w:val="Fontepargpadro"/>
    <w:link w:val="Subttulo"/>
    <w:rsid w:val="00087920"/>
    <w:rPr>
      <w:rFonts w:ascii="Arial" w:eastAsia="Andale Sans UI" w:hAnsi="Arial" w:cs="Tahoma"/>
      <w:i/>
      <w:iCs/>
      <w:kern w:val="3"/>
      <w:sz w:val="28"/>
      <w:szCs w:val="28"/>
      <w:lang w:eastAsia="zh-CN" w:bidi="hi-IN"/>
    </w:rPr>
  </w:style>
  <w:style w:type="paragraph" w:styleId="Lista">
    <w:name w:val="List"/>
    <w:basedOn w:val="Textbody"/>
    <w:rsid w:val="00087920"/>
    <w:rPr>
      <w:rFonts w:cs="Tahoma"/>
    </w:rPr>
  </w:style>
  <w:style w:type="paragraph" w:styleId="Legenda">
    <w:name w:val="caption"/>
    <w:basedOn w:val="Standard"/>
    <w:rsid w:val="00087920"/>
    <w:pPr>
      <w:suppressLineNumbers/>
      <w:spacing w:before="120" w:after="120"/>
    </w:pPr>
    <w:rPr>
      <w:rFonts w:cs="Tahoma"/>
      <w:i/>
      <w:iCs/>
    </w:rPr>
  </w:style>
  <w:style w:type="paragraph" w:customStyle="1" w:styleId="Index">
    <w:name w:val="Index"/>
    <w:basedOn w:val="Standard"/>
    <w:rsid w:val="00087920"/>
    <w:pPr>
      <w:suppressLineNumbers/>
    </w:pPr>
    <w:rPr>
      <w:rFonts w:cs="Tahoma"/>
    </w:rPr>
  </w:style>
  <w:style w:type="paragraph" w:styleId="NormalWeb">
    <w:name w:val="Normal (Web)"/>
    <w:basedOn w:val="Normal"/>
    <w:rsid w:val="00087920"/>
    <w:pPr>
      <w:widowControl/>
      <w:suppressAutoHyphens w:val="0"/>
      <w:spacing w:before="100" w:after="100"/>
      <w:textAlignment w:val="auto"/>
    </w:pPr>
    <w:rPr>
      <w:rFonts w:ascii="Arial" w:eastAsia="Times New Roman" w:hAnsi="Arial" w:cs="Arial"/>
      <w:color w:val="000000"/>
      <w:kern w:val="0"/>
      <w:sz w:val="20"/>
      <w:szCs w:val="20"/>
      <w:lang w:eastAsia="pt-BR" w:bidi="ar-SA"/>
    </w:rPr>
  </w:style>
  <w:style w:type="character" w:styleId="Hyperlink">
    <w:name w:val="Hyperlink"/>
    <w:basedOn w:val="Fontepargpadro"/>
    <w:rsid w:val="00087920"/>
    <w:rPr>
      <w:color w:val="0563C1"/>
      <w:u w:val="single"/>
    </w:rPr>
  </w:style>
  <w:style w:type="paragraph" w:styleId="Textodebalo">
    <w:name w:val="Balloon Text"/>
    <w:basedOn w:val="Normal"/>
    <w:link w:val="TextodebaloChar"/>
    <w:rsid w:val="00087920"/>
    <w:rPr>
      <w:rFonts w:ascii="Segoe UI" w:hAnsi="Segoe UI" w:cs="Mangal"/>
      <w:sz w:val="18"/>
      <w:szCs w:val="16"/>
    </w:rPr>
  </w:style>
  <w:style w:type="character" w:customStyle="1" w:styleId="TextodebaloChar">
    <w:name w:val="Texto de balão Char"/>
    <w:basedOn w:val="Fontepargpadro"/>
    <w:link w:val="Textodebalo"/>
    <w:rsid w:val="00087920"/>
    <w:rPr>
      <w:rFonts w:ascii="Segoe UI" w:eastAsia="SimSun" w:hAnsi="Segoe UI" w:cs="Mangal"/>
      <w:kern w:val="3"/>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bmfbovespa.com.br/pt_br/servicos/market-data/cotacoes/"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2825</Words>
  <Characters>15258</Characters>
  <Application>Microsoft Office Word</Application>
  <DocSecurity>0</DocSecurity>
  <Lines>127</Lines>
  <Paragraphs>36</Paragraphs>
  <ScaleCrop>false</ScaleCrop>
  <Company/>
  <LinksUpToDate>false</LinksUpToDate>
  <CharactersWithSpaces>18047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Bornachi</dc:creator>
  <cp:keywords/>
  <dc:description/>
  <cp:lastModifiedBy>Gustavo Bornachi</cp:lastModifiedBy>
  <cp:revision>2</cp:revision>
  <dcterms:created xsi:type="dcterms:W3CDTF">2017-06-09T03:58:00Z</dcterms:created>
  <dcterms:modified xsi:type="dcterms:W3CDTF">2017-06-09T03:59:00Z</dcterms:modified>
</cp:coreProperties>
</file>