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E7" w:rsidRPr="00BF2870" w:rsidRDefault="00BF2870" w:rsidP="00952D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870">
        <w:rPr>
          <w:rFonts w:ascii="Times New Roman" w:hAnsi="Times New Roman" w:cs="Times New Roman"/>
          <w:b/>
          <w:sz w:val="24"/>
          <w:szCs w:val="24"/>
        </w:rPr>
        <w:t>FICHAMENTO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7F7">
        <w:rPr>
          <w:rFonts w:ascii="Times New Roman" w:hAnsi="Times New Roman" w:cs="Times New Roman"/>
          <w:b/>
          <w:sz w:val="24"/>
          <w:szCs w:val="24"/>
        </w:rPr>
        <w:t>TEXTO 1</w:t>
      </w:r>
      <w:r w:rsidR="00D327F7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952D3B" w:rsidRDefault="00BF2870" w:rsidP="00BF287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Dérick Macêdo Silva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FD7ADD" w:rsidRDefault="00FD7ADD" w:rsidP="00BF287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2870" w:rsidRDefault="00A81877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2870">
        <w:rPr>
          <w:rFonts w:ascii="Times New Roman" w:hAnsi="Times New Roman" w:cs="Times New Roman"/>
          <w:sz w:val="24"/>
          <w:szCs w:val="24"/>
        </w:rPr>
        <w:t xml:space="preserve">Para o cidadão comum, há apenas 1 (uma) via de acesso para buscar a tutela de seus direitos subjetivos constitucionais, sendo ela o controle judicial incidental de constitucionalidade, também chamado de </w:t>
      </w:r>
      <w:r w:rsidR="00BF2870">
        <w:rPr>
          <w:rFonts w:ascii="Times New Roman" w:hAnsi="Times New Roman" w:cs="Times New Roman"/>
          <w:i/>
          <w:sz w:val="24"/>
          <w:szCs w:val="24"/>
        </w:rPr>
        <w:t>incidenter tantum</w:t>
      </w:r>
      <w:r w:rsidR="00CA4576">
        <w:rPr>
          <w:rFonts w:ascii="Times New Roman" w:hAnsi="Times New Roman" w:cs="Times New Roman"/>
          <w:sz w:val="24"/>
          <w:szCs w:val="24"/>
        </w:rPr>
        <w:t>, por via de defesa, por via de exceção ou sistema americano.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870">
        <w:rPr>
          <w:rFonts w:ascii="Times New Roman" w:hAnsi="Times New Roman" w:cs="Times New Roman"/>
          <w:sz w:val="24"/>
          <w:szCs w:val="24"/>
        </w:rPr>
        <w:t>O texto em questão apresenta 03 (três) características</w:t>
      </w:r>
      <w:r w:rsidR="00790D45">
        <w:rPr>
          <w:rFonts w:ascii="Times New Roman" w:hAnsi="Times New Roman" w:cs="Times New Roman"/>
          <w:sz w:val="24"/>
          <w:szCs w:val="24"/>
        </w:rPr>
        <w:t xml:space="preserve"> principais</w:t>
      </w:r>
      <w:r w:rsidR="00BF2870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este tipo de controle, sendo elas: a pronúncia de invalidade em caso concreto; questão prejudicial, e; controle difuso.</w:t>
      </w:r>
      <w:r w:rsidR="00D327F7">
        <w:rPr>
          <w:rFonts w:ascii="Times New Roman" w:hAnsi="Times New Roman" w:cs="Times New Roman"/>
          <w:sz w:val="24"/>
          <w:szCs w:val="24"/>
        </w:rPr>
        <w:t xml:space="preserve"> </w:t>
      </w:r>
      <w:r w:rsidR="00D327F7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A81877" w:rsidRDefault="00A81877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C4AF4" w:rsidRDefault="00A81877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Em se tratando da pronúncia de invalidade em caso concreto</w:t>
      </w:r>
      <w:r w:rsidR="00790D45">
        <w:rPr>
          <w:rFonts w:ascii="Times New Roman" w:hAnsi="Times New Roman" w:cs="Times New Roman"/>
          <w:sz w:val="24"/>
          <w:szCs w:val="24"/>
        </w:rPr>
        <w:t>, e como o próprio nome sugere, o controle em comento é realizado</w:t>
      </w:r>
      <w:r w:rsidR="000102B6">
        <w:rPr>
          <w:rFonts w:ascii="Times New Roman" w:hAnsi="Times New Roman" w:cs="Times New Roman"/>
          <w:sz w:val="24"/>
          <w:szCs w:val="24"/>
        </w:rPr>
        <w:t xml:space="preserve"> no decorrer do exercício da função judicial, isto é, incidentalmente à análise de determinado processo</w:t>
      </w:r>
      <w:r w:rsidR="00790D45">
        <w:rPr>
          <w:rFonts w:ascii="Times New Roman" w:hAnsi="Times New Roman" w:cs="Times New Roman"/>
          <w:sz w:val="24"/>
          <w:szCs w:val="24"/>
        </w:rPr>
        <w:t>.</w:t>
      </w:r>
      <w:r w:rsidR="000102B6">
        <w:rPr>
          <w:rFonts w:ascii="Times New Roman" w:hAnsi="Times New Roman" w:cs="Times New Roman"/>
          <w:sz w:val="24"/>
          <w:szCs w:val="24"/>
        </w:rPr>
        <w:t xml:space="preserve"> Quando desta análise, o juiz ou tribunal, reconhecendo que determinada norma é inconstitucional, tem o poder-dever de assim declará-la e, consequentemente, não aplicá-la ao processo.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C77">
        <w:rPr>
          <w:rFonts w:ascii="Times New Roman" w:hAnsi="Times New Roman" w:cs="Times New Roman"/>
          <w:sz w:val="24"/>
          <w:szCs w:val="24"/>
        </w:rPr>
        <w:t>Antes, somente o réu podia alegar a inconstitucionalidade</w:t>
      </w:r>
      <w:r w:rsidR="00FC4AF4">
        <w:rPr>
          <w:rFonts w:ascii="Times New Roman" w:hAnsi="Times New Roman" w:cs="Times New Roman"/>
          <w:sz w:val="24"/>
          <w:szCs w:val="24"/>
        </w:rPr>
        <w:t xml:space="preserve">, devendo fazê-lo quando de sua defesa. Agora, o autor também possui esse direito, podendo alegá-la ou na petição inicial ou em momento posterior, com o intuito de ver </w:t>
      </w:r>
      <w:r w:rsidR="00176377">
        <w:rPr>
          <w:rFonts w:ascii="Times New Roman" w:hAnsi="Times New Roman" w:cs="Times New Roman"/>
          <w:sz w:val="24"/>
          <w:szCs w:val="24"/>
        </w:rPr>
        <w:t>afastados os efeitos da norma supostamente inconstitucional</w:t>
      </w:r>
      <w:r w:rsidR="00FC4A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Ademais,</w:t>
      </w:r>
      <w:r w:rsidR="00B40F31">
        <w:rPr>
          <w:rFonts w:ascii="Times New Roman" w:hAnsi="Times New Roman" w:cs="Times New Roman"/>
          <w:sz w:val="24"/>
          <w:szCs w:val="24"/>
        </w:rPr>
        <w:t xml:space="preserve"> a</w:t>
      </w:r>
      <w:r w:rsidR="00FC4AF4">
        <w:rPr>
          <w:rFonts w:ascii="Times New Roman" w:hAnsi="Times New Roman" w:cs="Times New Roman"/>
          <w:sz w:val="24"/>
          <w:szCs w:val="24"/>
        </w:rPr>
        <w:t>lém do autor e réu, há mais 02 (dois) legitimados, quais sejam: Ministério Público e juiz ou tribunal (de ofício), lembrando que, em se tratando de recurso extraordinário, caso a matéria não tenha sido prequestionada, tal regra deve ser vista com temperamento.</w:t>
      </w:r>
      <w:r w:rsidR="00FC4AF4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FD7ADD" w:rsidRDefault="00FD7ADD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D61D5" w:rsidRPr="006B555F" w:rsidRDefault="00B40F31" w:rsidP="00D327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A24">
        <w:rPr>
          <w:rFonts w:ascii="Times New Roman" w:hAnsi="Times New Roman" w:cs="Times New Roman"/>
          <w:sz w:val="24"/>
          <w:szCs w:val="24"/>
        </w:rPr>
        <w:t xml:space="preserve">Desde que haja um conflito de interesses, </w:t>
      </w:r>
      <w:r>
        <w:rPr>
          <w:rFonts w:ascii="Times New Roman" w:hAnsi="Times New Roman" w:cs="Times New Roman"/>
          <w:sz w:val="24"/>
          <w:szCs w:val="24"/>
        </w:rPr>
        <w:t>a dúvida acerca da</w:t>
      </w:r>
      <w:r w:rsidR="002A5C22">
        <w:rPr>
          <w:rFonts w:ascii="Times New Roman" w:hAnsi="Times New Roman" w:cs="Times New Roman"/>
          <w:sz w:val="24"/>
          <w:szCs w:val="24"/>
        </w:rPr>
        <w:t xml:space="preserve"> constitucionalidade e o consequ</w:t>
      </w:r>
      <w:r>
        <w:rPr>
          <w:rFonts w:ascii="Times New Roman" w:hAnsi="Times New Roman" w:cs="Times New Roman"/>
          <w:sz w:val="24"/>
          <w:szCs w:val="24"/>
        </w:rPr>
        <w:t>ente controle incidental podem ser suscitados</w:t>
      </w:r>
      <w:r w:rsidR="00D04A24">
        <w:rPr>
          <w:rFonts w:ascii="Times New Roman" w:hAnsi="Times New Roman" w:cs="Times New Roman"/>
          <w:sz w:val="24"/>
          <w:szCs w:val="24"/>
        </w:rPr>
        <w:t xml:space="preserve"> em processos de qualquer natureza (conhecimento, execução, cautelar)</w:t>
      </w:r>
      <w:r>
        <w:rPr>
          <w:rFonts w:ascii="Times New Roman" w:hAnsi="Times New Roman" w:cs="Times New Roman"/>
          <w:sz w:val="24"/>
          <w:szCs w:val="24"/>
        </w:rPr>
        <w:t>. Tal dúvida e consequente controle podem pairar em norma de qualquer</w:t>
      </w:r>
      <w:r w:rsidR="009D61D5">
        <w:rPr>
          <w:rFonts w:ascii="Times New Roman" w:hAnsi="Times New Roman" w:cs="Times New Roman"/>
          <w:sz w:val="24"/>
          <w:szCs w:val="24"/>
        </w:rPr>
        <w:t xml:space="preserve"> dos três níveis de poder, de qual</w:t>
      </w:r>
      <w:r w:rsidR="002A5C22">
        <w:rPr>
          <w:rFonts w:ascii="Times New Roman" w:hAnsi="Times New Roman" w:cs="Times New Roman"/>
          <w:sz w:val="24"/>
          <w:szCs w:val="24"/>
        </w:rPr>
        <w:t>quer</w:t>
      </w:r>
      <w:r w:rsidR="009D61D5">
        <w:rPr>
          <w:rFonts w:ascii="Times New Roman" w:hAnsi="Times New Roman" w:cs="Times New Roman"/>
          <w:sz w:val="24"/>
          <w:szCs w:val="24"/>
        </w:rPr>
        <w:t xml:space="preserve"> hierarquia </w:t>
      </w:r>
      <w:r>
        <w:rPr>
          <w:rFonts w:ascii="Times New Roman" w:hAnsi="Times New Roman" w:cs="Times New Roman"/>
          <w:sz w:val="24"/>
          <w:szCs w:val="24"/>
        </w:rPr>
        <w:t>e até mesmo anteriores</w:t>
      </w:r>
      <w:r w:rsidR="009D61D5">
        <w:rPr>
          <w:rFonts w:ascii="Times New Roman" w:hAnsi="Times New Roman" w:cs="Times New Roman"/>
          <w:sz w:val="24"/>
          <w:szCs w:val="24"/>
        </w:rPr>
        <w:t xml:space="preserve"> à Constituição</w:t>
      </w:r>
      <w:r w:rsidR="000A41EC">
        <w:rPr>
          <w:rFonts w:ascii="Times New Roman" w:hAnsi="Times New Roman" w:cs="Times New Roman"/>
          <w:sz w:val="24"/>
          <w:szCs w:val="24"/>
        </w:rPr>
        <w:t>.</w:t>
      </w:r>
      <w:r w:rsidR="002A5C22">
        <w:rPr>
          <w:rFonts w:ascii="Times New Roman" w:hAnsi="Times New Roman" w:cs="Times New Roman"/>
          <w:sz w:val="24"/>
          <w:szCs w:val="24"/>
        </w:rPr>
        <w:t xml:space="preserve"> Vale frisar: o que </w:t>
      </w:r>
      <w:r w:rsidR="006B555F">
        <w:rPr>
          <w:rFonts w:ascii="Times New Roman" w:hAnsi="Times New Roman" w:cs="Times New Roman"/>
          <w:sz w:val="24"/>
          <w:szCs w:val="24"/>
        </w:rPr>
        <w:t xml:space="preserve">se busca judicialmente não é a declaração de </w:t>
      </w:r>
      <w:r w:rsidR="006B555F">
        <w:rPr>
          <w:rFonts w:ascii="Times New Roman" w:hAnsi="Times New Roman" w:cs="Times New Roman"/>
          <w:sz w:val="24"/>
          <w:szCs w:val="24"/>
        </w:rPr>
        <w:lastRenderedPageBreak/>
        <w:t>inconstitucionalidade, mas sim um direito que est</w:t>
      </w:r>
      <w:r w:rsidR="002A5C22">
        <w:rPr>
          <w:rFonts w:ascii="Times New Roman" w:hAnsi="Times New Roman" w:cs="Times New Roman"/>
          <w:sz w:val="24"/>
          <w:szCs w:val="24"/>
        </w:rPr>
        <w:t>á</w:t>
      </w:r>
      <w:r w:rsidR="006B555F">
        <w:rPr>
          <w:rFonts w:ascii="Times New Roman" w:hAnsi="Times New Roman" w:cs="Times New Roman"/>
          <w:sz w:val="24"/>
          <w:szCs w:val="24"/>
        </w:rPr>
        <w:t xml:space="preserve"> sendo afetado por suposta norma inconstitucional e, para que se o alcance, faz-se necessári</w:t>
      </w:r>
      <w:r w:rsidR="002A5C22">
        <w:rPr>
          <w:rFonts w:ascii="Times New Roman" w:hAnsi="Times New Roman" w:cs="Times New Roman"/>
          <w:sz w:val="24"/>
          <w:szCs w:val="24"/>
        </w:rPr>
        <w:t>a</w:t>
      </w:r>
      <w:r w:rsidR="006B555F">
        <w:rPr>
          <w:rFonts w:ascii="Times New Roman" w:hAnsi="Times New Roman" w:cs="Times New Roman"/>
          <w:sz w:val="24"/>
          <w:szCs w:val="24"/>
        </w:rPr>
        <w:t xml:space="preserve"> a análise dessa suposição. </w:t>
      </w:r>
      <w:r w:rsidR="002A5C22">
        <w:rPr>
          <w:rFonts w:ascii="Times New Roman" w:hAnsi="Times New Roman" w:cs="Times New Roman"/>
          <w:sz w:val="24"/>
          <w:szCs w:val="24"/>
        </w:rPr>
        <w:t>E é justamente no tocante a essa análise prévia que se tem a segunda característica, a questão prejudicial. A</w:t>
      </w:r>
      <w:r w:rsidR="006B555F">
        <w:rPr>
          <w:rFonts w:ascii="Times New Roman" w:hAnsi="Times New Roman" w:cs="Times New Roman"/>
          <w:sz w:val="24"/>
          <w:szCs w:val="24"/>
        </w:rPr>
        <w:t xml:space="preserve"> questão constitucional consiste em uma </w:t>
      </w:r>
      <w:r w:rsidR="006B555F">
        <w:rPr>
          <w:rFonts w:ascii="Times New Roman" w:hAnsi="Times New Roman" w:cs="Times New Roman"/>
          <w:i/>
          <w:sz w:val="24"/>
          <w:szCs w:val="24"/>
        </w:rPr>
        <w:t>questão prejudicial</w:t>
      </w:r>
      <w:r w:rsidR="006B555F">
        <w:rPr>
          <w:rFonts w:ascii="Times New Roman" w:hAnsi="Times New Roman" w:cs="Times New Roman"/>
          <w:sz w:val="24"/>
          <w:szCs w:val="24"/>
        </w:rPr>
        <w:t>, devendo antes ser decidida para, posteriormente, a depender de qual a decisão, decidir</w:t>
      </w:r>
      <w:r w:rsidR="002A5C22">
        <w:rPr>
          <w:rFonts w:ascii="Times New Roman" w:hAnsi="Times New Roman" w:cs="Times New Roman"/>
          <w:sz w:val="24"/>
          <w:szCs w:val="24"/>
        </w:rPr>
        <w:t xml:space="preserve">-se </w:t>
      </w:r>
      <w:r w:rsidR="006B555F">
        <w:rPr>
          <w:rFonts w:ascii="Times New Roman" w:hAnsi="Times New Roman" w:cs="Times New Roman"/>
          <w:sz w:val="24"/>
          <w:szCs w:val="24"/>
        </w:rPr>
        <w:t>o objeto do processo.</w:t>
      </w:r>
      <w:r w:rsidR="006B555F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:rsidR="00E91CA9" w:rsidRDefault="00E91CA9" w:rsidP="00E9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002" w:rsidRDefault="00E91CA9" w:rsidP="00E9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Por fim, tem-se a terceira característica, o controle difuso. </w:t>
      </w:r>
      <w:r w:rsidR="0065745D">
        <w:rPr>
          <w:rFonts w:ascii="Times New Roman" w:hAnsi="Times New Roman" w:cs="Times New Roman"/>
          <w:sz w:val="24"/>
          <w:szCs w:val="24"/>
        </w:rPr>
        <w:t xml:space="preserve">Tendo em vista que todos devem zelar pela obediência à Constituição, Carta Maior que rege todo o ordenamento jurídico, qualquer órgão judicial, desde o primeiro grau até os tribunais superior, pode exercer o controle incidental de constitucionalidade, lembrando que, quando realizado por tribunais, deve-se respeitar o princípio da </w:t>
      </w:r>
      <w:r w:rsidR="0065745D">
        <w:rPr>
          <w:rFonts w:ascii="Times New Roman" w:hAnsi="Times New Roman" w:cs="Times New Roman"/>
          <w:i/>
          <w:sz w:val="24"/>
          <w:szCs w:val="24"/>
        </w:rPr>
        <w:t>reserva de plenário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(faz-se necessária a maioria absoluta dos membros do tribunal ou de seu órgão especial, caso haja) </w:t>
      </w:r>
      <w:r w:rsidR="00356467">
        <w:rPr>
          <w:rFonts w:ascii="Times New Roman" w:hAnsi="Times New Roman" w:cs="Times New Roman"/>
          <w:sz w:val="24"/>
          <w:szCs w:val="24"/>
        </w:rPr>
        <w:t>e a um procedimento específico imposto pelo CPC</w:t>
      </w:r>
      <w:r w:rsidR="002E4002">
        <w:rPr>
          <w:rFonts w:ascii="Times New Roman" w:hAnsi="Times New Roman" w:cs="Times New Roman"/>
          <w:sz w:val="24"/>
          <w:szCs w:val="24"/>
        </w:rPr>
        <w:t xml:space="preserve"> para reconhecimento da inconstitucionalidade</w:t>
      </w:r>
      <w:r>
        <w:rPr>
          <w:rFonts w:ascii="Times New Roman" w:hAnsi="Times New Roman" w:cs="Times New Roman"/>
          <w:sz w:val="24"/>
          <w:szCs w:val="24"/>
        </w:rPr>
        <w:t>. Vale mencionar que</w:t>
      </w:r>
      <w:r w:rsidR="00351494">
        <w:rPr>
          <w:rFonts w:ascii="Times New Roman" w:hAnsi="Times New Roman" w:cs="Times New Roman"/>
          <w:sz w:val="24"/>
          <w:szCs w:val="24"/>
        </w:rPr>
        <w:t xml:space="preserve">, em se tratando do reconhecimento da constitucionalidade da norma, </w:t>
      </w:r>
      <w:r>
        <w:rPr>
          <w:rFonts w:ascii="Times New Roman" w:hAnsi="Times New Roman" w:cs="Times New Roman"/>
          <w:sz w:val="24"/>
          <w:szCs w:val="24"/>
        </w:rPr>
        <w:t xml:space="preserve">o referido princípio é desconsiderado, isto é, </w:t>
      </w:r>
      <w:r w:rsidR="00351494">
        <w:rPr>
          <w:rFonts w:ascii="Times New Roman" w:hAnsi="Times New Roman" w:cs="Times New Roman"/>
          <w:sz w:val="24"/>
          <w:szCs w:val="24"/>
        </w:rPr>
        <w:t>não é necessária a análise pelo plenário ou órgão especial. A câmara, turma, secção ou órgão fracionário do tribunal pode reconhecê-la e o processo seguir em frente</w:t>
      </w:r>
      <w:r w:rsidR="00864B8A">
        <w:rPr>
          <w:rFonts w:ascii="Times New Roman" w:hAnsi="Times New Roman" w:cs="Times New Roman"/>
          <w:sz w:val="24"/>
          <w:szCs w:val="24"/>
        </w:rPr>
        <w:t xml:space="preserve"> para com seu julgamento</w:t>
      </w:r>
      <w:r w:rsidR="00351494">
        <w:rPr>
          <w:rFonts w:ascii="Times New Roman" w:hAnsi="Times New Roman" w:cs="Times New Roman"/>
          <w:sz w:val="24"/>
          <w:szCs w:val="24"/>
        </w:rPr>
        <w:t>.</w:t>
      </w:r>
      <w:r w:rsidR="009F6579">
        <w:rPr>
          <w:rFonts w:ascii="Times New Roman" w:hAnsi="Times New Roman" w:cs="Times New Roman"/>
          <w:sz w:val="24"/>
          <w:szCs w:val="24"/>
        </w:rPr>
        <w:t xml:space="preserve"> O mesmo acontece em relação à revogação de uma lei anterior à Constituição.</w:t>
      </w:r>
      <w:r w:rsidR="009F6579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:rsidR="00E027DF" w:rsidRDefault="00E027DF" w:rsidP="009F65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D3B" w:rsidRDefault="00413DEF" w:rsidP="00413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00E3">
        <w:rPr>
          <w:rFonts w:ascii="Times New Roman" w:hAnsi="Times New Roman" w:cs="Times New Roman"/>
          <w:sz w:val="24"/>
          <w:szCs w:val="24"/>
        </w:rPr>
        <w:t>O procedimento</w:t>
      </w:r>
      <w:r>
        <w:rPr>
          <w:rFonts w:ascii="Times New Roman" w:hAnsi="Times New Roman" w:cs="Times New Roman"/>
          <w:sz w:val="24"/>
          <w:szCs w:val="24"/>
        </w:rPr>
        <w:t xml:space="preserve"> para a declaração incidental de inconstitucionalidade</w:t>
      </w:r>
      <w:r w:rsidR="007C00E3">
        <w:rPr>
          <w:rFonts w:ascii="Times New Roman" w:hAnsi="Times New Roman" w:cs="Times New Roman"/>
          <w:sz w:val="24"/>
          <w:szCs w:val="24"/>
        </w:rPr>
        <w:t xml:space="preserve"> consiste em 02 (duas etapas).</w:t>
      </w:r>
      <w:r w:rsidR="00BF3921">
        <w:rPr>
          <w:rFonts w:ascii="Times New Roman" w:hAnsi="Times New Roman" w:cs="Times New Roman"/>
          <w:sz w:val="24"/>
          <w:szCs w:val="24"/>
        </w:rPr>
        <w:t xml:space="preserve"> Caso a turma, câmara, grupo de câmaras, secção ou outro órgão do tribunal, uma vez arguida a inconstitucionalidade, rejeite esta arg</w:t>
      </w:r>
      <w:r>
        <w:rPr>
          <w:rFonts w:ascii="Times New Roman" w:hAnsi="Times New Roman" w:cs="Times New Roman"/>
          <w:sz w:val="24"/>
          <w:szCs w:val="24"/>
        </w:rPr>
        <w:t>u</w:t>
      </w:r>
      <w:r w:rsidR="00BF3921">
        <w:rPr>
          <w:rFonts w:ascii="Times New Roman" w:hAnsi="Times New Roman" w:cs="Times New Roman"/>
          <w:sz w:val="24"/>
          <w:szCs w:val="24"/>
        </w:rPr>
        <w:t>ição, o processo seguirá seu julgamento normalmente</w:t>
      </w:r>
      <w:r w:rsidR="00081EA8">
        <w:rPr>
          <w:rFonts w:ascii="Times New Roman" w:hAnsi="Times New Roman" w:cs="Times New Roman"/>
          <w:sz w:val="24"/>
          <w:szCs w:val="24"/>
        </w:rPr>
        <w:t>, com a consideração da norma questionada</w:t>
      </w:r>
      <w:r w:rsidR="00BF3921">
        <w:rPr>
          <w:rFonts w:ascii="Times New Roman" w:hAnsi="Times New Roman" w:cs="Times New Roman"/>
          <w:sz w:val="24"/>
          <w:szCs w:val="24"/>
        </w:rPr>
        <w:t>. Todavia, caso acolha tal arg</w:t>
      </w:r>
      <w:r>
        <w:rPr>
          <w:rFonts w:ascii="Times New Roman" w:hAnsi="Times New Roman" w:cs="Times New Roman"/>
          <w:sz w:val="24"/>
          <w:szCs w:val="24"/>
        </w:rPr>
        <w:t>u</w:t>
      </w:r>
      <w:r w:rsidR="00BF3921">
        <w:rPr>
          <w:rFonts w:ascii="Times New Roman" w:hAnsi="Times New Roman" w:cs="Times New Roman"/>
          <w:sz w:val="24"/>
          <w:szCs w:val="24"/>
        </w:rPr>
        <w:t>ição, ou julgará conforme entendimento do plenário ou órgão especial do STF, se este já tiver anteriormente se pronunciado sobre a matéria, ou lavrará acórdão nesse sentido e encaminhará ao pleno ou ao órgão especial, se não houver pronunciamento anterior destes. É válido mencionar que não cabe recurso a decisão do pleno ou órgão especial, mas apenas embargos de declaração.</w:t>
      </w:r>
      <w:r w:rsidR="00BF3921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</w:p>
    <w:p w:rsidR="0061482D" w:rsidRDefault="0061482D" w:rsidP="006148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D78" w:rsidRDefault="00413DEF" w:rsidP="00413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É pertinente citar alguns pontos acerca do controle difuso pelo STJ e pelo STF. </w:t>
      </w:r>
      <w:r w:rsidR="007A7E43">
        <w:rPr>
          <w:rFonts w:ascii="Times New Roman" w:hAnsi="Times New Roman" w:cs="Times New Roman"/>
          <w:sz w:val="24"/>
          <w:szCs w:val="24"/>
        </w:rPr>
        <w:t xml:space="preserve">Como dito, todos os órgão judiciais devem exercer o controle de constitucionalidade, incluindo nestes o STJ </w:t>
      </w:r>
      <w:r w:rsidR="007A7E43">
        <w:rPr>
          <w:rFonts w:ascii="Times New Roman" w:hAnsi="Times New Roman" w:cs="Times New Roman"/>
          <w:sz w:val="24"/>
          <w:szCs w:val="24"/>
        </w:rPr>
        <w:lastRenderedPageBreak/>
        <w:t>e o STF. Quando do controle realizado por estes órgãos, dois dispositivos constitucionais devem ser suscitados, quais sejam: o artigo 102 e o artigo 105 da CF/88</w:t>
      </w:r>
      <w:r w:rsidR="00580D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principalmente</w:t>
      </w:r>
      <w:r w:rsidR="00580DD5">
        <w:rPr>
          <w:rFonts w:ascii="Times New Roman" w:hAnsi="Times New Roman" w:cs="Times New Roman"/>
          <w:sz w:val="24"/>
          <w:szCs w:val="24"/>
        </w:rPr>
        <w:t xml:space="preserve"> seus incisos I e II</w:t>
      </w:r>
      <w:r w:rsidR="007A7E43">
        <w:rPr>
          <w:rFonts w:ascii="Times New Roman" w:hAnsi="Times New Roman" w:cs="Times New Roman"/>
          <w:sz w:val="24"/>
          <w:szCs w:val="24"/>
        </w:rPr>
        <w:t>. Enquanto este diz respeito ao controle realizado por aquele órgão, o artigo 102 diz respeito ao controle realizado por este órgão.</w:t>
      </w:r>
      <w:r w:rsidR="00E7730A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</w:p>
    <w:p w:rsidR="00414D78" w:rsidRDefault="00414D78" w:rsidP="00413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5F0" w:rsidRDefault="00414D78" w:rsidP="00413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3DEF">
        <w:rPr>
          <w:rFonts w:ascii="Times New Roman" w:hAnsi="Times New Roman" w:cs="Times New Roman"/>
          <w:sz w:val="24"/>
          <w:szCs w:val="24"/>
        </w:rPr>
        <w:t>Quando da leitura do artigo 102, III, depara-se com o recurso extraordinário, que possui como objeto a análise de eventual ofensa direta e frontal (e não indireta ou reflexa) à Constituição, devendo a mat</w:t>
      </w:r>
      <w:r w:rsidR="00413DEF" w:rsidRPr="00413DEF">
        <w:rPr>
          <w:rFonts w:ascii="Times New Roman" w:hAnsi="Times New Roman" w:cs="Times New Roman"/>
          <w:sz w:val="24"/>
          <w:szCs w:val="24"/>
        </w:rPr>
        <w:t xml:space="preserve">éria ter sido prequestionada (prequestionamento) e apresentar repercussão geral (questões de relevância econômica, social, política ou jurídica, que transcendam os interesses das partes) </w:t>
      </w:r>
      <w:r w:rsidR="00413DEF">
        <w:rPr>
          <w:rFonts w:ascii="Times New Roman" w:hAnsi="Times New Roman" w:cs="Times New Roman"/>
          <w:sz w:val="24"/>
          <w:szCs w:val="24"/>
        </w:rPr>
        <w:t>para a ocorrência desta análise. Vale enfatizar que não haverá análise dos fatos e reexame da prova, mas sim de direito. Este recurso possui s</w:t>
      </w:r>
      <w:r w:rsidR="0037031F">
        <w:rPr>
          <w:rFonts w:ascii="Times New Roman" w:hAnsi="Times New Roman" w:cs="Times New Roman"/>
          <w:sz w:val="24"/>
          <w:szCs w:val="24"/>
        </w:rPr>
        <w:t xml:space="preserve">eu procedimento dividido em duas etapas: </w:t>
      </w:r>
      <w:r w:rsidR="007817C2">
        <w:rPr>
          <w:rFonts w:ascii="Times New Roman" w:hAnsi="Times New Roman" w:cs="Times New Roman"/>
          <w:sz w:val="24"/>
          <w:szCs w:val="24"/>
        </w:rPr>
        <w:t xml:space="preserve">1 - </w:t>
      </w:r>
      <w:r w:rsidR="0037031F">
        <w:rPr>
          <w:rFonts w:ascii="Times New Roman" w:hAnsi="Times New Roman" w:cs="Times New Roman"/>
          <w:sz w:val="24"/>
          <w:szCs w:val="24"/>
        </w:rPr>
        <w:t>análise pelo órgão jurisdicional de origem</w:t>
      </w:r>
      <w:r w:rsidR="00EE12AC">
        <w:rPr>
          <w:rFonts w:ascii="Times New Roman" w:hAnsi="Times New Roman" w:cs="Times New Roman"/>
          <w:sz w:val="24"/>
          <w:szCs w:val="24"/>
        </w:rPr>
        <w:t xml:space="preserve"> tão somente</w:t>
      </w:r>
      <w:r w:rsidR="0037031F">
        <w:rPr>
          <w:rFonts w:ascii="Times New Roman" w:hAnsi="Times New Roman" w:cs="Times New Roman"/>
          <w:sz w:val="24"/>
          <w:szCs w:val="24"/>
        </w:rPr>
        <w:t xml:space="preserve"> quanto </w:t>
      </w:r>
      <w:r w:rsidR="007817C2">
        <w:rPr>
          <w:rFonts w:ascii="Times New Roman" w:hAnsi="Times New Roman" w:cs="Times New Roman"/>
          <w:sz w:val="24"/>
          <w:szCs w:val="24"/>
        </w:rPr>
        <w:t>à</w:t>
      </w:r>
      <w:r w:rsidR="0037031F">
        <w:rPr>
          <w:rFonts w:ascii="Times New Roman" w:hAnsi="Times New Roman" w:cs="Times New Roman"/>
          <w:sz w:val="24"/>
          <w:szCs w:val="24"/>
        </w:rPr>
        <w:t xml:space="preserve"> existência ou não de alguma das hipóteses de cabimento e dos demais requisitos</w:t>
      </w:r>
      <w:r w:rsidR="007817C2">
        <w:rPr>
          <w:rFonts w:ascii="Times New Roman" w:hAnsi="Times New Roman" w:cs="Times New Roman"/>
          <w:sz w:val="24"/>
          <w:szCs w:val="24"/>
        </w:rPr>
        <w:t>, sendo encaminhado para o SFT caso respeitadas tais condições ou negado seu seguimento caso desrespeitadas (cabendo agravo nesta ocorrência), e; uma vez encaminhado para o STF, julgado por ele.</w:t>
      </w:r>
      <w:r w:rsidR="001539EE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</w:p>
    <w:p w:rsidR="00413DEF" w:rsidRDefault="00413DEF" w:rsidP="000C62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202" w:rsidRDefault="00414D78" w:rsidP="00414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Cabe uma ressalva quanto ao princípio da</w:t>
      </w:r>
      <w:r w:rsidR="000C6202">
        <w:rPr>
          <w:rFonts w:ascii="Times New Roman" w:hAnsi="Times New Roman" w:cs="Times New Roman"/>
          <w:sz w:val="24"/>
          <w:szCs w:val="24"/>
        </w:rPr>
        <w:t xml:space="preserve"> reserva de plenário</w:t>
      </w:r>
      <w:r>
        <w:rPr>
          <w:rFonts w:ascii="Times New Roman" w:hAnsi="Times New Roman" w:cs="Times New Roman"/>
          <w:sz w:val="24"/>
          <w:szCs w:val="24"/>
        </w:rPr>
        <w:t xml:space="preserve"> em relação ao STF. </w:t>
      </w:r>
      <w:r w:rsidR="000C6202">
        <w:rPr>
          <w:rFonts w:ascii="Times New Roman" w:hAnsi="Times New Roman" w:cs="Times New Roman"/>
          <w:sz w:val="24"/>
          <w:szCs w:val="24"/>
        </w:rPr>
        <w:t>Embora já visto o que seria a reserva de plenário, princípio aplicado quando do controle incidental de constitucionalid</w:t>
      </w:r>
      <w:r>
        <w:rPr>
          <w:rFonts w:ascii="Times New Roman" w:hAnsi="Times New Roman" w:cs="Times New Roman"/>
          <w:sz w:val="24"/>
          <w:szCs w:val="24"/>
        </w:rPr>
        <w:t>ade realizado pelos tribunais, e</w:t>
      </w:r>
      <w:r w:rsidR="000C6202">
        <w:rPr>
          <w:rFonts w:ascii="Times New Roman" w:hAnsi="Times New Roman" w:cs="Times New Roman"/>
          <w:sz w:val="24"/>
          <w:szCs w:val="24"/>
        </w:rPr>
        <w:t xml:space="preserve">m se tratando de controle realizado pelo STF, o procedimento a ser seguido não é o exposto no CPC/73, mas sim o do Regimento Interno deste órgão. Ademais, diferente do </w:t>
      </w:r>
      <w:r w:rsidR="00176377">
        <w:rPr>
          <w:rFonts w:ascii="Times New Roman" w:hAnsi="Times New Roman" w:cs="Times New Roman"/>
          <w:sz w:val="24"/>
          <w:szCs w:val="24"/>
        </w:rPr>
        <w:t>que ocorre</w:t>
      </w:r>
      <w:r w:rsidR="000C6202">
        <w:rPr>
          <w:rFonts w:ascii="Times New Roman" w:hAnsi="Times New Roman" w:cs="Times New Roman"/>
          <w:sz w:val="24"/>
          <w:szCs w:val="24"/>
        </w:rPr>
        <w:t xml:space="preserve"> nos demais tribunais, após decidir a constitucionalidade ou inconstitucionalidade, caberá ao próprio plenário julgar a causa.</w:t>
      </w:r>
      <w:r w:rsidR="00FF6B4E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</w:p>
    <w:p w:rsidR="004069A8" w:rsidRDefault="004069A8" w:rsidP="00406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9A8" w:rsidRDefault="00414D78" w:rsidP="00414D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Sabe-se que para o STF cabe recurso extraordinário e para o STJ cabe recurso especial. Mas questiona-se: é possível o c</w:t>
      </w:r>
      <w:r w:rsidR="004069A8">
        <w:rPr>
          <w:rFonts w:ascii="Times New Roman" w:hAnsi="Times New Roman" w:cs="Times New Roman"/>
          <w:sz w:val="24"/>
          <w:szCs w:val="24"/>
        </w:rPr>
        <w:t>abimento simultâneo d</w:t>
      </w:r>
      <w:r>
        <w:rPr>
          <w:rFonts w:ascii="Times New Roman" w:hAnsi="Times New Roman" w:cs="Times New Roman"/>
          <w:sz w:val="24"/>
          <w:szCs w:val="24"/>
        </w:rPr>
        <w:t xml:space="preserve">e ambos os recursos? </w:t>
      </w:r>
      <w:r w:rsidR="000358FB">
        <w:rPr>
          <w:rFonts w:ascii="Times New Roman" w:hAnsi="Times New Roman" w:cs="Times New Roman"/>
          <w:sz w:val="24"/>
          <w:szCs w:val="24"/>
        </w:rPr>
        <w:t>Desde que presente os requisitos de ambos</w:t>
      </w:r>
      <w:r>
        <w:rPr>
          <w:rFonts w:ascii="Times New Roman" w:hAnsi="Times New Roman" w:cs="Times New Roman"/>
          <w:sz w:val="24"/>
          <w:szCs w:val="24"/>
        </w:rPr>
        <w:t xml:space="preserve"> em um mesmo processo</w:t>
      </w:r>
      <w:r w:rsidR="000358FB">
        <w:rPr>
          <w:rFonts w:ascii="Times New Roman" w:hAnsi="Times New Roman" w:cs="Times New Roman"/>
          <w:sz w:val="24"/>
          <w:szCs w:val="24"/>
        </w:rPr>
        <w:t xml:space="preserve">, nada impede que sejam, simultaneamente, interpostos, havendo primeiro o julgamento do recurso especial e depois o do recurso </w:t>
      </w:r>
      <w:r w:rsidR="000358FB">
        <w:rPr>
          <w:rFonts w:ascii="Times New Roman" w:hAnsi="Times New Roman" w:cs="Times New Roman"/>
          <w:sz w:val="24"/>
          <w:szCs w:val="24"/>
        </w:rPr>
        <w:lastRenderedPageBreak/>
        <w:t>extraordinário, a não ser que o relator daquele inverta a ordem e desde que tal inversão seja aceita pelo relator deste.</w:t>
      </w:r>
      <w:r w:rsidR="00557B1C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</w:p>
    <w:p w:rsidR="004B7FBB" w:rsidRDefault="004B7FBB" w:rsidP="004B7F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9A8" w:rsidRDefault="00264BD1" w:rsidP="00264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Q</w:t>
      </w:r>
      <w:r w:rsidR="006F01C1">
        <w:rPr>
          <w:rFonts w:ascii="Times New Roman" w:hAnsi="Times New Roman" w:cs="Times New Roman"/>
          <w:sz w:val="24"/>
          <w:szCs w:val="24"/>
        </w:rPr>
        <w:t xml:space="preserve">uando do controle incidental de constitucionalidade, não se tem coisa julgada em relação à questão constitucional. Tal controle não era o objeto da ação e, portanto, nem os fundamentos nem a questão prejudicial são abarcados </w:t>
      </w:r>
      <w:r>
        <w:rPr>
          <w:rFonts w:ascii="Times New Roman" w:hAnsi="Times New Roman" w:cs="Times New Roman"/>
          <w:sz w:val="24"/>
          <w:szCs w:val="24"/>
        </w:rPr>
        <w:t xml:space="preserve">pelo instituto da coisa julgada. O efeito existente da coisa julgada diz respeito somente às partes do processo. Assim, </w:t>
      </w:r>
      <w:r w:rsidR="009E503E">
        <w:rPr>
          <w:rFonts w:ascii="Times New Roman" w:hAnsi="Times New Roman" w:cs="Times New Roman"/>
          <w:sz w:val="24"/>
          <w:szCs w:val="24"/>
        </w:rPr>
        <w:t xml:space="preserve">é justamente </w:t>
      </w:r>
      <w:r>
        <w:rPr>
          <w:rFonts w:ascii="Times New Roman" w:hAnsi="Times New Roman" w:cs="Times New Roman"/>
          <w:sz w:val="24"/>
          <w:szCs w:val="24"/>
        </w:rPr>
        <w:t xml:space="preserve">buscando dar eficácia geral, </w:t>
      </w:r>
      <w:r>
        <w:rPr>
          <w:rFonts w:ascii="Times New Roman" w:hAnsi="Times New Roman" w:cs="Times New Roman"/>
          <w:i/>
          <w:sz w:val="24"/>
          <w:szCs w:val="24"/>
        </w:rPr>
        <w:t>erga omnes</w:t>
      </w:r>
      <w:r>
        <w:rPr>
          <w:rFonts w:ascii="Times New Roman" w:hAnsi="Times New Roman" w:cs="Times New Roman"/>
          <w:sz w:val="24"/>
          <w:szCs w:val="24"/>
        </w:rPr>
        <w:t>, à decisão proferida no processo</w:t>
      </w:r>
      <w:r w:rsidR="009E503E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03E">
        <w:rPr>
          <w:rFonts w:ascii="Times New Roman" w:hAnsi="Times New Roman" w:cs="Times New Roman"/>
          <w:sz w:val="24"/>
          <w:szCs w:val="24"/>
        </w:rPr>
        <w:t xml:space="preserve">entra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E503E">
        <w:rPr>
          <w:rFonts w:ascii="Times New Roman" w:hAnsi="Times New Roman" w:cs="Times New Roman"/>
          <w:sz w:val="24"/>
          <w:szCs w:val="24"/>
        </w:rPr>
        <w:t xml:space="preserve"> papel do </w:t>
      </w:r>
      <w:r>
        <w:rPr>
          <w:rFonts w:ascii="Times New Roman" w:hAnsi="Times New Roman" w:cs="Times New Roman"/>
          <w:sz w:val="24"/>
          <w:szCs w:val="24"/>
        </w:rPr>
        <w:t>Senado Federal</w:t>
      </w:r>
      <w:r w:rsidR="009E503E">
        <w:rPr>
          <w:rFonts w:ascii="Times New Roman" w:hAnsi="Times New Roman" w:cs="Times New Roman"/>
          <w:sz w:val="24"/>
          <w:szCs w:val="24"/>
        </w:rPr>
        <w:t>, quem possui a</w:t>
      </w:r>
      <w:r>
        <w:rPr>
          <w:rFonts w:ascii="Times New Roman" w:hAnsi="Times New Roman" w:cs="Times New Roman"/>
          <w:sz w:val="24"/>
          <w:szCs w:val="24"/>
        </w:rPr>
        <w:t xml:space="preserve"> competência para suspender a execução da lei inconstitucional.</w:t>
      </w:r>
      <w:r w:rsidR="009E5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Além disto, u</w:t>
      </w:r>
      <w:r w:rsidR="00557B1C">
        <w:rPr>
          <w:rFonts w:ascii="Times New Roman" w:hAnsi="Times New Roman" w:cs="Times New Roman"/>
          <w:sz w:val="24"/>
          <w:szCs w:val="24"/>
        </w:rPr>
        <w:t>ma vez reconhecida</w:t>
      </w:r>
      <w:r w:rsidR="00BF15BD">
        <w:rPr>
          <w:rFonts w:ascii="Times New Roman" w:hAnsi="Times New Roman" w:cs="Times New Roman"/>
          <w:sz w:val="24"/>
          <w:szCs w:val="24"/>
        </w:rPr>
        <w:t xml:space="preserve"> a</w:t>
      </w:r>
      <w:r w:rsidR="00557B1C">
        <w:rPr>
          <w:rFonts w:ascii="Times New Roman" w:hAnsi="Times New Roman" w:cs="Times New Roman"/>
          <w:sz w:val="24"/>
          <w:szCs w:val="24"/>
        </w:rPr>
        <w:t xml:space="preserve"> inconstitucionalidade de determinada lei, esta se torna nula</w:t>
      </w:r>
      <w:r w:rsidR="007B6B19">
        <w:rPr>
          <w:rFonts w:ascii="Times New Roman" w:hAnsi="Times New Roman" w:cs="Times New Roman"/>
          <w:sz w:val="24"/>
          <w:szCs w:val="24"/>
        </w:rPr>
        <w:t xml:space="preserve"> e seus efeitos devem ser desconsiderados desde o início de sua vigência. Isto implica dizer que se está diante de uma</w:t>
      </w:r>
      <w:r w:rsidR="00C6488C">
        <w:rPr>
          <w:rFonts w:ascii="Times New Roman" w:hAnsi="Times New Roman" w:cs="Times New Roman"/>
          <w:sz w:val="24"/>
          <w:szCs w:val="24"/>
        </w:rPr>
        <w:t xml:space="preserve"> eficácia retroativa, </w:t>
      </w:r>
      <w:r w:rsidR="00C6488C">
        <w:rPr>
          <w:rFonts w:ascii="Times New Roman" w:hAnsi="Times New Roman" w:cs="Times New Roman"/>
          <w:i/>
          <w:sz w:val="24"/>
          <w:szCs w:val="24"/>
        </w:rPr>
        <w:t>ex tunc</w:t>
      </w:r>
      <w:r w:rsidR="00C6488C">
        <w:rPr>
          <w:rFonts w:ascii="Times New Roman" w:hAnsi="Times New Roman" w:cs="Times New Roman"/>
          <w:sz w:val="24"/>
          <w:szCs w:val="24"/>
        </w:rPr>
        <w:t>.</w:t>
      </w:r>
      <w:r w:rsidR="007B6B19">
        <w:rPr>
          <w:rFonts w:ascii="Times New Roman" w:hAnsi="Times New Roman" w:cs="Times New Roman"/>
          <w:sz w:val="24"/>
          <w:szCs w:val="24"/>
        </w:rPr>
        <w:t xml:space="preserve"> Todavia, toda regra possui exceção e aqui n</w:t>
      </w:r>
      <w:r w:rsidR="00A7596F">
        <w:rPr>
          <w:rFonts w:ascii="Times New Roman" w:hAnsi="Times New Roman" w:cs="Times New Roman"/>
          <w:sz w:val="24"/>
          <w:szCs w:val="24"/>
        </w:rPr>
        <w:t>ão é diferente. O próprio STF, tendo em vista outros</w:t>
      </w:r>
      <w:r w:rsidR="007B6B19">
        <w:rPr>
          <w:rFonts w:ascii="Times New Roman" w:hAnsi="Times New Roman" w:cs="Times New Roman"/>
          <w:sz w:val="24"/>
          <w:szCs w:val="24"/>
        </w:rPr>
        <w:t xml:space="preserve"> valores e bens jurídicos</w:t>
      </w:r>
      <w:r w:rsidR="00A7596F">
        <w:rPr>
          <w:rFonts w:ascii="Times New Roman" w:hAnsi="Times New Roman" w:cs="Times New Roman"/>
          <w:sz w:val="24"/>
          <w:szCs w:val="24"/>
        </w:rPr>
        <w:t>, já relativizou esta regra, dando eficácia temporal ex nunc quando do reconhecimento de algu</w:t>
      </w:r>
      <w:r>
        <w:rPr>
          <w:rFonts w:ascii="Times New Roman" w:hAnsi="Times New Roman" w:cs="Times New Roman"/>
          <w:sz w:val="24"/>
          <w:szCs w:val="24"/>
        </w:rPr>
        <w:t>mas leis como inconstitucionais.</w:t>
      </w:r>
      <w:r w:rsidR="00D44CC9"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</w:p>
    <w:p w:rsidR="00C4113E" w:rsidRDefault="00C4113E" w:rsidP="00C411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D3B" w:rsidRDefault="00A60100" w:rsidP="007837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mandado de injunção t</w:t>
      </w:r>
      <w:r w:rsidR="00544705">
        <w:rPr>
          <w:rFonts w:ascii="Times New Roman" w:hAnsi="Times New Roman" w:cs="Times New Roman"/>
          <w:sz w:val="24"/>
          <w:szCs w:val="24"/>
        </w:rPr>
        <w:t>ambém possui como objetivo o controle incidental de constitucionalidade, porém pela omissão</w:t>
      </w:r>
      <w:r w:rsidR="00233C07">
        <w:rPr>
          <w:rFonts w:ascii="Times New Roman" w:hAnsi="Times New Roman" w:cs="Times New Roman"/>
          <w:sz w:val="24"/>
          <w:szCs w:val="24"/>
        </w:rPr>
        <w:t xml:space="preserve"> de uma determinada norma regulamentadora, independente de qual sua hierarquia</w:t>
      </w:r>
      <w:r w:rsidR="00544705">
        <w:rPr>
          <w:rFonts w:ascii="Times New Roman" w:hAnsi="Times New Roman" w:cs="Times New Roman"/>
          <w:sz w:val="24"/>
          <w:szCs w:val="24"/>
        </w:rPr>
        <w:t xml:space="preserve">. </w:t>
      </w:r>
      <w:r w:rsidR="007837A8">
        <w:rPr>
          <w:rFonts w:ascii="Times New Roman" w:hAnsi="Times New Roman" w:cs="Times New Roman"/>
          <w:sz w:val="24"/>
          <w:szCs w:val="24"/>
        </w:rPr>
        <w:t>Não obstante sua existência</w:t>
      </w:r>
      <w:r w:rsidR="00544705">
        <w:rPr>
          <w:rFonts w:ascii="Times New Roman" w:hAnsi="Times New Roman" w:cs="Times New Roman"/>
          <w:sz w:val="24"/>
          <w:szCs w:val="24"/>
        </w:rPr>
        <w:t>, jamais atendeu às perspectivas quando de sua criação.</w:t>
      </w:r>
      <w:r w:rsidR="007837A8">
        <w:rPr>
          <w:rFonts w:ascii="Times New Roman" w:hAnsi="Times New Roman" w:cs="Times New Roman"/>
          <w:sz w:val="24"/>
          <w:szCs w:val="24"/>
        </w:rPr>
        <w:t xml:space="preserve"> Os tribunais são os órgãos encarregados de sua apreciação, podendo ser proposto pelo</w:t>
      </w:r>
      <w:r w:rsidR="00FE52C7">
        <w:rPr>
          <w:rFonts w:ascii="Times New Roman" w:hAnsi="Times New Roman" w:cs="Times New Roman"/>
          <w:sz w:val="24"/>
          <w:szCs w:val="24"/>
        </w:rPr>
        <w:t xml:space="preserve"> </w:t>
      </w:r>
      <w:r w:rsidR="007837A8">
        <w:rPr>
          <w:rFonts w:ascii="Times New Roman" w:hAnsi="Times New Roman" w:cs="Times New Roman"/>
          <w:sz w:val="24"/>
          <w:szCs w:val="24"/>
        </w:rPr>
        <w:t xml:space="preserve">(i) </w:t>
      </w:r>
      <w:r w:rsidR="00FE52C7">
        <w:rPr>
          <w:rFonts w:ascii="Times New Roman" w:hAnsi="Times New Roman" w:cs="Times New Roman"/>
          <w:sz w:val="24"/>
          <w:szCs w:val="24"/>
        </w:rPr>
        <w:t xml:space="preserve">titular do direito cujo exercício está obstado por falta de norma regulamentadora; </w:t>
      </w:r>
      <w:r w:rsidR="007837A8">
        <w:rPr>
          <w:rFonts w:ascii="Times New Roman" w:hAnsi="Times New Roman" w:cs="Times New Roman"/>
          <w:sz w:val="24"/>
          <w:szCs w:val="24"/>
        </w:rPr>
        <w:t xml:space="preserve">(ii) </w:t>
      </w:r>
      <w:r w:rsidR="00FE52C7">
        <w:rPr>
          <w:rFonts w:ascii="Times New Roman" w:hAnsi="Times New Roman" w:cs="Times New Roman"/>
          <w:sz w:val="24"/>
          <w:szCs w:val="24"/>
        </w:rPr>
        <w:t xml:space="preserve">entidades de classe ou associativas; </w:t>
      </w:r>
      <w:r w:rsidR="007837A8">
        <w:rPr>
          <w:rFonts w:ascii="Times New Roman" w:hAnsi="Times New Roman" w:cs="Times New Roman"/>
          <w:sz w:val="24"/>
          <w:szCs w:val="24"/>
        </w:rPr>
        <w:t xml:space="preserve">(iii) </w:t>
      </w:r>
      <w:r w:rsidR="00FE52C7">
        <w:rPr>
          <w:rFonts w:ascii="Times New Roman" w:hAnsi="Times New Roman" w:cs="Times New Roman"/>
          <w:sz w:val="24"/>
          <w:szCs w:val="24"/>
        </w:rPr>
        <w:t>sindicatos. De outro lado, quanto aos legitimados passivos, têm-se três correntes: (</w:t>
      </w:r>
      <w:r w:rsidR="007837A8">
        <w:rPr>
          <w:rFonts w:ascii="Times New Roman" w:hAnsi="Times New Roman" w:cs="Times New Roman"/>
          <w:sz w:val="24"/>
          <w:szCs w:val="24"/>
        </w:rPr>
        <w:t>i</w:t>
      </w:r>
      <w:r w:rsidR="00FE52C7">
        <w:rPr>
          <w:rFonts w:ascii="Times New Roman" w:hAnsi="Times New Roman" w:cs="Times New Roman"/>
          <w:sz w:val="24"/>
          <w:szCs w:val="24"/>
        </w:rPr>
        <w:t>) autoridade ou órgão público a que se imputa a omissão e, formando litisconsórcio necessário, quem deveria conceder o benefício/direito constitucional; (</w:t>
      </w:r>
      <w:r w:rsidR="007837A8">
        <w:rPr>
          <w:rFonts w:ascii="Times New Roman" w:hAnsi="Times New Roman" w:cs="Times New Roman"/>
          <w:sz w:val="24"/>
          <w:szCs w:val="24"/>
        </w:rPr>
        <w:t>ii</w:t>
      </w:r>
      <w:r w:rsidR="00FE52C7">
        <w:rPr>
          <w:rFonts w:ascii="Times New Roman" w:hAnsi="Times New Roman" w:cs="Times New Roman"/>
          <w:sz w:val="24"/>
          <w:szCs w:val="24"/>
        </w:rPr>
        <w:t>) somente quem deveria conceder o benefício/direito constitucional, e; (</w:t>
      </w:r>
      <w:r w:rsidR="007837A8">
        <w:rPr>
          <w:rFonts w:ascii="Times New Roman" w:hAnsi="Times New Roman" w:cs="Times New Roman"/>
          <w:sz w:val="24"/>
          <w:szCs w:val="24"/>
        </w:rPr>
        <w:t>iii</w:t>
      </w:r>
      <w:r w:rsidR="00FE52C7">
        <w:rPr>
          <w:rFonts w:ascii="Times New Roman" w:hAnsi="Times New Roman" w:cs="Times New Roman"/>
          <w:sz w:val="24"/>
          <w:szCs w:val="24"/>
        </w:rPr>
        <w:t>) somente a autoridade ou órgão omisso (posição do STF).</w:t>
      </w:r>
      <w:r w:rsidR="00FE52C7">
        <w:rPr>
          <w:rStyle w:val="Refdenotaderodap"/>
          <w:rFonts w:ascii="Times New Roman" w:hAnsi="Times New Roman" w:cs="Times New Roman"/>
          <w:sz w:val="24"/>
          <w:szCs w:val="24"/>
        </w:rPr>
        <w:footnoteReference w:id="13"/>
      </w:r>
    </w:p>
    <w:p w:rsidR="00714C56" w:rsidRDefault="00714C56" w:rsidP="00714C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D3B" w:rsidRDefault="00714C56" w:rsidP="00714C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6AA8">
        <w:rPr>
          <w:rFonts w:ascii="Times New Roman" w:hAnsi="Times New Roman" w:cs="Times New Roman"/>
          <w:sz w:val="24"/>
          <w:szCs w:val="24"/>
        </w:rPr>
        <w:t xml:space="preserve">Há o questionamento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66AA8">
        <w:rPr>
          <w:rFonts w:ascii="Times New Roman" w:hAnsi="Times New Roman" w:cs="Times New Roman"/>
          <w:sz w:val="24"/>
          <w:szCs w:val="24"/>
        </w:rPr>
        <w:t xml:space="preserve">e o mandado de injunção seria para suprimir a norma inexistente ou para estimular a </w:t>
      </w:r>
      <w:r>
        <w:rPr>
          <w:rFonts w:ascii="Times New Roman" w:hAnsi="Times New Roman" w:cs="Times New Roman"/>
          <w:sz w:val="24"/>
          <w:szCs w:val="24"/>
        </w:rPr>
        <w:t xml:space="preserve">sua </w:t>
      </w:r>
      <w:r w:rsidR="00C66AA8">
        <w:rPr>
          <w:rFonts w:ascii="Times New Roman" w:hAnsi="Times New Roman" w:cs="Times New Roman"/>
          <w:sz w:val="24"/>
          <w:szCs w:val="24"/>
        </w:rPr>
        <w:t xml:space="preserve">produção. </w:t>
      </w:r>
      <w:r>
        <w:rPr>
          <w:rFonts w:ascii="Times New Roman" w:hAnsi="Times New Roman" w:cs="Times New Roman"/>
          <w:sz w:val="24"/>
          <w:szCs w:val="24"/>
        </w:rPr>
        <w:t xml:space="preserve">Há quem entenda que o objeto seria a supressão e há quem entenda que seria para estimular a produção, quer dizer, uns apontam o caráter constitutivo, outros o </w:t>
      </w:r>
      <w:r>
        <w:rPr>
          <w:rFonts w:ascii="Times New Roman" w:hAnsi="Times New Roman" w:cs="Times New Roman"/>
          <w:sz w:val="24"/>
          <w:szCs w:val="24"/>
        </w:rPr>
        <w:lastRenderedPageBreak/>
        <w:t>mandamental do mandado em comento. É importante</w:t>
      </w:r>
      <w:r w:rsidR="00C66AA8">
        <w:rPr>
          <w:rFonts w:ascii="Times New Roman" w:hAnsi="Times New Roman" w:cs="Times New Roman"/>
          <w:sz w:val="24"/>
          <w:szCs w:val="24"/>
        </w:rPr>
        <w:t xml:space="preserve"> dizer que </w:t>
      </w:r>
      <w:r w:rsidR="0007623C">
        <w:rPr>
          <w:rFonts w:ascii="Times New Roman" w:hAnsi="Times New Roman" w:cs="Times New Roman"/>
          <w:sz w:val="24"/>
          <w:szCs w:val="24"/>
        </w:rPr>
        <w:t xml:space="preserve">norma </w:t>
      </w:r>
      <w:r w:rsidR="00C66AA8">
        <w:rPr>
          <w:rFonts w:ascii="Times New Roman" w:hAnsi="Times New Roman" w:cs="Times New Roman"/>
          <w:sz w:val="24"/>
          <w:szCs w:val="24"/>
        </w:rPr>
        <w:t>insatisfatória não significa, para a interposição d</w:t>
      </w:r>
      <w:r>
        <w:rPr>
          <w:rFonts w:ascii="Times New Roman" w:hAnsi="Times New Roman" w:cs="Times New Roman"/>
          <w:sz w:val="24"/>
          <w:szCs w:val="24"/>
        </w:rPr>
        <w:t>este</w:t>
      </w:r>
      <w:r w:rsidR="00C66AA8">
        <w:rPr>
          <w:rFonts w:ascii="Times New Roman" w:hAnsi="Times New Roman" w:cs="Times New Roman"/>
          <w:sz w:val="24"/>
          <w:szCs w:val="24"/>
        </w:rPr>
        <w:t xml:space="preserve"> mandado, o mesmo que </w:t>
      </w:r>
      <w:r w:rsidR="0007623C">
        <w:rPr>
          <w:rFonts w:ascii="Times New Roman" w:hAnsi="Times New Roman" w:cs="Times New Roman"/>
          <w:sz w:val="24"/>
          <w:szCs w:val="24"/>
        </w:rPr>
        <w:t xml:space="preserve">norma </w:t>
      </w:r>
      <w:r w:rsidR="00C66AA8">
        <w:rPr>
          <w:rFonts w:ascii="Times New Roman" w:hAnsi="Times New Roman" w:cs="Times New Roman"/>
          <w:sz w:val="24"/>
          <w:szCs w:val="24"/>
        </w:rPr>
        <w:t>inexistente.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4"/>
      </w:r>
    </w:p>
    <w:p w:rsidR="00952D3B" w:rsidRDefault="00952D3B" w:rsidP="0095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D3B" w:rsidRDefault="003605C0" w:rsidP="00360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ação declaratória de constitucionalidade consiste em</w:t>
      </w:r>
      <w:r w:rsidR="00F50A0E">
        <w:rPr>
          <w:rFonts w:ascii="Times New Roman" w:hAnsi="Times New Roman" w:cs="Times New Roman"/>
          <w:sz w:val="24"/>
          <w:szCs w:val="24"/>
        </w:rPr>
        <w:t xml:space="preserve"> um instrumento </w:t>
      </w:r>
      <w:r w:rsidR="00F835A9">
        <w:rPr>
          <w:rFonts w:ascii="Times New Roman" w:hAnsi="Times New Roman" w:cs="Times New Roman"/>
          <w:sz w:val="24"/>
          <w:szCs w:val="24"/>
        </w:rPr>
        <w:t xml:space="preserve">de controle por via principal, concentrado e abstrato </w:t>
      </w:r>
      <w:r w:rsidR="00F50A0E">
        <w:rPr>
          <w:rFonts w:ascii="Times New Roman" w:hAnsi="Times New Roman" w:cs="Times New Roman"/>
          <w:sz w:val="24"/>
          <w:szCs w:val="24"/>
        </w:rPr>
        <w:t>por meio do qual o STF</w:t>
      </w:r>
      <w:r>
        <w:rPr>
          <w:rFonts w:ascii="Times New Roman" w:hAnsi="Times New Roman" w:cs="Times New Roman"/>
          <w:sz w:val="24"/>
          <w:szCs w:val="24"/>
        </w:rPr>
        <w:t xml:space="preserve"> (competente exclusivo)</w:t>
      </w:r>
      <w:r w:rsidR="00F50A0E">
        <w:rPr>
          <w:rFonts w:ascii="Times New Roman" w:hAnsi="Times New Roman" w:cs="Times New Roman"/>
          <w:sz w:val="24"/>
          <w:szCs w:val="24"/>
        </w:rPr>
        <w:t xml:space="preserve"> reconhece expressamente que determinada norma infraconstitucional </w:t>
      </w:r>
      <w:r>
        <w:rPr>
          <w:rFonts w:ascii="Times New Roman" w:hAnsi="Times New Roman" w:cs="Times New Roman"/>
          <w:sz w:val="24"/>
          <w:szCs w:val="24"/>
        </w:rPr>
        <w:t xml:space="preserve">(leis ou atos normativos federais) </w:t>
      </w:r>
      <w:r w:rsidR="00F50A0E">
        <w:rPr>
          <w:rFonts w:ascii="Times New Roman" w:hAnsi="Times New Roman" w:cs="Times New Roman"/>
          <w:sz w:val="24"/>
          <w:szCs w:val="24"/>
        </w:rPr>
        <w:t>é compatível com a Constituição quando houver interpretações judiciais relevantes que questionem tal compatibilidade.</w:t>
      </w:r>
      <w:r w:rsidR="00FB31B9">
        <w:rPr>
          <w:rStyle w:val="Refdenotaderodap"/>
          <w:rFonts w:ascii="Times New Roman" w:hAnsi="Times New Roman" w:cs="Times New Roman"/>
          <w:sz w:val="24"/>
          <w:szCs w:val="24"/>
        </w:rPr>
        <w:footnoteReference w:id="15"/>
      </w:r>
    </w:p>
    <w:p w:rsidR="003605C0" w:rsidRDefault="003605C0" w:rsidP="00360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D3B" w:rsidRDefault="003605C0" w:rsidP="00360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35A9">
        <w:rPr>
          <w:rFonts w:ascii="Times New Roman" w:hAnsi="Times New Roman" w:cs="Times New Roman"/>
          <w:sz w:val="24"/>
          <w:szCs w:val="24"/>
        </w:rPr>
        <w:t>Apresenta como legitimados ativos os mesmos da ação direita de inconstitucionalidade, enquanto que, quanto aos legitimados passivos, não há que se falar, pois inexiste.</w:t>
      </w:r>
      <w:r w:rsidR="00FB31B9">
        <w:rPr>
          <w:rStyle w:val="Refdenotaderodap"/>
          <w:rFonts w:ascii="Times New Roman" w:hAnsi="Times New Roman" w:cs="Times New Roman"/>
          <w:sz w:val="24"/>
          <w:szCs w:val="24"/>
        </w:rPr>
        <w:footnoteReference w:id="16"/>
      </w:r>
    </w:p>
    <w:p w:rsidR="00503750" w:rsidRDefault="00503750" w:rsidP="005037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D3B" w:rsidRDefault="003605C0" w:rsidP="00360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Para ajuizamento da ação, faz-se necessário que</w:t>
      </w:r>
      <w:r w:rsidR="00656A07">
        <w:rPr>
          <w:rFonts w:ascii="Times New Roman" w:hAnsi="Times New Roman" w:cs="Times New Roman"/>
          <w:sz w:val="24"/>
          <w:szCs w:val="24"/>
        </w:rPr>
        <w:t>, na petição inicial, o dispositivo questionado, o pedido, suas especificações e a prova da controvérsia</w:t>
      </w:r>
      <w:r w:rsidR="005927B3">
        <w:rPr>
          <w:rFonts w:ascii="Times New Roman" w:hAnsi="Times New Roman" w:cs="Times New Roman"/>
          <w:sz w:val="24"/>
          <w:szCs w:val="24"/>
        </w:rPr>
        <w:t xml:space="preserve"> judicial (e não apenas doutrinária) relevante</w:t>
      </w:r>
      <w:r w:rsidR="00656A07">
        <w:rPr>
          <w:rFonts w:ascii="Times New Roman" w:hAnsi="Times New Roman" w:cs="Times New Roman"/>
          <w:sz w:val="24"/>
          <w:szCs w:val="24"/>
        </w:rPr>
        <w:t>, devendo a petição ser apresentada em 02 (duas) vias</w:t>
      </w:r>
      <w:r>
        <w:rPr>
          <w:rFonts w:ascii="Times New Roman" w:hAnsi="Times New Roman" w:cs="Times New Roman"/>
          <w:sz w:val="24"/>
          <w:szCs w:val="24"/>
        </w:rPr>
        <w:t xml:space="preserve"> e não se admitindo a desistência e nem a intervenção de terceiros</w:t>
      </w:r>
      <w:r w:rsidR="00303BFE">
        <w:rPr>
          <w:rFonts w:ascii="Times New Roman" w:hAnsi="Times New Roman" w:cs="Times New Roman"/>
          <w:sz w:val="24"/>
          <w:szCs w:val="24"/>
        </w:rPr>
        <w:t xml:space="preserve"> no processo</w:t>
      </w:r>
      <w:r w:rsidR="00656A07">
        <w:rPr>
          <w:rFonts w:ascii="Times New Roman" w:hAnsi="Times New Roman" w:cs="Times New Roman"/>
          <w:sz w:val="24"/>
          <w:szCs w:val="24"/>
        </w:rPr>
        <w:t>.</w:t>
      </w:r>
      <w:r w:rsidR="00656A07">
        <w:rPr>
          <w:rStyle w:val="Refdenotaderodap"/>
          <w:rFonts w:ascii="Times New Roman" w:hAnsi="Times New Roman" w:cs="Times New Roman"/>
          <w:sz w:val="24"/>
          <w:szCs w:val="24"/>
        </w:rPr>
        <w:footnoteReference w:id="17"/>
      </w:r>
    </w:p>
    <w:p w:rsidR="00952D3B" w:rsidRDefault="00952D3B" w:rsidP="0095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5B" w:rsidRPr="004F32D4" w:rsidRDefault="0055135B" w:rsidP="0095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Não obstante comporte a interposição de embargos de declaração, a decisão é irrecorrível</w:t>
      </w:r>
      <w:r w:rsidR="004F32D4">
        <w:rPr>
          <w:rFonts w:ascii="Times New Roman" w:hAnsi="Times New Roman" w:cs="Times New Roman"/>
          <w:sz w:val="24"/>
          <w:szCs w:val="24"/>
        </w:rPr>
        <w:t xml:space="preserve">, possuindo eficácia em relação a todos, isto é, eficácia </w:t>
      </w:r>
      <w:r w:rsidR="004F32D4">
        <w:rPr>
          <w:rFonts w:ascii="Times New Roman" w:hAnsi="Times New Roman" w:cs="Times New Roman"/>
          <w:i/>
          <w:sz w:val="24"/>
          <w:szCs w:val="24"/>
        </w:rPr>
        <w:t>erga omnes</w:t>
      </w:r>
      <w:r w:rsidR="004F32D4">
        <w:rPr>
          <w:rFonts w:ascii="Times New Roman" w:hAnsi="Times New Roman" w:cs="Times New Roman"/>
          <w:sz w:val="24"/>
          <w:szCs w:val="24"/>
        </w:rPr>
        <w:t xml:space="preserve"> e efeito temporal </w:t>
      </w:r>
      <w:r w:rsidR="004F32D4">
        <w:rPr>
          <w:rFonts w:ascii="Times New Roman" w:hAnsi="Times New Roman" w:cs="Times New Roman"/>
          <w:i/>
          <w:sz w:val="24"/>
          <w:szCs w:val="24"/>
        </w:rPr>
        <w:t>ex tunc</w:t>
      </w:r>
      <w:r w:rsidR="004F32D4">
        <w:rPr>
          <w:rFonts w:ascii="Times New Roman" w:hAnsi="Times New Roman" w:cs="Times New Roman"/>
          <w:sz w:val="24"/>
          <w:szCs w:val="24"/>
        </w:rPr>
        <w:t>, podendo haver ressalvas a depender da ponderação de valores e bens jurídicos a serem afetados.</w:t>
      </w:r>
      <w:r w:rsidR="003E5499">
        <w:rPr>
          <w:rStyle w:val="Refdenotaderodap"/>
          <w:rFonts w:ascii="Times New Roman" w:hAnsi="Times New Roman" w:cs="Times New Roman"/>
          <w:sz w:val="24"/>
          <w:szCs w:val="24"/>
        </w:rPr>
        <w:footnoteReference w:id="18"/>
      </w:r>
    </w:p>
    <w:p w:rsidR="00952D3B" w:rsidRDefault="00952D3B" w:rsidP="0095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D3B" w:rsidRDefault="00952D3B" w:rsidP="0095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D3B" w:rsidRDefault="00952D3B" w:rsidP="0095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D3B" w:rsidRDefault="00952D3B" w:rsidP="0095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D3B" w:rsidRDefault="00952D3B" w:rsidP="0095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D3B" w:rsidRDefault="00952D3B" w:rsidP="0095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D3B" w:rsidRDefault="00952D3B" w:rsidP="0095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D3B" w:rsidRPr="00952D3B" w:rsidRDefault="00952D3B" w:rsidP="0095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2D3B" w:rsidRPr="00952D3B" w:rsidSect="00952D3B">
      <w:pgSz w:w="12240" w:h="15840" w:code="1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15" w:rsidRDefault="000F6C15" w:rsidP="00BF2870">
      <w:pPr>
        <w:spacing w:after="0" w:line="240" w:lineRule="auto"/>
      </w:pPr>
      <w:r>
        <w:separator/>
      </w:r>
    </w:p>
  </w:endnote>
  <w:endnote w:type="continuationSeparator" w:id="0">
    <w:p w:rsidR="000F6C15" w:rsidRDefault="000F6C15" w:rsidP="00BF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15" w:rsidRDefault="000F6C15" w:rsidP="00BF2870">
      <w:pPr>
        <w:spacing w:after="0" w:line="240" w:lineRule="auto"/>
      </w:pPr>
      <w:r>
        <w:separator/>
      </w:r>
    </w:p>
  </w:footnote>
  <w:footnote w:type="continuationSeparator" w:id="0">
    <w:p w:rsidR="000F6C15" w:rsidRDefault="000F6C15" w:rsidP="00BF2870">
      <w:pPr>
        <w:spacing w:after="0" w:line="240" w:lineRule="auto"/>
      </w:pPr>
      <w:r>
        <w:continuationSeparator/>
      </w:r>
    </w:p>
  </w:footnote>
  <w:footnote w:id="1">
    <w:p w:rsidR="00D327F7" w:rsidRPr="00D327F7" w:rsidRDefault="00D327F7" w:rsidP="00D327F7">
      <w:pPr>
        <w:pStyle w:val="Textodenotaderodap"/>
        <w:jc w:val="both"/>
        <w:rPr>
          <w:rFonts w:ascii="Times New Roman" w:hAnsi="Times New Roman" w:cs="Times New Roman"/>
        </w:rPr>
      </w:pPr>
      <w:r w:rsidRPr="00D327F7">
        <w:rPr>
          <w:rStyle w:val="Refdenotaderodap"/>
          <w:rFonts w:ascii="Times New Roman" w:hAnsi="Times New Roman" w:cs="Times New Roman"/>
        </w:rPr>
        <w:footnoteRef/>
      </w:r>
      <w:r w:rsidRPr="00D32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Fichamento do texto: </w:t>
      </w:r>
      <w:r w:rsidRPr="00D327F7">
        <w:rPr>
          <w:rFonts w:ascii="Times New Roman" w:hAnsi="Times New Roman" w:cs="Times New Roman"/>
        </w:rPr>
        <w:t xml:space="preserve">BARROSO, Luis Roberto. Controle de constitucionalidade brasileiro. </w:t>
      </w:r>
      <w:r w:rsidR="00176377" w:rsidRPr="00D327F7">
        <w:rPr>
          <w:rFonts w:ascii="Times New Roman" w:hAnsi="Times New Roman" w:cs="Times New Roman"/>
        </w:rPr>
        <w:t>São Paulo: Saraiva, 2012 (capítulo II – integral e capítulo III, item II)</w:t>
      </w:r>
      <w:r w:rsidR="00176377">
        <w:rPr>
          <w:rFonts w:ascii="Times New Roman" w:hAnsi="Times New Roman" w:cs="Times New Roman"/>
        </w:rPr>
        <w:t>, apresentado à Disciplina Processo Constitucional da Unidade de Ensino Superior Dom Bosco – UNDB;</w:t>
      </w:r>
    </w:p>
  </w:footnote>
  <w:footnote w:id="2">
    <w:p w:rsidR="00BF2870" w:rsidRPr="00D327F7" w:rsidRDefault="00BF2870" w:rsidP="00D327F7">
      <w:pPr>
        <w:pStyle w:val="Textodenotaderodap"/>
        <w:jc w:val="both"/>
        <w:rPr>
          <w:rFonts w:ascii="Times New Roman" w:hAnsi="Times New Roman" w:cs="Times New Roman"/>
        </w:rPr>
      </w:pPr>
      <w:r w:rsidRPr="00D327F7">
        <w:rPr>
          <w:rStyle w:val="Refdenotaderodap"/>
          <w:rFonts w:ascii="Times New Roman" w:hAnsi="Times New Roman" w:cs="Times New Roman"/>
        </w:rPr>
        <w:footnoteRef/>
      </w:r>
      <w:r w:rsidRPr="00D327F7">
        <w:rPr>
          <w:rFonts w:ascii="Times New Roman" w:hAnsi="Times New Roman" w:cs="Times New Roman"/>
        </w:rPr>
        <w:t xml:space="preserve"> Aluno da Disciplina </w:t>
      </w:r>
      <w:r w:rsidR="00D327F7">
        <w:rPr>
          <w:rFonts w:ascii="Times New Roman" w:hAnsi="Times New Roman" w:cs="Times New Roman"/>
        </w:rPr>
        <w:t>Processo Constitucional;</w:t>
      </w:r>
    </w:p>
  </w:footnote>
  <w:footnote w:id="3">
    <w:p w:rsidR="00D327F7" w:rsidRPr="00D327F7" w:rsidRDefault="00D327F7" w:rsidP="00D327F7">
      <w:pPr>
        <w:pStyle w:val="Textodenotaderodap"/>
        <w:jc w:val="both"/>
        <w:rPr>
          <w:rFonts w:ascii="Times New Roman" w:hAnsi="Times New Roman" w:cs="Times New Roman"/>
        </w:rPr>
      </w:pPr>
      <w:r w:rsidRPr="00D327F7">
        <w:rPr>
          <w:rStyle w:val="Refdenotaderodap"/>
          <w:rFonts w:ascii="Times New Roman" w:hAnsi="Times New Roman" w:cs="Times New Roman"/>
        </w:rPr>
        <w:footnoteRef/>
      </w:r>
      <w:r w:rsidRPr="00D327F7">
        <w:rPr>
          <w:rFonts w:ascii="Times New Roman" w:hAnsi="Times New Roman" w:cs="Times New Roman"/>
        </w:rPr>
        <w:t xml:space="preserve"> BARROSO, Luis Roberto. Controle de constitucionalidade brasileiro. São Paulo: Saraiva, 2012</w:t>
      </w:r>
      <w:r>
        <w:rPr>
          <w:rFonts w:ascii="Times New Roman" w:hAnsi="Times New Roman" w:cs="Times New Roman"/>
        </w:rPr>
        <w:t>, p. 98/100.</w:t>
      </w:r>
    </w:p>
  </w:footnote>
  <w:footnote w:id="4">
    <w:p w:rsidR="00FC4AF4" w:rsidRPr="00D327F7" w:rsidRDefault="00FC4AF4" w:rsidP="00D327F7">
      <w:pPr>
        <w:pStyle w:val="Textodenotaderodap"/>
        <w:jc w:val="both"/>
        <w:rPr>
          <w:rFonts w:ascii="Times New Roman" w:hAnsi="Times New Roman" w:cs="Times New Roman"/>
        </w:rPr>
      </w:pPr>
      <w:r w:rsidRPr="00D327F7">
        <w:rPr>
          <w:rStyle w:val="Refdenotaderodap"/>
          <w:rFonts w:ascii="Times New Roman" w:hAnsi="Times New Roman" w:cs="Times New Roman"/>
        </w:rPr>
        <w:footnoteRef/>
      </w:r>
      <w:r w:rsidRPr="00D327F7">
        <w:rPr>
          <w:rFonts w:ascii="Times New Roman" w:hAnsi="Times New Roman" w:cs="Times New Roman"/>
        </w:rPr>
        <w:t xml:space="preserve"> </w:t>
      </w:r>
      <w:r w:rsidR="00722D03">
        <w:rPr>
          <w:rFonts w:ascii="Times New Roman" w:hAnsi="Times New Roman" w:cs="Times New Roman"/>
        </w:rPr>
        <w:t xml:space="preserve">Cf. BARROSO, Luis Roberto, 2012. </w:t>
      </w:r>
      <w:proofErr w:type="gramStart"/>
      <w:r w:rsidR="004917B1">
        <w:rPr>
          <w:rFonts w:ascii="Times New Roman" w:hAnsi="Times New Roman" w:cs="Times New Roman"/>
        </w:rPr>
        <w:t>p.</w:t>
      </w:r>
      <w:proofErr w:type="gramEnd"/>
      <w:r w:rsidR="004917B1">
        <w:rPr>
          <w:rFonts w:ascii="Times New Roman" w:hAnsi="Times New Roman" w:cs="Times New Roman"/>
        </w:rPr>
        <w:t xml:space="preserve"> 98-99</w:t>
      </w:r>
      <w:r w:rsidR="00D327F7">
        <w:rPr>
          <w:rFonts w:ascii="Times New Roman" w:hAnsi="Times New Roman" w:cs="Times New Roman"/>
        </w:rPr>
        <w:t>.</w:t>
      </w:r>
    </w:p>
  </w:footnote>
  <w:footnote w:id="5">
    <w:p w:rsidR="006B555F" w:rsidRDefault="006B555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22D03">
        <w:rPr>
          <w:rFonts w:ascii="Times New Roman" w:hAnsi="Times New Roman" w:cs="Times New Roman"/>
        </w:rPr>
        <w:t xml:space="preserve">Cf. BARROSO, Luis Roberto, 2012. </w:t>
      </w:r>
      <w:proofErr w:type="gramStart"/>
      <w:r w:rsidR="00722D03">
        <w:rPr>
          <w:rFonts w:ascii="Times New Roman" w:hAnsi="Times New Roman" w:cs="Times New Roman"/>
        </w:rPr>
        <w:t>p.</w:t>
      </w:r>
      <w:proofErr w:type="gramEnd"/>
      <w:r w:rsidR="00722D03">
        <w:rPr>
          <w:rFonts w:ascii="Times New Roman" w:hAnsi="Times New Roman" w:cs="Times New Roman"/>
        </w:rPr>
        <w:t xml:space="preserve"> </w:t>
      </w:r>
      <w:r w:rsidR="00CB0BB5">
        <w:rPr>
          <w:rFonts w:ascii="Times New Roman" w:hAnsi="Times New Roman" w:cs="Times New Roman"/>
        </w:rPr>
        <w:t>99-</w:t>
      </w:r>
      <w:r w:rsidR="004917B1">
        <w:rPr>
          <w:rFonts w:ascii="Times New Roman" w:hAnsi="Times New Roman" w:cs="Times New Roman"/>
        </w:rPr>
        <w:t>100.</w:t>
      </w:r>
    </w:p>
  </w:footnote>
  <w:footnote w:id="6">
    <w:p w:rsidR="009F6579" w:rsidRDefault="009F657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22D03">
        <w:rPr>
          <w:rFonts w:ascii="Times New Roman" w:hAnsi="Times New Roman" w:cs="Times New Roman"/>
        </w:rPr>
        <w:t xml:space="preserve">Cf. BARROSO, Luis Roberto, 2012. </w:t>
      </w:r>
      <w:proofErr w:type="gramStart"/>
      <w:r w:rsidR="00722D03">
        <w:rPr>
          <w:rFonts w:ascii="Times New Roman" w:hAnsi="Times New Roman" w:cs="Times New Roman"/>
        </w:rPr>
        <w:t>p.</w:t>
      </w:r>
      <w:proofErr w:type="gramEnd"/>
      <w:r w:rsidR="00CB0BB5">
        <w:rPr>
          <w:rFonts w:ascii="Times New Roman" w:hAnsi="Times New Roman" w:cs="Times New Roman"/>
        </w:rPr>
        <w:t xml:space="preserve"> 100-102.</w:t>
      </w:r>
    </w:p>
  </w:footnote>
  <w:footnote w:id="7">
    <w:p w:rsidR="00BF3921" w:rsidRDefault="00BF392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22D03">
        <w:rPr>
          <w:rFonts w:ascii="Times New Roman" w:hAnsi="Times New Roman" w:cs="Times New Roman"/>
        </w:rPr>
        <w:t xml:space="preserve">Cf. BARROSO, Luis Roberto, 2012. </w:t>
      </w:r>
      <w:proofErr w:type="gramStart"/>
      <w:r w:rsidR="00722D03">
        <w:rPr>
          <w:rFonts w:ascii="Times New Roman" w:hAnsi="Times New Roman" w:cs="Times New Roman"/>
        </w:rPr>
        <w:t>p.</w:t>
      </w:r>
      <w:proofErr w:type="gramEnd"/>
      <w:r w:rsidR="00722D03">
        <w:rPr>
          <w:rFonts w:ascii="Times New Roman" w:hAnsi="Times New Roman" w:cs="Times New Roman"/>
        </w:rPr>
        <w:t xml:space="preserve"> </w:t>
      </w:r>
      <w:r w:rsidR="00E7730A">
        <w:rPr>
          <w:rFonts w:ascii="Times New Roman" w:hAnsi="Times New Roman" w:cs="Times New Roman"/>
        </w:rPr>
        <w:t>102-103</w:t>
      </w:r>
      <w:r w:rsidR="00CB0BB5">
        <w:rPr>
          <w:rFonts w:ascii="Times New Roman" w:hAnsi="Times New Roman" w:cs="Times New Roman"/>
        </w:rPr>
        <w:t>.</w:t>
      </w:r>
    </w:p>
  </w:footnote>
  <w:footnote w:id="8">
    <w:p w:rsidR="00E7730A" w:rsidRDefault="00E7730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22D03">
        <w:rPr>
          <w:rFonts w:ascii="Times New Roman" w:hAnsi="Times New Roman" w:cs="Times New Roman"/>
        </w:rPr>
        <w:t xml:space="preserve">Cf. BARROSO, Luis Roberto, 2012. </w:t>
      </w:r>
      <w:proofErr w:type="gramStart"/>
      <w:r w:rsidR="00722D03">
        <w:rPr>
          <w:rFonts w:ascii="Times New Roman" w:hAnsi="Times New Roman" w:cs="Times New Roman"/>
        </w:rPr>
        <w:t>p.</w:t>
      </w:r>
      <w:proofErr w:type="gramEnd"/>
      <w:r w:rsidR="00722D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103-104</w:t>
      </w:r>
    </w:p>
  </w:footnote>
  <w:footnote w:id="9">
    <w:p w:rsidR="001539EE" w:rsidRDefault="001539E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22D03">
        <w:rPr>
          <w:rFonts w:ascii="Times New Roman" w:hAnsi="Times New Roman" w:cs="Times New Roman"/>
        </w:rPr>
        <w:t xml:space="preserve">Cf. BARROSO, Luis Roberto, 2012. </w:t>
      </w:r>
      <w:proofErr w:type="gramStart"/>
      <w:r w:rsidR="00722D03">
        <w:rPr>
          <w:rFonts w:ascii="Times New Roman" w:hAnsi="Times New Roman" w:cs="Times New Roman"/>
        </w:rPr>
        <w:t>p.</w:t>
      </w:r>
      <w:proofErr w:type="gramEnd"/>
      <w:r w:rsidR="00722D03">
        <w:rPr>
          <w:rFonts w:ascii="Times New Roman" w:hAnsi="Times New Roman" w:cs="Times New Roman"/>
        </w:rPr>
        <w:t xml:space="preserve"> </w:t>
      </w:r>
      <w:r w:rsidR="00815BE8">
        <w:rPr>
          <w:rFonts w:ascii="Times New Roman" w:hAnsi="Times New Roman" w:cs="Times New Roman"/>
        </w:rPr>
        <w:t>104-107/109.</w:t>
      </w:r>
    </w:p>
  </w:footnote>
  <w:footnote w:id="10">
    <w:p w:rsidR="00FF6B4E" w:rsidRDefault="00FF6B4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22D03">
        <w:rPr>
          <w:rFonts w:ascii="Times New Roman" w:hAnsi="Times New Roman" w:cs="Times New Roman"/>
        </w:rPr>
        <w:t xml:space="preserve">Cf. BARROSO, Luis Roberto, 2012. </w:t>
      </w:r>
      <w:proofErr w:type="gramStart"/>
      <w:r w:rsidR="00722D03">
        <w:rPr>
          <w:rFonts w:ascii="Times New Roman" w:hAnsi="Times New Roman" w:cs="Times New Roman"/>
        </w:rPr>
        <w:t>p.</w:t>
      </w:r>
      <w:proofErr w:type="gramEnd"/>
      <w:r w:rsidR="00815BE8">
        <w:rPr>
          <w:rFonts w:ascii="Times New Roman" w:hAnsi="Times New Roman" w:cs="Times New Roman"/>
        </w:rPr>
        <w:t xml:space="preserve"> </w:t>
      </w:r>
      <w:r w:rsidR="00B92226">
        <w:rPr>
          <w:rFonts w:ascii="Times New Roman" w:hAnsi="Times New Roman" w:cs="Times New Roman"/>
        </w:rPr>
        <w:t>112</w:t>
      </w:r>
      <w:r w:rsidR="00815BE8">
        <w:rPr>
          <w:rFonts w:ascii="Times New Roman" w:hAnsi="Times New Roman" w:cs="Times New Roman"/>
        </w:rPr>
        <w:t>.</w:t>
      </w:r>
    </w:p>
  </w:footnote>
  <w:footnote w:id="11">
    <w:p w:rsidR="00557B1C" w:rsidRDefault="00557B1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22D03">
        <w:rPr>
          <w:rFonts w:ascii="Times New Roman" w:hAnsi="Times New Roman" w:cs="Times New Roman"/>
        </w:rPr>
        <w:t xml:space="preserve">Cf. BARROSO, Luis Roberto, 2012. </w:t>
      </w:r>
      <w:proofErr w:type="gramStart"/>
      <w:r w:rsidR="00722D03">
        <w:rPr>
          <w:rFonts w:ascii="Times New Roman" w:hAnsi="Times New Roman" w:cs="Times New Roman"/>
        </w:rPr>
        <w:t>p.</w:t>
      </w:r>
      <w:proofErr w:type="gramEnd"/>
      <w:r w:rsidR="00722D03">
        <w:rPr>
          <w:rFonts w:ascii="Times New Roman" w:hAnsi="Times New Roman" w:cs="Times New Roman"/>
        </w:rPr>
        <w:t xml:space="preserve"> </w:t>
      </w:r>
      <w:r w:rsidR="002313BA">
        <w:rPr>
          <w:rFonts w:ascii="Times New Roman" w:hAnsi="Times New Roman" w:cs="Times New Roman"/>
        </w:rPr>
        <w:t>112-</w:t>
      </w:r>
      <w:r w:rsidR="00B92226">
        <w:rPr>
          <w:rFonts w:ascii="Times New Roman" w:hAnsi="Times New Roman" w:cs="Times New Roman"/>
        </w:rPr>
        <w:t>1</w:t>
      </w:r>
      <w:r w:rsidR="002313BA">
        <w:rPr>
          <w:rFonts w:ascii="Times New Roman" w:hAnsi="Times New Roman" w:cs="Times New Roman"/>
        </w:rPr>
        <w:t>13</w:t>
      </w:r>
      <w:r w:rsidR="00B92226">
        <w:rPr>
          <w:rFonts w:ascii="Times New Roman" w:hAnsi="Times New Roman" w:cs="Times New Roman"/>
        </w:rPr>
        <w:t>.</w:t>
      </w:r>
    </w:p>
  </w:footnote>
  <w:footnote w:id="12">
    <w:p w:rsidR="00D44CC9" w:rsidRDefault="00D44CC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22D03">
        <w:rPr>
          <w:rFonts w:ascii="Times New Roman" w:hAnsi="Times New Roman" w:cs="Times New Roman"/>
        </w:rPr>
        <w:t xml:space="preserve">Cf. BARROSO, Luis Roberto, 2012. </w:t>
      </w:r>
      <w:proofErr w:type="gramStart"/>
      <w:r w:rsidR="00722D03">
        <w:rPr>
          <w:rFonts w:ascii="Times New Roman" w:hAnsi="Times New Roman" w:cs="Times New Roman"/>
        </w:rPr>
        <w:t>p.</w:t>
      </w:r>
      <w:proofErr w:type="gramEnd"/>
      <w:r w:rsidR="00722D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114-116.</w:t>
      </w:r>
    </w:p>
  </w:footnote>
  <w:footnote w:id="13">
    <w:p w:rsidR="00FE52C7" w:rsidRDefault="00FE52C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22D03">
        <w:rPr>
          <w:rFonts w:ascii="Times New Roman" w:hAnsi="Times New Roman" w:cs="Times New Roman"/>
        </w:rPr>
        <w:t xml:space="preserve">Cf. BARROSO, Luis Roberto, 2012. </w:t>
      </w:r>
      <w:proofErr w:type="gramStart"/>
      <w:r w:rsidR="00722D03">
        <w:rPr>
          <w:rFonts w:ascii="Times New Roman" w:hAnsi="Times New Roman" w:cs="Times New Roman"/>
        </w:rPr>
        <w:t>p.</w:t>
      </w:r>
      <w:proofErr w:type="gramEnd"/>
      <w:r w:rsidR="00722D03">
        <w:rPr>
          <w:rFonts w:ascii="Times New Roman" w:hAnsi="Times New Roman" w:cs="Times New Roman"/>
        </w:rPr>
        <w:t xml:space="preserve"> </w:t>
      </w:r>
      <w:r w:rsidR="00992346">
        <w:rPr>
          <w:rFonts w:ascii="Times New Roman" w:hAnsi="Times New Roman" w:cs="Times New Roman"/>
        </w:rPr>
        <w:t>117-119</w:t>
      </w:r>
      <w:r w:rsidR="00B92226">
        <w:rPr>
          <w:rFonts w:ascii="Times New Roman" w:hAnsi="Times New Roman" w:cs="Times New Roman"/>
        </w:rPr>
        <w:t>.</w:t>
      </w:r>
    </w:p>
  </w:footnote>
  <w:footnote w:id="14">
    <w:p w:rsidR="00714C56" w:rsidRDefault="00714C5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22D03">
        <w:rPr>
          <w:rFonts w:ascii="Times New Roman" w:hAnsi="Times New Roman" w:cs="Times New Roman"/>
        </w:rPr>
        <w:t xml:space="preserve">Cf. BARROSO, Luis Roberto, 2012. </w:t>
      </w:r>
      <w:proofErr w:type="gramStart"/>
      <w:r w:rsidR="00722D03">
        <w:rPr>
          <w:rFonts w:ascii="Times New Roman" w:hAnsi="Times New Roman" w:cs="Times New Roman"/>
        </w:rPr>
        <w:t>p.</w:t>
      </w:r>
      <w:proofErr w:type="gramEnd"/>
      <w:r w:rsidR="00722D03">
        <w:rPr>
          <w:rFonts w:ascii="Times New Roman" w:hAnsi="Times New Roman" w:cs="Times New Roman"/>
        </w:rPr>
        <w:t xml:space="preserve"> </w:t>
      </w:r>
      <w:r w:rsidR="00E8027A">
        <w:rPr>
          <w:rFonts w:ascii="Times New Roman" w:hAnsi="Times New Roman" w:cs="Times New Roman"/>
        </w:rPr>
        <w:t>119-122</w:t>
      </w:r>
      <w:r w:rsidR="00992346">
        <w:rPr>
          <w:rFonts w:ascii="Times New Roman" w:hAnsi="Times New Roman" w:cs="Times New Roman"/>
        </w:rPr>
        <w:t>.</w:t>
      </w:r>
    </w:p>
  </w:footnote>
  <w:footnote w:id="15">
    <w:p w:rsidR="00FB31B9" w:rsidRDefault="00FB31B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22D03">
        <w:rPr>
          <w:rFonts w:ascii="Times New Roman" w:hAnsi="Times New Roman" w:cs="Times New Roman"/>
        </w:rPr>
        <w:t xml:space="preserve">Cf. BARROSO, Luis Roberto, 2012. </w:t>
      </w:r>
      <w:proofErr w:type="gramStart"/>
      <w:r w:rsidR="00722D03">
        <w:rPr>
          <w:rFonts w:ascii="Times New Roman" w:hAnsi="Times New Roman" w:cs="Times New Roman"/>
        </w:rPr>
        <w:t>p.</w:t>
      </w:r>
      <w:proofErr w:type="gramEnd"/>
      <w:r w:rsidR="00722D03">
        <w:rPr>
          <w:rFonts w:ascii="Times New Roman" w:hAnsi="Times New Roman" w:cs="Times New Roman"/>
        </w:rPr>
        <w:t xml:space="preserve"> </w:t>
      </w:r>
      <w:r w:rsidR="003447E1">
        <w:rPr>
          <w:rFonts w:ascii="Times New Roman" w:hAnsi="Times New Roman" w:cs="Times New Roman"/>
        </w:rPr>
        <w:t>187/189</w:t>
      </w:r>
      <w:r w:rsidR="005927B3">
        <w:rPr>
          <w:rFonts w:ascii="Times New Roman" w:hAnsi="Times New Roman" w:cs="Times New Roman"/>
        </w:rPr>
        <w:t>.</w:t>
      </w:r>
    </w:p>
  </w:footnote>
  <w:footnote w:id="16">
    <w:p w:rsidR="00FB31B9" w:rsidRDefault="00FB31B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22D03">
        <w:rPr>
          <w:rFonts w:ascii="Times New Roman" w:hAnsi="Times New Roman" w:cs="Times New Roman"/>
        </w:rPr>
        <w:t xml:space="preserve">Cf. BARROSO, Luis Roberto, 2012. </w:t>
      </w:r>
      <w:proofErr w:type="gramStart"/>
      <w:r w:rsidR="00722D03">
        <w:rPr>
          <w:rFonts w:ascii="Times New Roman" w:hAnsi="Times New Roman" w:cs="Times New Roman"/>
        </w:rPr>
        <w:t>p.</w:t>
      </w:r>
      <w:proofErr w:type="gramEnd"/>
      <w:r w:rsidR="00722D03">
        <w:rPr>
          <w:rFonts w:ascii="Times New Roman" w:hAnsi="Times New Roman" w:cs="Times New Roman"/>
        </w:rPr>
        <w:t xml:space="preserve"> </w:t>
      </w:r>
      <w:r w:rsidR="005927B3">
        <w:rPr>
          <w:rFonts w:ascii="Times New Roman" w:hAnsi="Times New Roman" w:cs="Times New Roman"/>
        </w:rPr>
        <w:t>188.</w:t>
      </w:r>
    </w:p>
  </w:footnote>
  <w:footnote w:id="17">
    <w:p w:rsidR="00656A07" w:rsidRDefault="00656A0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22D03">
        <w:rPr>
          <w:rFonts w:ascii="Times New Roman" w:hAnsi="Times New Roman" w:cs="Times New Roman"/>
        </w:rPr>
        <w:t xml:space="preserve">Cf. BARROSO, Luis Roberto, 2012. </w:t>
      </w:r>
      <w:proofErr w:type="gramStart"/>
      <w:r w:rsidR="00722D03">
        <w:rPr>
          <w:rFonts w:ascii="Times New Roman" w:hAnsi="Times New Roman" w:cs="Times New Roman"/>
        </w:rPr>
        <w:t>p.</w:t>
      </w:r>
      <w:proofErr w:type="gramEnd"/>
      <w:r w:rsidR="00722D03">
        <w:rPr>
          <w:rFonts w:ascii="Times New Roman" w:hAnsi="Times New Roman" w:cs="Times New Roman"/>
        </w:rPr>
        <w:t xml:space="preserve"> </w:t>
      </w:r>
      <w:r w:rsidR="005927B3">
        <w:rPr>
          <w:rFonts w:ascii="Times New Roman" w:hAnsi="Times New Roman" w:cs="Times New Roman"/>
        </w:rPr>
        <w:t>189-190.</w:t>
      </w:r>
    </w:p>
  </w:footnote>
  <w:footnote w:id="18">
    <w:p w:rsidR="003E5499" w:rsidRDefault="003E549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22D03">
        <w:rPr>
          <w:rFonts w:ascii="Times New Roman" w:hAnsi="Times New Roman" w:cs="Times New Roman"/>
        </w:rPr>
        <w:t xml:space="preserve">Cf. BARROSO, Luis Roberto, 2012. </w:t>
      </w:r>
      <w:proofErr w:type="gramStart"/>
      <w:r w:rsidR="00722D03">
        <w:rPr>
          <w:rFonts w:ascii="Times New Roman" w:hAnsi="Times New Roman" w:cs="Times New Roman"/>
        </w:rPr>
        <w:t>p.</w:t>
      </w:r>
      <w:proofErr w:type="gramEnd"/>
      <w:r w:rsidR="00722D0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927B3">
        <w:rPr>
          <w:rFonts w:ascii="Times New Roman" w:hAnsi="Times New Roman" w:cs="Times New Roman"/>
        </w:rPr>
        <w:t>191/192/194.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D3B"/>
    <w:rsid w:val="000102B6"/>
    <w:rsid w:val="000358FB"/>
    <w:rsid w:val="000706C3"/>
    <w:rsid w:val="0007623C"/>
    <w:rsid w:val="00081EA8"/>
    <w:rsid w:val="000875A2"/>
    <w:rsid w:val="00095C4A"/>
    <w:rsid w:val="000A41EC"/>
    <w:rsid w:val="000C6202"/>
    <w:rsid w:val="000C6EA3"/>
    <w:rsid w:val="000D4C0A"/>
    <w:rsid w:val="000F6C15"/>
    <w:rsid w:val="001539EE"/>
    <w:rsid w:val="00167954"/>
    <w:rsid w:val="00176377"/>
    <w:rsid w:val="0018316B"/>
    <w:rsid w:val="001963EA"/>
    <w:rsid w:val="002313BA"/>
    <w:rsid w:val="00233C07"/>
    <w:rsid w:val="00247FC7"/>
    <w:rsid w:val="00264BD1"/>
    <w:rsid w:val="002838AE"/>
    <w:rsid w:val="002A5C22"/>
    <w:rsid w:val="002B29AE"/>
    <w:rsid w:val="002E4002"/>
    <w:rsid w:val="00303BFE"/>
    <w:rsid w:val="003447E1"/>
    <w:rsid w:val="00351494"/>
    <w:rsid w:val="00356467"/>
    <w:rsid w:val="003605C0"/>
    <w:rsid w:val="0037031F"/>
    <w:rsid w:val="003E13FF"/>
    <w:rsid w:val="003E5499"/>
    <w:rsid w:val="004069A8"/>
    <w:rsid w:val="00413DEF"/>
    <w:rsid w:val="00414D78"/>
    <w:rsid w:val="004917B1"/>
    <w:rsid w:val="004B7FBB"/>
    <w:rsid w:val="004F32D4"/>
    <w:rsid w:val="00501866"/>
    <w:rsid w:val="00503750"/>
    <w:rsid w:val="00526F9C"/>
    <w:rsid w:val="00544705"/>
    <w:rsid w:val="0055135B"/>
    <w:rsid w:val="00557B1C"/>
    <w:rsid w:val="005665F0"/>
    <w:rsid w:val="00580DD5"/>
    <w:rsid w:val="005927B3"/>
    <w:rsid w:val="005B3387"/>
    <w:rsid w:val="00607937"/>
    <w:rsid w:val="0061482D"/>
    <w:rsid w:val="0063076C"/>
    <w:rsid w:val="00656A07"/>
    <w:rsid w:val="0065745D"/>
    <w:rsid w:val="00676F95"/>
    <w:rsid w:val="006A7701"/>
    <w:rsid w:val="006B555F"/>
    <w:rsid w:val="006C2B2E"/>
    <w:rsid w:val="006D1137"/>
    <w:rsid w:val="006F01C1"/>
    <w:rsid w:val="006F4E35"/>
    <w:rsid w:val="00714C56"/>
    <w:rsid w:val="00717407"/>
    <w:rsid w:val="00722D03"/>
    <w:rsid w:val="00753A64"/>
    <w:rsid w:val="00756C5E"/>
    <w:rsid w:val="007817C2"/>
    <w:rsid w:val="007837A8"/>
    <w:rsid w:val="00790D45"/>
    <w:rsid w:val="007A7E43"/>
    <w:rsid w:val="007B6B19"/>
    <w:rsid w:val="007C00E3"/>
    <w:rsid w:val="00811FDC"/>
    <w:rsid w:val="00815BE8"/>
    <w:rsid w:val="00821E84"/>
    <w:rsid w:val="008444FD"/>
    <w:rsid w:val="0086351F"/>
    <w:rsid w:val="00864B8A"/>
    <w:rsid w:val="008A3A41"/>
    <w:rsid w:val="008D0FA4"/>
    <w:rsid w:val="008D3375"/>
    <w:rsid w:val="0091655E"/>
    <w:rsid w:val="00921C01"/>
    <w:rsid w:val="00942FDF"/>
    <w:rsid w:val="00952D3B"/>
    <w:rsid w:val="00982B61"/>
    <w:rsid w:val="00990938"/>
    <w:rsid w:val="00992346"/>
    <w:rsid w:val="009B2F97"/>
    <w:rsid w:val="009D61D5"/>
    <w:rsid w:val="009E503E"/>
    <w:rsid w:val="009F6579"/>
    <w:rsid w:val="00A22C21"/>
    <w:rsid w:val="00A60100"/>
    <w:rsid w:val="00A64495"/>
    <w:rsid w:val="00A70132"/>
    <w:rsid w:val="00A7596F"/>
    <w:rsid w:val="00A81877"/>
    <w:rsid w:val="00B20019"/>
    <w:rsid w:val="00B2602B"/>
    <w:rsid w:val="00B40F31"/>
    <w:rsid w:val="00B907C7"/>
    <w:rsid w:val="00B92226"/>
    <w:rsid w:val="00BB0FC7"/>
    <w:rsid w:val="00BF15BD"/>
    <w:rsid w:val="00BF2870"/>
    <w:rsid w:val="00BF3921"/>
    <w:rsid w:val="00BF7126"/>
    <w:rsid w:val="00C1567B"/>
    <w:rsid w:val="00C4113E"/>
    <w:rsid w:val="00C6424A"/>
    <w:rsid w:val="00C6488C"/>
    <w:rsid w:val="00C66AA8"/>
    <w:rsid w:val="00CA2A4F"/>
    <w:rsid w:val="00CA4576"/>
    <w:rsid w:val="00CB0BB5"/>
    <w:rsid w:val="00CB38EF"/>
    <w:rsid w:val="00CC312C"/>
    <w:rsid w:val="00CF61AA"/>
    <w:rsid w:val="00D04A24"/>
    <w:rsid w:val="00D12EEA"/>
    <w:rsid w:val="00D327F7"/>
    <w:rsid w:val="00D44CC9"/>
    <w:rsid w:val="00E027DF"/>
    <w:rsid w:val="00E22890"/>
    <w:rsid w:val="00E47A4E"/>
    <w:rsid w:val="00E702E7"/>
    <w:rsid w:val="00E731E7"/>
    <w:rsid w:val="00E7730A"/>
    <w:rsid w:val="00E8027A"/>
    <w:rsid w:val="00E91CA9"/>
    <w:rsid w:val="00EE12AC"/>
    <w:rsid w:val="00F00241"/>
    <w:rsid w:val="00F072F9"/>
    <w:rsid w:val="00F12C77"/>
    <w:rsid w:val="00F2577A"/>
    <w:rsid w:val="00F50A0E"/>
    <w:rsid w:val="00F55EE0"/>
    <w:rsid w:val="00F835A9"/>
    <w:rsid w:val="00FB31B9"/>
    <w:rsid w:val="00FC4AF4"/>
    <w:rsid w:val="00FD7ADD"/>
    <w:rsid w:val="00FE52C7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28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287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2870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BF2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2870"/>
  </w:style>
  <w:style w:type="paragraph" w:styleId="Rodap">
    <w:name w:val="footer"/>
    <w:basedOn w:val="Normal"/>
    <w:link w:val="RodapChar"/>
    <w:uiPriority w:val="99"/>
    <w:semiHidden/>
    <w:unhideWhenUsed/>
    <w:rsid w:val="00BF2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2870"/>
  </w:style>
  <w:style w:type="paragraph" w:styleId="PargrafodaLista">
    <w:name w:val="List Paragraph"/>
    <w:basedOn w:val="Normal"/>
    <w:uiPriority w:val="34"/>
    <w:qFormat/>
    <w:rsid w:val="00070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1582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aluno.npj</dc:creator>
  <cp:lastModifiedBy>cliente</cp:lastModifiedBy>
  <cp:revision>164</cp:revision>
  <dcterms:created xsi:type="dcterms:W3CDTF">2016-11-14T11:30:00Z</dcterms:created>
  <dcterms:modified xsi:type="dcterms:W3CDTF">2016-11-14T18:11:00Z</dcterms:modified>
</cp:coreProperties>
</file>