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D5" w:rsidRPr="00773811" w:rsidRDefault="00A44297" w:rsidP="00A44297">
      <w:pPr>
        <w:ind w:firstLine="0"/>
        <w:jc w:val="center"/>
        <w:rPr>
          <w:b/>
        </w:rPr>
      </w:pPr>
      <w:r w:rsidRPr="00773811">
        <w:rPr>
          <w:b/>
        </w:rPr>
        <w:t xml:space="preserve">A (IM)POSSIBILIDADE DE O </w:t>
      </w:r>
      <w:r w:rsidRPr="009E5B18">
        <w:rPr>
          <w:b/>
          <w:i/>
        </w:rPr>
        <w:t>AMICUS</w:t>
      </w:r>
      <w:r w:rsidRPr="00773811">
        <w:rPr>
          <w:b/>
        </w:rPr>
        <w:t xml:space="preserve"> </w:t>
      </w:r>
      <w:r w:rsidRPr="009E5B18">
        <w:rPr>
          <w:b/>
          <w:i/>
        </w:rPr>
        <w:t>CURIA</w:t>
      </w:r>
      <w:r w:rsidR="009E5B18">
        <w:rPr>
          <w:b/>
          <w:i/>
        </w:rPr>
        <w:t>E</w:t>
      </w:r>
      <w:r w:rsidRPr="00773811">
        <w:rPr>
          <w:b/>
        </w:rPr>
        <w:t xml:space="preserve"> RECORRER</w:t>
      </w:r>
      <w:r w:rsidRPr="00773811">
        <w:rPr>
          <w:rStyle w:val="Refdenotaderodap"/>
          <w:b/>
        </w:rPr>
        <w:footnoteReference w:id="1"/>
      </w:r>
    </w:p>
    <w:p w:rsidR="00C84926" w:rsidRDefault="00C84926" w:rsidP="00A44297">
      <w:pPr>
        <w:ind w:firstLine="0"/>
        <w:jc w:val="right"/>
      </w:pPr>
    </w:p>
    <w:p w:rsidR="00A44297" w:rsidRDefault="00A44297" w:rsidP="00A44297">
      <w:pPr>
        <w:ind w:firstLine="0"/>
        <w:jc w:val="right"/>
      </w:pPr>
      <w:r>
        <w:t>Dérick Macêdo Silva</w:t>
      </w:r>
      <w:r>
        <w:rPr>
          <w:rStyle w:val="Refdenotaderodap"/>
        </w:rPr>
        <w:footnoteReference w:id="2"/>
      </w:r>
    </w:p>
    <w:p w:rsidR="00A44297" w:rsidRDefault="00A44297" w:rsidP="00A44297">
      <w:pPr>
        <w:ind w:firstLine="0"/>
        <w:jc w:val="right"/>
      </w:pPr>
      <w:r>
        <w:t>Amanda Costa Thomé Travíncas</w:t>
      </w:r>
      <w:r>
        <w:rPr>
          <w:rStyle w:val="Refdenotaderodap"/>
        </w:rPr>
        <w:footnoteReference w:id="3"/>
      </w:r>
    </w:p>
    <w:p w:rsidR="00C84926" w:rsidRPr="00695D56" w:rsidRDefault="00695D56" w:rsidP="00190E09">
      <w:pPr>
        <w:spacing w:line="240" w:lineRule="auto"/>
        <w:ind w:left="2268" w:firstLine="0"/>
      </w:pPr>
      <w:r>
        <w:rPr>
          <w:b/>
        </w:rPr>
        <w:t>Sumário:</w:t>
      </w:r>
      <w:r>
        <w:t xml:space="preserve"> Introdução; 1 </w:t>
      </w:r>
      <w:r>
        <w:rPr>
          <w:i/>
        </w:rPr>
        <w:t>Amicus curiae</w:t>
      </w:r>
      <w:r>
        <w:t>: conceito, ca</w:t>
      </w:r>
      <w:r w:rsidR="00465E27">
        <w:t>racterísticas e requisitos</w:t>
      </w:r>
      <w:r w:rsidR="007E09A7">
        <w:t>; 1.1 Conceito; 1.2 Características; 1.3 Requisitos</w:t>
      </w:r>
      <w:r w:rsidR="00465E27">
        <w:t>; 2 (I</w:t>
      </w:r>
      <w:r>
        <w:t xml:space="preserve">m)possibilidade de o </w:t>
      </w:r>
      <w:r>
        <w:rPr>
          <w:i/>
        </w:rPr>
        <w:t>Amicus curiae</w:t>
      </w:r>
      <w:r>
        <w:t xml:space="preserve"> recorrer. Conclusão. Referências.</w:t>
      </w:r>
    </w:p>
    <w:p w:rsidR="00C92B0E" w:rsidRDefault="00C92B0E"/>
    <w:p w:rsidR="009E7E14" w:rsidRPr="00190E09" w:rsidRDefault="00D86D30" w:rsidP="009E7E14">
      <w:pPr>
        <w:ind w:firstLine="0"/>
        <w:jc w:val="center"/>
        <w:rPr>
          <w:b/>
        </w:rPr>
      </w:pPr>
      <w:r w:rsidRPr="00190E09">
        <w:rPr>
          <w:b/>
        </w:rPr>
        <w:t>RESUMO</w:t>
      </w:r>
    </w:p>
    <w:p w:rsidR="00D86D30" w:rsidRDefault="00D97297" w:rsidP="006E48F9">
      <w:pPr>
        <w:spacing w:line="240" w:lineRule="auto"/>
        <w:ind w:firstLine="0"/>
      </w:pPr>
      <w:r>
        <w:t xml:space="preserve">Debater-se-á sobre a possibilidade ou impossibilidade de o </w:t>
      </w:r>
      <w:r>
        <w:rPr>
          <w:i/>
        </w:rPr>
        <w:t>amicus curiae</w:t>
      </w:r>
      <w:r>
        <w:t xml:space="preserve"> poder recorrer de quaisquer decisões, incluindo a final, havidas em processos de controle de constitucionalidade. </w:t>
      </w:r>
      <w:r w:rsidR="00C443D9">
        <w:t>Diante de argumentos apresentados pela doutrina, pros e contras, e das características</w:t>
      </w:r>
      <w:r w:rsidR="00202A6A">
        <w:t xml:space="preserve"> e requisitos</w:t>
      </w:r>
      <w:r w:rsidR="00C443D9">
        <w:t xml:space="preserve"> inerentes ao próprio instituto, ver-se-á que a impossibilidade seria dar passos</w:t>
      </w:r>
      <w:r w:rsidR="006E48F9">
        <w:t xml:space="preserve"> para trás, ao invés de avançar, optando-se, assim, pela possibilidade.</w:t>
      </w:r>
    </w:p>
    <w:p w:rsidR="00D86D30" w:rsidRDefault="00D86D30" w:rsidP="00D86D30">
      <w:pPr>
        <w:spacing w:line="240" w:lineRule="auto"/>
        <w:ind w:firstLine="0"/>
      </w:pPr>
    </w:p>
    <w:p w:rsidR="00D86D30" w:rsidRPr="00EC1D63" w:rsidRDefault="00D86D30" w:rsidP="00190E09">
      <w:pPr>
        <w:spacing w:line="240" w:lineRule="auto"/>
        <w:ind w:firstLine="0"/>
      </w:pPr>
      <w:r>
        <w:rPr>
          <w:b/>
        </w:rPr>
        <w:t>Palavra chave:</w:t>
      </w:r>
      <w:r>
        <w:t xml:space="preserve"> </w:t>
      </w:r>
      <w:r w:rsidR="00EC1D63">
        <w:rPr>
          <w:i/>
        </w:rPr>
        <w:t>amicus curiae</w:t>
      </w:r>
      <w:r w:rsidR="00202A6A">
        <w:t>;</w:t>
      </w:r>
      <w:r w:rsidR="00EC1D63">
        <w:t xml:space="preserve"> </w:t>
      </w:r>
      <w:r w:rsidR="00202A6A">
        <w:t>características e requisitos; possibilidade e impossibilidade recursal.</w:t>
      </w:r>
    </w:p>
    <w:p w:rsidR="00D86D30" w:rsidRDefault="00D86D30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C04CFF" w:rsidRDefault="00C04CFF" w:rsidP="00D86D30">
      <w:pPr>
        <w:ind w:firstLine="0"/>
      </w:pPr>
    </w:p>
    <w:p w:rsidR="00202A6A" w:rsidRDefault="00202A6A" w:rsidP="00D86D30">
      <w:pPr>
        <w:ind w:firstLine="0"/>
      </w:pPr>
    </w:p>
    <w:p w:rsidR="00202A6A" w:rsidRDefault="00202A6A" w:rsidP="00D86D30">
      <w:pPr>
        <w:ind w:firstLine="0"/>
      </w:pPr>
    </w:p>
    <w:p w:rsidR="00C04CFF" w:rsidRDefault="00C04CFF" w:rsidP="00D86D30">
      <w:pPr>
        <w:ind w:firstLine="0"/>
      </w:pPr>
    </w:p>
    <w:p w:rsidR="0058173D" w:rsidRPr="00C04CFF" w:rsidRDefault="00465E27" w:rsidP="00465E27">
      <w:pPr>
        <w:ind w:firstLine="0"/>
        <w:rPr>
          <w:b/>
          <w:smallCaps/>
        </w:rPr>
      </w:pPr>
      <w:r w:rsidRPr="00C04CFF">
        <w:rPr>
          <w:b/>
          <w:smallCaps/>
        </w:rPr>
        <w:lastRenderedPageBreak/>
        <w:t>I</w:t>
      </w:r>
      <w:r w:rsidR="00623E53" w:rsidRPr="00C04CFF">
        <w:rPr>
          <w:b/>
          <w:smallCaps/>
        </w:rPr>
        <w:t>ntrodução</w:t>
      </w:r>
    </w:p>
    <w:p w:rsidR="00A63A5A" w:rsidRDefault="003C08AF" w:rsidP="0058173D">
      <w:r>
        <w:t xml:space="preserve">O instituto do </w:t>
      </w:r>
      <w:r>
        <w:rPr>
          <w:i/>
        </w:rPr>
        <w:t xml:space="preserve">amicus curiae </w:t>
      </w:r>
      <w:r w:rsidRPr="003C08AF">
        <w:t xml:space="preserve">possui bastante peso em prol da democracia. </w:t>
      </w:r>
      <w:r>
        <w:t xml:space="preserve">Afinal, por meio dele, a sociedade tem mais participação quando do controle de constitucionalidade pelo STF. Todavia, para que </w:t>
      </w:r>
      <w:r w:rsidR="00546B8F">
        <w:t xml:space="preserve">alguém </w:t>
      </w:r>
      <w:r>
        <w:t>se valha desse instituto, sem sombra de dúvida</w:t>
      </w:r>
      <w:r w:rsidR="00546B8F">
        <w:t>,</w:t>
      </w:r>
      <w:r>
        <w:t xml:space="preserve"> deve</w:t>
      </w:r>
      <w:r w:rsidR="00546B8F">
        <w:t>-se</w:t>
      </w:r>
      <w:r>
        <w:t xml:space="preserve"> </w:t>
      </w:r>
      <w:r w:rsidR="00B40C0A">
        <w:t>obedecer a</w:t>
      </w:r>
      <w:r>
        <w:t xml:space="preserve"> determinad</w:t>
      </w:r>
      <w:r w:rsidR="00B40C0A">
        <w:t>a</w:t>
      </w:r>
      <w:r>
        <w:t xml:space="preserve">s </w:t>
      </w:r>
      <w:r w:rsidR="00B40C0A">
        <w:t>regras</w:t>
      </w:r>
      <w:r>
        <w:t>, até mesmo para que não se banalize essa participação e, consequentemente, prolongue-se o processo.</w:t>
      </w:r>
    </w:p>
    <w:p w:rsidR="00AC1CB5" w:rsidRDefault="00745DF0" w:rsidP="00A63A5A">
      <w:r>
        <w:t>A</w:t>
      </w:r>
      <w:r w:rsidR="008C12CC">
        <w:t xml:space="preserve"> principal norma regulamentadora desse instituto consiste na</w:t>
      </w:r>
      <w:r w:rsidR="002F5EAA">
        <w:t xml:space="preserve"> </w:t>
      </w:r>
      <w:r w:rsidR="00546B8F">
        <w:t>Lei 9.868/99</w:t>
      </w:r>
      <w:r w:rsidR="008C12CC">
        <w:t>.</w:t>
      </w:r>
      <w:r w:rsidR="00A63A5A">
        <w:t xml:space="preserve"> </w:t>
      </w:r>
      <w:r w:rsidR="008C12CC">
        <w:t xml:space="preserve">Ocorre </w:t>
      </w:r>
      <w:r w:rsidR="00814CF0">
        <w:t>que, quando da leitura de</w:t>
      </w:r>
      <w:r w:rsidR="00546B8F">
        <w:t xml:space="preserve"> seu artigo 7º, § 2º, </w:t>
      </w:r>
      <w:r w:rsidR="00A63A5A">
        <w:t xml:space="preserve">por exemplo, </w:t>
      </w:r>
      <w:r w:rsidR="00861D55">
        <w:t>depara-se com a determinação</w:t>
      </w:r>
      <w:r w:rsidR="00546B8F">
        <w:t xml:space="preserve"> que, caso o relator negue o pedido de atuação de alguém como </w:t>
      </w:r>
      <w:r w:rsidR="00546B8F">
        <w:rPr>
          <w:i/>
        </w:rPr>
        <w:t>amicus curiae</w:t>
      </w:r>
      <w:r w:rsidR="00546B8F">
        <w:t>, esta negatória será irrecorrível</w:t>
      </w:r>
      <w:r w:rsidR="006264D3">
        <w:t xml:space="preserve">. </w:t>
      </w:r>
      <w:r w:rsidR="00E95EDA">
        <w:t>Da mesma forma acontece em relação às outras decisões, interlocutórias ou final, havidas no processo</w:t>
      </w:r>
      <w:r w:rsidR="00C10004">
        <w:t>.</w:t>
      </w:r>
      <w:r w:rsidR="00AC1CB5">
        <w:t xml:space="preserve"> Se</w:t>
      </w:r>
      <w:r w:rsidR="003D42CF">
        <w:t xml:space="preserve"> tais determinações de fato prevalecem</w:t>
      </w:r>
      <w:r w:rsidR="00AC1CB5">
        <w:t xml:space="preserve">, </w:t>
      </w:r>
      <w:r w:rsidR="003D42CF">
        <w:t xml:space="preserve">pode-se afirmar que </w:t>
      </w:r>
      <w:r w:rsidR="00AC1CB5">
        <w:t xml:space="preserve">a participação da sociedade no processo constitucional fica a mercê do bom humor e da sorte </w:t>
      </w:r>
      <w:r w:rsidR="00A63A5A">
        <w:t xml:space="preserve">de acerto </w:t>
      </w:r>
      <w:r w:rsidR="00AC1CB5">
        <w:t xml:space="preserve">quando do julgamento realizado </w:t>
      </w:r>
      <w:r w:rsidR="003D42CF">
        <w:t>pel</w:t>
      </w:r>
      <w:r w:rsidR="00AC1CB5">
        <w:t>o relator e pelos outros Ministros</w:t>
      </w:r>
      <w:r w:rsidR="00860264">
        <w:t xml:space="preserve">, o que </w:t>
      </w:r>
      <w:r w:rsidR="008751B5">
        <w:t>certamente</w:t>
      </w:r>
      <w:r w:rsidR="00860264">
        <w:t xml:space="preserve"> não é coerente e correto</w:t>
      </w:r>
      <w:r w:rsidR="008751B5">
        <w:t xml:space="preserve">, </w:t>
      </w:r>
      <w:r w:rsidR="00DF5D5C">
        <w:t>sobretudo</w:t>
      </w:r>
      <w:r w:rsidR="008751B5">
        <w:t xml:space="preserve"> fre</w:t>
      </w:r>
      <w:r w:rsidR="00E20ACA">
        <w:t>nte à</w:t>
      </w:r>
      <w:r w:rsidR="008751B5">
        <w:t xml:space="preserve"> democracia</w:t>
      </w:r>
      <w:r w:rsidR="00AC1CB5">
        <w:t>.</w:t>
      </w:r>
    </w:p>
    <w:p w:rsidR="004E1F5C" w:rsidRDefault="004E1F5C" w:rsidP="0058173D">
      <w:r>
        <w:t>Diante de tais apontamentos, questiona-se: en</w:t>
      </w:r>
      <w:r w:rsidR="00053399">
        <w:t>tão, há ou não a possibilidade de se recorrer de decisões, interlocutórias ou final, proferidas na</w:t>
      </w:r>
      <w:r w:rsidR="00A63A5A">
        <w:t>s ações</w:t>
      </w:r>
      <w:r w:rsidR="00053399">
        <w:t xml:space="preserve"> direta de inconstitucionalid</w:t>
      </w:r>
      <w:r w:rsidR="00A63A5A">
        <w:t>ade,</w:t>
      </w:r>
      <w:r w:rsidR="00053399">
        <w:t xml:space="preserve"> declaratória de constitucionalidade</w:t>
      </w:r>
      <w:r w:rsidR="00A63A5A">
        <w:t xml:space="preserve"> e de descumprimento de preceito fundamental</w:t>
      </w:r>
      <w:r w:rsidR="00053399">
        <w:t>?</w:t>
      </w:r>
    </w:p>
    <w:p w:rsidR="006F2D3B" w:rsidRDefault="00216F47" w:rsidP="000D4826">
      <w:r>
        <w:t>É de fácil constatação</w:t>
      </w:r>
      <w:r w:rsidR="00777036">
        <w:t xml:space="preserve"> que</w:t>
      </w:r>
      <w:r w:rsidR="00CD5C00">
        <w:t xml:space="preserve"> o tema realmente possui relevância, especialmente social</w:t>
      </w:r>
      <w:r w:rsidR="00777036">
        <w:t>, apenas com o dito até aqui</w:t>
      </w:r>
      <w:r w:rsidR="00CD5C00">
        <w:t>.</w:t>
      </w:r>
      <w:r>
        <w:t xml:space="preserve"> Contudo, deve</w:t>
      </w:r>
      <w:r w:rsidR="000D4826">
        <w:t>-se acrescentar que a</w:t>
      </w:r>
      <w:r w:rsidR="006F2D3B">
        <w:t>través d</w:t>
      </w:r>
      <w:r w:rsidR="001B02E9">
        <w:t xml:space="preserve">o </w:t>
      </w:r>
      <w:r w:rsidR="001B02E9">
        <w:rPr>
          <w:i/>
        </w:rPr>
        <w:t>amicus curiae</w:t>
      </w:r>
      <w:r w:rsidR="001B02E9">
        <w:t xml:space="preserve"> não só se fortalece o princípio da democracia quando do julgamento de processos de controle de constitucionalidade, mas também se</w:t>
      </w:r>
      <w:r w:rsidR="006F2D3B">
        <w:t xml:space="preserve"> pode levar ao conhecimento dos Ministros</w:t>
      </w:r>
      <w:r w:rsidR="001B02E9">
        <w:t xml:space="preserve"> realidades, de fato,</w:t>
      </w:r>
      <w:r w:rsidR="006F2D3B">
        <w:t xml:space="preserve"> de direito</w:t>
      </w:r>
      <w:r w:rsidR="001B02E9">
        <w:t xml:space="preserve"> e/ou técnic</w:t>
      </w:r>
      <w:r w:rsidR="00CB50ED">
        <w:t>a</w:t>
      </w:r>
      <w:r w:rsidR="001B02E9">
        <w:t>s</w:t>
      </w:r>
      <w:r w:rsidR="006F2D3B">
        <w:t>, desconhecidas por eles e pertinentes ao caso e, assim, ensejar um melhor julgamento.</w:t>
      </w:r>
      <w:r w:rsidR="001B02E9">
        <w:t xml:space="preserve"> </w:t>
      </w:r>
      <w:r w:rsidR="000E2714">
        <w:t>Eventual privação de</w:t>
      </w:r>
      <w:r w:rsidR="006F2D3B">
        <w:t xml:space="preserve"> </w:t>
      </w:r>
      <w:r w:rsidR="001B02E9">
        <w:t>que isso ocorra</w:t>
      </w:r>
      <w:r w:rsidR="006F2D3B">
        <w:t xml:space="preserve"> pode ensejar um julgamento errôneo e, consequentemente, prejuízos para boa parte da sociedade, afinal, o objeto da ação diz respeito não a duas ou mais algumas pessoas, mas sim à coletividade, quer dizer, a elevado número de pessoas e </w:t>
      </w:r>
      <w:r w:rsidR="004B14F9">
        <w:t xml:space="preserve">suas </w:t>
      </w:r>
      <w:r w:rsidR="006F2D3B">
        <w:t xml:space="preserve">relações sociais e jurídicas </w:t>
      </w:r>
      <w:r w:rsidR="00150F8E">
        <w:t xml:space="preserve">mantidas </w:t>
      </w:r>
      <w:r w:rsidR="004B14F9">
        <w:t>umas com as outras, incluindo neste número o pesquisador do presente trabalho e suas relações</w:t>
      </w:r>
      <w:r w:rsidR="006F2D3B">
        <w:t>.</w:t>
      </w:r>
    </w:p>
    <w:p w:rsidR="006F2D3B" w:rsidRPr="0068276A" w:rsidRDefault="00E317FF" w:rsidP="006F2D3B">
      <w:r>
        <w:t>Enfim, visando</w:t>
      </w:r>
      <w:r w:rsidR="0068276A">
        <w:t xml:space="preserve"> responder a questão acima elaborada,</w:t>
      </w:r>
      <w:r w:rsidR="00AB20D3">
        <w:t xml:space="preserve"> </w:t>
      </w:r>
      <w:r w:rsidR="00F505AD">
        <w:t>optou</w:t>
      </w:r>
      <w:r w:rsidR="00AB20D3">
        <w:t>-se</w:t>
      </w:r>
      <w:r w:rsidR="00F505AD">
        <w:t>,</w:t>
      </w:r>
      <w:r w:rsidR="00AB20D3">
        <w:t xml:space="preserve"> como metodologia</w:t>
      </w:r>
      <w:r w:rsidR="00F505AD">
        <w:t>,</w:t>
      </w:r>
      <w:r w:rsidR="00AB20D3">
        <w:t xml:space="preserve"> </w:t>
      </w:r>
      <w:r w:rsidR="00F505AD">
        <w:t>pel</w:t>
      </w:r>
      <w:r w:rsidR="00AB20D3">
        <w:t>a realização de uma pesquisa</w:t>
      </w:r>
      <w:r w:rsidR="00F035A2">
        <w:t xml:space="preserve"> acadêmica argumentativa qualitativa</w:t>
      </w:r>
      <w:r w:rsidR="00C40F64">
        <w:t xml:space="preserve"> apresentando</w:t>
      </w:r>
      <w:r w:rsidR="003A1155">
        <w:t xml:space="preserve"> o seguinte itinerário: </w:t>
      </w:r>
      <w:r w:rsidR="0068276A">
        <w:t>primeiramente</w:t>
      </w:r>
      <w:r w:rsidR="00B2485C">
        <w:t xml:space="preserve">, </w:t>
      </w:r>
      <w:r w:rsidR="0068276A">
        <w:t>analisar</w:t>
      </w:r>
      <w:r w:rsidR="00B2485C">
        <w:t>-se-</w:t>
      </w:r>
      <w:r w:rsidR="0068276A">
        <w:t xml:space="preserve">á a figura do </w:t>
      </w:r>
      <w:r w:rsidR="0068276A">
        <w:rPr>
          <w:i/>
        </w:rPr>
        <w:t>amicus curiae</w:t>
      </w:r>
      <w:r w:rsidR="0068276A">
        <w:t xml:space="preserve">, seu conceito, origem, fundamento político, </w:t>
      </w:r>
      <w:r w:rsidR="005D18E3">
        <w:t>características e requisitos; o</w:t>
      </w:r>
      <w:r w:rsidR="0068276A">
        <w:t xml:space="preserve">btido este embasamento teórico, debater-se-á sobre a possibilidade ou não de o </w:t>
      </w:r>
      <w:r w:rsidR="0068276A">
        <w:rPr>
          <w:i/>
        </w:rPr>
        <w:t>amicus curiae</w:t>
      </w:r>
      <w:r w:rsidR="0068276A">
        <w:t xml:space="preserve"> poder recorrer, apontando argumentos e teorias que fundamentam uma resposta positiva e</w:t>
      </w:r>
      <w:r w:rsidR="005D18E3">
        <w:t xml:space="preserve"> uma resposta </w:t>
      </w:r>
      <w:r w:rsidR="005D18E3">
        <w:lastRenderedPageBreak/>
        <w:t>negativa, e; r</w:t>
      </w:r>
      <w:r w:rsidR="0048777F">
        <w:t>ealizadas tais etapas, concluir-se-á, de modo fundamentado, pela possibilidade ou impossibilidade.</w:t>
      </w:r>
      <w:r w:rsidR="00E86E9E">
        <w:t xml:space="preserve"> Veja-se a primeira etapa.</w:t>
      </w:r>
    </w:p>
    <w:p w:rsidR="00465E27" w:rsidRDefault="00465E27" w:rsidP="0058173D"/>
    <w:p w:rsidR="00465E27" w:rsidRPr="00D338B0" w:rsidRDefault="00465E27" w:rsidP="00465E27">
      <w:pPr>
        <w:ind w:firstLine="0"/>
        <w:rPr>
          <w:b/>
          <w:smallCaps/>
        </w:rPr>
      </w:pPr>
      <w:r w:rsidRPr="00D338B0">
        <w:rPr>
          <w:b/>
          <w:smallCaps/>
        </w:rPr>
        <w:t xml:space="preserve">1 </w:t>
      </w:r>
      <w:r w:rsidRPr="00D338B0">
        <w:rPr>
          <w:b/>
          <w:i/>
          <w:smallCaps/>
        </w:rPr>
        <w:t>AMICUS CURIAE</w:t>
      </w:r>
      <w:r w:rsidRPr="00D338B0">
        <w:rPr>
          <w:b/>
          <w:smallCaps/>
        </w:rPr>
        <w:t>: conceito, características e requisitos</w:t>
      </w:r>
    </w:p>
    <w:p w:rsidR="0092616C" w:rsidRPr="00E04A80" w:rsidRDefault="0092616C" w:rsidP="0092616C">
      <w:r>
        <w:t xml:space="preserve">Não é muito promissor debater sobre algo sem sequer conhecê-lo direito, </w:t>
      </w:r>
      <w:r w:rsidR="00DC2C20">
        <w:t xml:space="preserve">saber </w:t>
      </w:r>
      <w:r>
        <w:t>suas características e peculiaridades.</w:t>
      </w:r>
      <w:r w:rsidR="00E04A80">
        <w:t xml:space="preserve"> Portanto, eis o </w:t>
      </w:r>
      <w:r w:rsidR="00E04A80">
        <w:rPr>
          <w:i/>
        </w:rPr>
        <w:t>amicus curiae</w:t>
      </w:r>
      <w:r w:rsidR="00E04A80">
        <w:t xml:space="preserve"> com certa profundidade didática.</w:t>
      </w:r>
    </w:p>
    <w:p w:rsidR="0092616C" w:rsidRPr="0092616C" w:rsidRDefault="0092616C" w:rsidP="0092616C"/>
    <w:p w:rsidR="0058173D" w:rsidRPr="00465E27" w:rsidRDefault="00465E27" w:rsidP="00465E27">
      <w:pPr>
        <w:ind w:firstLine="0"/>
        <w:rPr>
          <w:b/>
        </w:rPr>
      </w:pPr>
      <w:r>
        <w:rPr>
          <w:b/>
        </w:rPr>
        <w:t>1.1 Conceito</w:t>
      </w:r>
    </w:p>
    <w:p w:rsidR="00B4121E" w:rsidRDefault="0003730B" w:rsidP="0058173D">
      <w:r>
        <w:t>Inicia-se</w:t>
      </w:r>
      <w:r w:rsidR="002E1E79">
        <w:t xml:space="preserve"> expo</w:t>
      </w:r>
      <w:r>
        <w:t>ndo</w:t>
      </w:r>
      <w:r w:rsidR="002E1E79">
        <w:t xml:space="preserve"> que</w:t>
      </w:r>
      <w:r w:rsidR="00685B98">
        <w:t xml:space="preserve">, embora se use a expressão “intervenção do </w:t>
      </w:r>
      <w:r w:rsidR="00A44BD7">
        <w:rPr>
          <w:i/>
        </w:rPr>
        <w:t>amicus curiae</w:t>
      </w:r>
      <w:r w:rsidR="00685B98" w:rsidRPr="00685B98">
        <w:t>”</w:t>
      </w:r>
      <w:r w:rsidR="00685B98">
        <w:t>,</w:t>
      </w:r>
      <w:r w:rsidR="002E1E79">
        <w:t xml:space="preserve"> o instituto em apreço não se </w:t>
      </w:r>
      <w:r w:rsidR="00542590">
        <w:t xml:space="preserve">confunde com </w:t>
      </w:r>
      <w:r w:rsidR="002E1E79">
        <w:t xml:space="preserve">a intervenção de terceiros. Caso assim fosse, </w:t>
      </w:r>
      <w:r w:rsidR="00685B98">
        <w:t>tal instituto</w:t>
      </w:r>
      <w:r w:rsidR="00B4121E">
        <w:t>,</w:t>
      </w:r>
      <w:r w:rsidR="00685B98">
        <w:t xml:space="preserve"> </w:t>
      </w:r>
      <w:r w:rsidR="00B4121E">
        <w:t xml:space="preserve">previsto no artigo 7º, § 2º, da Lei n. 9.868/99, </w:t>
      </w:r>
      <w:r w:rsidR="002E1E79" w:rsidRPr="003236FD">
        <w:t>não</w:t>
      </w:r>
      <w:r w:rsidR="002E1E79">
        <w:t xml:space="preserve"> poderia, de forma alguma, intervir no processo constitucional, conforme estabelece </w:t>
      </w:r>
      <w:r w:rsidR="00B46F9C">
        <w:t xml:space="preserve">o </w:t>
      </w:r>
      <w:r w:rsidR="00B4121E">
        <w:t xml:space="preserve">caput do mesmo artigo, </w:t>
      </w:r>
      <w:r w:rsidR="00B4121E">
        <w:rPr>
          <w:i/>
        </w:rPr>
        <w:t>in verbis</w:t>
      </w:r>
      <w:r w:rsidR="00B4121E">
        <w:t>:</w:t>
      </w:r>
    </w:p>
    <w:p w:rsidR="002E1E79" w:rsidRDefault="00B4121E" w:rsidP="00080583">
      <w:pPr>
        <w:spacing w:line="240" w:lineRule="auto"/>
        <w:ind w:left="2268" w:firstLine="0"/>
        <w:rPr>
          <w:sz w:val="20"/>
          <w:szCs w:val="20"/>
        </w:rPr>
      </w:pPr>
      <w:r w:rsidRPr="00080583">
        <w:rPr>
          <w:sz w:val="20"/>
          <w:szCs w:val="20"/>
        </w:rPr>
        <w:t>Art. 7º. N</w:t>
      </w:r>
      <w:r w:rsidR="00B46F9C" w:rsidRPr="00080583">
        <w:rPr>
          <w:sz w:val="20"/>
          <w:szCs w:val="20"/>
        </w:rPr>
        <w:t>ão se admitirá intervenção de terceiros no processo de ação direta de inconstitucionalidade.</w:t>
      </w:r>
    </w:p>
    <w:p w:rsidR="006A7B07" w:rsidRDefault="006A7B07" w:rsidP="00080583">
      <w:pPr>
        <w:spacing w:line="240" w:lineRule="auto"/>
        <w:ind w:left="2268" w:firstLine="0"/>
        <w:rPr>
          <w:sz w:val="20"/>
          <w:szCs w:val="20"/>
        </w:rPr>
      </w:pPr>
    </w:p>
    <w:p w:rsidR="00B4121E" w:rsidRDefault="00B4121E" w:rsidP="00080583">
      <w:pPr>
        <w:spacing w:line="240" w:lineRule="auto"/>
        <w:ind w:left="2268" w:firstLine="0"/>
        <w:rPr>
          <w:sz w:val="20"/>
          <w:szCs w:val="20"/>
        </w:rPr>
      </w:pPr>
      <w:r w:rsidRPr="00080583">
        <w:rPr>
          <w:sz w:val="20"/>
          <w:szCs w:val="20"/>
        </w:rPr>
        <w:t>§ 1º (VETADO)</w:t>
      </w:r>
    </w:p>
    <w:p w:rsidR="006A7B07" w:rsidRDefault="006A7B07" w:rsidP="00080583">
      <w:pPr>
        <w:spacing w:line="240" w:lineRule="auto"/>
        <w:ind w:left="2268" w:firstLine="0"/>
        <w:rPr>
          <w:sz w:val="20"/>
          <w:szCs w:val="20"/>
        </w:rPr>
      </w:pPr>
    </w:p>
    <w:p w:rsidR="00B4121E" w:rsidRDefault="00B4121E" w:rsidP="00080583">
      <w:pPr>
        <w:spacing w:line="240" w:lineRule="auto"/>
        <w:ind w:left="2268" w:firstLine="0"/>
        <w:rPr>
          <w:sz w:val="20"/>
          <w:szCs w:val="20"/>
        </w:rPr>
      </w:pPr>
      <w:r w:rsidRPr="00080583">
        <w:rPr>
          <w:sz w:val="20"/>
          <w:szCs w:val="20"/>
        </w:rPr>
        <w:t xml:space="preserve">§ 2º O relator, considerando a matéria e a </w:t>
      </w:r>
      <w:r w:rsidR="00CD7089">
        <w:rPr>
          <w:sz w:val="20"/>
          <w:szCs w:val="20"/>
        </w:rPr>
        <w:t>representatividade dos postulant</w:t>
      </w:r>
      <w:r w:rsidRPr="00080583">
        <w:rPr>
          <w:sz w:val="20"/>
          <w:szCs w:val="20"/>
        </w:rPr>
        <w:t>es, poderá, por despacho irrecorrível, admitir, observado o prazo fixado no parágrafo anterior, a manifestação de outros órgãos ou entidades.</w:t>
      </w:r>
    </w:p>
    <w:p w:rsidR="00080583" w:rsidRPr="00080583" w:rsidRDefault="00080583" w:rsidP="00080583">
      <w:pPr>
        <w:spacing w:line="240" w:lineRule="auto"/>
        <w:ind w:left="2268" w:firstLine="0"/>
        <w:rPr>
          <w:sz w:val="20"/>
          <w:szCs w:val="20"/>
        </w:rPr>
      </w:pPr>
    </w:p>
    <w:p w:rsidR="00F815B3" w:rsidRDefault="00542590" w:rsidP="0058173D">
      <w:r>
        <w:t>Nessa linha de raciocínio</w:t>
      </w:r>
      <w:r w:rsidR="00FE04A8">
        <w:t>, cita-se o exposto por Rosa</w:t>
      </w:r>
      <w:r w:rsidR="00D97BED">
        <w:rPr>
          <w:rStyle w:val="Refdenotaderodap"/>
        </w:rPr>
        <w:footnoteReference w:id="4"/>
      </w:r>
      <w:r w:rsidR="00FE04A8">
        <w:t>:</w:t>
      </w:r>
    </w:p>
    <w:p w:rsidR="00FE04A8" w:rsidRDefault="00FE04A8" w:rsidP="00FE04A8">
      <w:pPr>
        <w:spacing w:line="240" w:lineRule="auto"/>
        <w:ind w:left="2268" w:firstLine="0"/>
        <w:rPr>
          <w:sz w:val="20"/>
          <w:szCs w:val="20"/>
        </w:rPr>
      </w:pPr>
      <w:r w:rsidRPr="00FE04A8">
        <w:rPr>
          <w:sz w:val="20"/>
          <w:szCs w:val="20"/>
        </w:rPr>
        <w:t>Entretanto, não se deve entender que a possibilidade de admissão da manifestação de outros órgãos ou entidades seja uma exceção à regra geral da vedação da intervenção de terceiros.</w:t>
      </w:r>
    </w:p>
    <w:p w:rsidR="00001E8A" w:rsidRDefault="00001E8A" w:rsidP="00FE04A8">
      <w:pPr>
        <w:spacing w:line="240" w:lineRule="auto"/>
        <w:ind w:left="2268" w:firstLine="0"/>
        <w:rPr>
          <w:sz w:val="20"/>
          <w:szCs w:val="20"/>
        </w:rPr>
      </w:pPr>
    </w:p>
    <w:p w:rsidR="00FE04A8" w:rsidRDefault="00FE04A8" w:rsidP="00FE04A8">
      <w:pPr>
        <w:spacing w:line="240" w:lineRule="auto"/>
        <w:ind w:left="2268" w:firstLine="0"/>
        <w:rPr>
          <w:sz w:val="20"/>
          <w:szCs w:val="20"/>
        </w:rPr>
      </w:pPr>
      <w:r w:rsidRPr="00FE04A8">
        <w:rPr>
          <w:sz w:val="20"/>
          <w:szCs w:val="20"/>
        </w:rPr>
        <w:t>Explicamos.</w:t>
      </w:r>
    </w:p>
    <w:p w:rsidR="00001E8A" w:rsidRDefault="00001E8A" w:rsidP="00FE04A8">
      <w:pPr>
        <w:spacing w:line="240" w:lineRule="auto"/>
        <w:ind w:left="2268" w:firstLine="0"/>
        <w:rPr>
          <w:sz w:val="20"/>
          <w:szCs w:val="20"/>
        </w:rPr>
      </w:pPr>
    </w:p>
    <w:p w:rsidR="00FE04A8" w:rsidRDefault="00FE04A8" w:rsidP="00FE04A8">
      <w:pPr>
        <w:spacing w:line="240" w:lineRule="auto"/>
        <w:ind w:left="2268" w:firstLine="0"/>
        <w:rPr>
          <w:sz w:val="20"/>
          <w:szCs w:val="20"/>
        </w:rPr>
      </w:pPr>
      <w:r w:rsidRPr="00FE04A8">
        <w:rPr>
          <w:sz w:val="20"/>
          <w:szCs w:val="20"/>
        </w:rPr>
        <w:t xml:space="preserve">É que a intervenção do </w:t>
      </w:r>
      <w:r w:rsidRPr="00FE04A8">
        <w:rPr>
          <w:i/>
          <w:sz w:val="20"/>
          <w:szCs w:val="20"/>
        </w:rPr>
        <w:t>amicus curiae</w:t>
      </w:r>
      <w:r w:rsidRPr="00FE04A8">
        <w:rPr>
          <w:sz w:val="20"/>
          <w:szCs w:val="20"/>
        </w:rPr>
        <w:t xml:space="preserve"> não pode ser considerada mera intervenção de terceiros, considerando-se a previsão desse instituto no Código de Processo Civil.</w:t>
      </w:r>
    </w:p>
    <w:p w:rsidR="00CD7089" w:rsidRPr="00FE04A8" w:rsidRDefault="00CD7089" w:rsidP="00FE04A8">
      <w:pPr>
        <w:spacing w:line="240" w:lineRule="auto"/>
        <w:ind w:left="2268" w:firstLine="0"/>
        <w:rPr>
          <w:sz w:val="20"/>
          <w:szCs w:val="20"/>
        </w:rPr>
      </w:pPr>
    </w:p>
    <w:p w:rsidR="00B4121E" w:rsidRDefault="00F775BA" w:rsidP="0058173D">
      <w:r>
        <w:t>Assim ocorre porque, para que haja intervenção de terceiros, faz-se necessário que este possua interesse jurídico</w:t>
      </w:r>
      <w:r w:rsidR="00F62497">
        <w:t xml:space="preserve">, um dos requisitos para </w:t>
      </w:r>
      <w:r>
        <w:t>que</w:t>
      </w:r>
      <w:r w:rsidR="005B03E9">
        <w:t xml:space="preserve"> se</w:t>
      </w:r>
      <w:r>
        <w:t xml:space="preserve"> </w:t>
      </w:r>
      <w:r w:rsidR="00F62497">
        <w:t xml:space="preserve">possa </w:t>
      </w:r>
      <w:r>
        <w:t>participa</w:t>
      </w:r>
      <w:r w:rsidR="00F62497">
        <w:t>r</w:t>
      </w:r>
      <w:r w:rsidR="00E927D4">
        <w:t xml:space="preserve"> na relação processual </w:t>
      </w:r>
      <w:r w:rsidR="005B03E9">
        <w:t xml:space="preserve">como tal </w:t>
      </w:r>
      <w:r w:rsidR="00E927D4">
        <w:t xml:space="preserve">e </w:t>
      </w:r>
      <w:r>
        <w:t>o qual inexiste no processo de controle abstrato de constitucionalidade</w:t>
      </w:r>
      <w:r w:rsidR="007066C9">
        <w:t xml:space="preserve">, já que neste processo não há subjetividade, mas sim objetividade, quer dizer, não há </w:t>
      </w:r>
      <w:r w:rsidR="007711EB">
        <w:t>interesses/</w:t>
      </w:r>
      <w:r w:rsidR="007066C9">
        <w:t>direitos</w:t>
      </w:r>
      <w:r w:rsidR="007711EB">
        <w:t xml:space="preserve"> subjetivos.</w:t>
      </w:r>
      <w:r w:rsidR="00D97BED">
        <w:rPr>
          <w:rStyle w:val="Refdenotaderodap"/>
        </w:rPr>
        <w:footnoteReference w:id="5"/>
      </w:r>
    </w:p>
    <w:p w:rsidR="00914E40" w:rsidRDefault="00077C00" w:rsidP="00901395">
      <w:pPr>
        <w:spacing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>[</w:t>
      </w:r>
      <w:r w:rsidR="00914E40" w:rsidRPr="00901395">
        <w:rPr>
          <w:sz w:val="20"/>
          <w:szCs w:val="20"/>
        </w:rPr>
        <w:t>...</w:t>
      </w:r>
      <w:r>
        <w:rPr>
          <w:sz w:val="20"/>
          <w:szCs w:val="20"/>
        </w:rPr>
        <w:t>]</w:t>
      </w:r>
      <w:r w:rsidR="00914E40" w:rsidRPr="00901395">
        <w:rPr>
          <w:sz w:val="20"/>
          <w:szCs w:val="20"/>
        </w:rPr>
        <w:t xml:space="preserve"> o pedido de intervenção assistencial, ordinariamente, não tem cabimento em sede de ação direta de inconstitucionalidade, eis que terceiros não dispõe, em nosso </w:t>
      </w:r>
      <w:r w:rsidR="00914E40" w:rsidRPr="00901395">
        <w:rPr>
          <w:sz w:val="20"/>
          <w:szCs w:val="20"/>
        </w:rPr>
        <w:lastRenderedPageBreak/>
        <w:t>sistema de direito positivo, de legitimidade para intervir no processo de controle normativo</w:t>
      </w:r>
      <w:r w:rsidR="00901395" w:rsidRPr="00901395">
        <w:rPr>
          <w:sz w:val="20"/>
          <w:szCs w:val="20"/>
        </w:rPr>
        <w:t xml:space="preserve"> abstrato. Isso porque, o processo de fiscalização normativa abstrata qualifica-se como processo de caráter objetivo.</w:t>
      </w:r>
      <w:r w:rsidR="00770311">
        <w:rPr>
          <w:rStyle w:val="Refdenotaderodap"/>
          <w:sz w:val="20"/>
          <w:szCs w:val="20"/>
        </w:rPr>
        <w:footnoteReference w:id="6"/>
      </w:r>
    </w:p>
    <w:p w:rsidR="00901395" w:rsidRPr="00901395" w:rsidRDefault="00901395" w:rsidP="00901395">
      <w:pPr>
        <w:spacing w:line="240" w:lineRule="auto"/>
        <w:ind w:left="2268" w:firstLine="0"/>
        <w:rPr>
          <w:sz w:val="20"/>
          <w:szCs w:val="20"/>
        </w:rPr>
      </w:pPr>
    </w:p>
    <w:p w:rsidR="0078169C" w:rsidRDefault="0078169C" w:rsidP="0058173D">
      <w:r>
        <w:t xml:space="preserve">O </w:t>
      </w:r>
      <w:r>
        <w:rPr>
          <w:i/>
        </w:rPr>
        <w:t xml:space="preserve">amicus curiae </w:t>
      </w:r>
      <w:r>
        <w:t xml:space="preserve">consiste em um </w:t>
      </w:r>
      <w:r w:rsidR="002117D8">
        <w:t>“</w:t>
      </w:r>
      <w:r>
        <w:t>colaborador informal da Corte</w:t>
      </w:r>
      <w:r w:rsidR="002117D8">
        <w:t>”</w:t>
      </w:r>
      <w:r>
        <w:rPr>
          <w:rStyle w:val="Refdenotaderodap"/>
        </w:rPr>
        <w:footnoteReference w:id="7"/>
      </w:r>
      <w:r w:rsidR="002117D8">
        <w:t>. Na tradução literária, consiste em um “amigo da corte”.</w:t>
      </w:r>
    </w:p>
    <w:p w:rsidR="002117D8" w:rsidRDefault="002117D8" w:rsidP="002117D8">
      <w:pPr>
        <w:spacing w:line="240" w:lineRule="auto"/>
        <w:ind w:left="2268" w:firstLine="0"/>
        <w:rPr>
          <w:sz w:val="20"/>
          <w:szCs w:val="20"/>
        </w:rPr>
      </w:pPr>
      <w:r w:rsidRPr="002117D8">
        <w:rPr>
          <w:i/>
          <w:sz w:val="20"/>
          <w:szCs w:val="20"/>
        </w:rPr>
        <w:t>Amicus curiae</w:t>
      </w:r>
      <w:r w:rsidRPr="002117D8">
        <w:rPr>
          <w:sz w:val="20"/>
          <w:szCs w:val="20"/>
        </w:rPr>
        <w:t xml:space="preserve"> é “amigo da Corte”, aquele que lhe presta informações sobre matéria de fato e de direito, objeto da controvérsia. Sua função é chamar a atenção dos julgadores para alguma matéria que poderia, de outra forma, escapar-lhe ao conhecimento. Um memorial de </w:t>
      </w:r>
      <w:r w:rsidRPr="002117D8">
        <w:rPr>
          <w:i/>
          <w:sz w:val="20"/>
          <w:szCs w:val="20"/>
        </w:rPr>
        <w:t>amicus curiae</w:t>
      </w:r>
      <w:r w:rsidRPr="002117D8">
        <w:rPr>
          <w:sz w:val="20"/>
          <w:szCs w:val="20"/>
        </w:rPr>
        <w:t xml:space="preserve"> é produzido, assim, por quem não é parte no processo, com vistas a auxiliar a Corte para que esta possa proferir uma decisão acertada, ou com vistas a sustentar determinada tese jurídica em defesa de interesses públicos ou privados de terceiros, que serão indiretamente afetados pelo desfecho da questão.</w:t>
      </w:r>
      <w:r w:rsidRPr="002117D8">
        <w:rPr>
          <w:rStyle w:val="Refdenotaderodap"/>
          <w:sz w:val="20"/>
          <w:szCs w:val="20"/>
        </w:rPr>
        <w:footnoteReference w:id="8"/>
      </w:r>
    </w:p>
    <w:p w:rsidR="00CB6E16" w:rsidRPr="00CB6E16" w:rsidRDefault="00CB6E16" w:rsidP="002117D8">
      <w:pPr>
        <w:spacing w:line="240" w:lineRule="auto"/>
        <w:ind w:left="2268" w:firstLine="0"/>
        <w:rPr>
          <w:sz w:val="20"/>
          <w:szCs w:val="20"/>
        </w:rPr>
      </w:pPr>
    </w:p>
    <w:p w:rsidR="002C07ED" w:rsidRPr="008663DE" w:rsidRDefault="008663DE" w:rsidP="0058173D">
      <w:r>
        <w:t>Note que</w:t>
      </w:r>
      <w:r w:rsidR="005A6CEF">
        <w:t>,</w:t>
      </w:r>
      <w:r>
        <w:t xml:space="preserve"> na </w:t>
      </w:r>
      <w:r w:rsidR="005A6CEF">
        <w:t xml:space="preserve">previsão legal </w:t>
      </w:r>
      <w:r w:rsidR="00FB2A70">
        <w:t>e na</w:t>
      </w:r>
      <w:r w:rsidR="00BF454D">
        <w:t>s</w:t>
      </w:r>
      <w:r w:rsidR="00FB2A70">
        <w:t xml:space="preserve"> citaç</w:t>
      </w:r>
      <w:r w:rsidR="00BF454D">
        <w:t>ões</w:t>
      </w:r>
      <w:r w:rsidR="00FB2A70">
        <w:t xml:space="preserve"> </w:t>
      </w:r>
      <w:r w:rsidR="005A6CEF">
        <w:t>acima transcrita</w:t>
      </w:r>
      <w:r w:rsidR="00FB2A70">
        <w:t>s</w:t>
      </w:r>
      <w:r w:rsidR="005A6CEF">
        <w:t>,</w:t>
      </w:r>
      <w:r>
        <w:t xml:space="preserve"> há menção expressa à ação direta de inconstitucionalidade, não havendo, nem nela</w:t>
      </w:r>
      <w:r w:rsidR="00EC3C2B">
        <w:t>s</w:t>
      </w:r>
      <w:r>
        <w:t xml:space="preserve"> e nem no restante da Lei 9.868/99, nada que diga respeito ao instituto do </w:t>
      </w:r>
      <w:r>
        <w:rPr>
          <w:i/>
        </w:rPr>
        <w:t>amicus curiae</w:t>
      </w:r>
      <w:r>
        <w:t xml:space="preserve"> na ação declaratória de constitucionalidade e na </w:t>
      </w:r>
      <w:r w:rsidR="00A050A1">
        <w:t>ação</w:t>
      </w:r>
      <w:r>
        <w:t xml:space="preserve"> de descumprimento </w:t>
      </w:r>
      <w:r w:rsidR="00F9072E">
        <w:t>d</w:t>
      </w:r>
      <w:r>
        <w:t xml:space="preserve">e preceito fundamental. O artigo 18, em seu § 2º, apresentava algo </w:t>
      </w:r>
      <w:r w:rsidR="005B03E9">
        <w:t>sobre isto</w:t>
      </w:r>
      <w:r>
        <w:t xml:space="preserve">, porém, foi vetado, </w:t>
      </w:r>
      <w:r w:rsidR="0078169C">
        <w:t>conforme acertadamente lembra Rosa</w:t>
      </w:r>
      <w:r w:rsidR="0078169C">
        <w:rPr>
          <w:rStyle w:val="Refdenotaderodap"/>
        </w:rPr>
        <w:footnoteReference w:id="9"/>
      </w:r>
      <w:r>
        <w:t>.</w:t>
      </w:r>
    </w:p>
    <w:p w:rsidR="005B03E9" w:rsidRDefault="00160875" w:rsidP="0058173D">
      <w:r>
        <w:t>N</w:t>
      </w:r>
      <w:r w:rsidR="00800AF1">
        <w:t>ão obstante esse</w:t>
      </w:r>
      <w:r w:rsidR="00040E97">
        <w:t xml:space="preserve"> veto</w:t>
      </w:r>
      <w:r>
        <w:t xml:space="preserve"> e a inexistência de previsão em lei</w:t>
      </w:r>
      <w:r w:rsidR="00800AF1">
        <w:t xml:space="preserve">, </w:t>
      </w:r>
      <w:r w:rsidR="00495BA1">
        <w:t>há</w:t>
      </w:r>
      <w:r w:rsidR="00800AF1">
        <w:t xml:space="preserve"> autores</w:t>
      </w:r>
      <w:r w:rsidR="00495BA1">
        <w:t xml:space="preserve"> que</w:t>
      </w:r>
      <w:r w:rsidR="00800AF1">
        <w:t xml:space="preserve"> alegam ser possível o</w:t>
      </w:r>
      <w:r w:rsidR="00667ECF">
        <w:t xml:space="preserve"> cabimento do</w:t>
      </w:r>
      <w:r w:rsidR="00800AF1">
        <w:t xml:space="preserve"> instituto em análise </w:t>
      </w:r>
      <w:r w:rsidR="001014D1">
        <w:t>n</w:t>
      </w:r>
      <w:r w:rsidR="00C56BBB">
        <w:t>a</w:t>
      </w:r>
      <w:r w:rsidR="00800AF1">
        <w:t xml:space="preserve"> ação declaratória de constitucionalidade</w:t>
      </w:r>
      <w:r w:rsidR="00071A66">
        <w:t xml:space="preserve"> (ADC)</w:t>
      </w:r>
      <w:r w:rsidR="00800AF1">
        <w:t>, aprese</w:t>
      </w:r>
      <w:r w:rsidR="00C56BBB">
        <w:t>ntando as mesmas características e requisitos</w:t>
      </w:r>
      <w:r w:rsidR="00800AF1">
        <w:t xml:space="preserve"> </w:t>
      </w:r>
      <w:r w:rsidR="001014D1">
        <w:t>existentes em relação à</w:t>
      </w:r>
      <w:r w:rsidR="00800AF1">
        <w:t xml:space="preserve"> ação direta de inconstitucionalidade</w:t>
      </w:r>
      <w:r w:rsidR="00B67D2F">
        <w:t xml:space="preserve"> (ADI)</w:t>
      </w:r>
      <w:r w:rsidR="00800AF1">
        <w:t>.</w:t>
      </w:r>
      <w:r w:rsidR="00F9072E">
        <w:t xml:space="preserve"> </w:t>
      </w:r>
      <w:r w:rsidR="000D3D9F">
        <w:t xml:space="preserve">Assim também ocorre em relação </w:t>
      </w:r>
      <w:r w:rsidR="001B75A5">
        <w:t>à</w:t>
      </w:r>
      <w:r w:rsidR="00F9072E">
        <w:t xml:space="preserve"> ação de descumprimento de preceito </w:t>
      </w:r>
      <w:r w:rsidR="000D3D9F">
        <w:t>fundamental</w:t>
      </w:r>
      <w:r w:rsidR="00312416">
        <w:t xml:space="preserve"> (ADPF)</w:t>
      </w:r>
      <w:r w:rsidR="000D3D9F">
        <w:t>.</w:t>
      </w:r>
    </w:p>
    <w:p w:rsidR="00380730" w:rsidRDefault="005B03E9" w:rsidP="0058173D">
      <w:r>
        <w:t>A</w:t>
      </w:r>
      <w:r w:rsidR="00380730">
        <w:t>utores</w:t>
      </w:r>
      <w:r w:rsidR="003B739E">
        <w:t xml:space="preserve"> como Dirley da Cunha Jr. e Cássio Scarpinella Bueno</w:t>
      </w:r>
      <w:r>
        <w:t xml:space="preserve"> são exemplos dentre aqueles</w:t>
      </w:r>
      <w:r w:rsidR="003B739E">
        <w:t xml:space="preserve"> </w:t>
      </w:r>
      <w:r w:rsidR="007E18F4">
        <w:t>que</w:t>
      </w:r>
      <w:r w:rsidR="00380730">
        <w:t xml:space="preserve"> </w:t>
      </w:r>
      <w:r w:rsidR="003B739E">
        <w:t xml:space="preserve">apontam </w:t>
      </w:r>
      <w:r w:rsidR="006471CE">
        <w:t>que o</w:t>
      </w:r>
      <w:r w:rsidR="002F4354">
        <w:t xml:space="preserve"> </w:t>
      </w:r>
      <w:r w:rsidR="002F4354">
        <w:rPr>
          <w:i/>
        </w:rPr>
        <w:t xml:space="preserve">amicus </w:t>
      </w:r>
      <w:r w:rsidR="002F4354" w:rsidRPr="002F4354">
        <w:rPr>
          <w:i/>
        </w:rPr>
        <w:t>curiae</w:t>
      </w:r>
      <w:r w:rsidR="006471CE">
        <w:t xml:space="preserve"> também é cabível</w:t>
      </w:r>
      <w:r w:rsidR="002F4354" w:rsidRPr="002F4354">
        <w:t xml:space="preserve"> </w:t>
      </w:r>
      <w:r>
        <w:t>na ADPF</w:t>
      </w:r>
      <w:r w:rsidR="006A2F48">
        <w:t>, valendo-se, basicamente, dos mesmo</w:t>
      </w:r>
      <w:r w:rsidR="004A7C41">
        <w:t>s</w:t>
      </w:r>
      <w:r w:rsidR="006A2F48">
        <w:t xml:space="preserve"> fundamentos </w:t>
      </w:r>
      <w:r w:rsidR="004A7C41">
        <w:t>que justificam a existência d</w:t>
      </w:r>
      <w:r w:rsidR="001C03B8">
        <w:t>este</w:t>
      </w:r>
      <w:r w:rsidR="004A7C41">
        <w:t>.</w:t>
      </w:r>
      <w:r w:rsidR="00312416">
        <w:t xml:space="preserve"> Contudo, quando do julgamento da ADPF nº 54, o STF afirmou ser incabível tal instituto nesta ação.</w:t>
      </w:r>
      <w:r w:rsidR="006035B6">
        <w:rPr>
          <w:rStyle w:val="Refdenotaderodap"/>
        </w:rPr>
        <w:footnoteReference w:id="10"/>
      </w:r>
    </w:p>
    <w:p w:rsidR="002C07ED" w:rsidRDefault="00F90264" w:rsidP="0058173D">
      <w:r>
        <w:t>N</w:t>
      </w:r>
      <w:r w:rsidR="00B67D2F">
        <w:t>ão se adent</w:t>
      </w:r>
      <w:r w:rsidR="007A2E7E">
        <w:t>r</w:t>
      </w:r>
      <w:r w:rsidR="00B67D2F">
        <w:t>ará</w:t>
      </w:r>
      <w:r w:rsidR="007A2E7E">
        <w:t>, apontando argumentos pros e contras,</w:t>
      </w:r>
      <w:r w:rsidR="00B67D2F">
        <w:t xml:space="preserve"> n</w:t>
      </w:r>
      <w:r w:rsidR="007A2E7E">
        <w:t>a discussão</w:t>
      </w:r>
      <w:r w:rsidR="00B67D2F">
        <w:t xml:space="preserve"> </w:t>
      </w:r>
      <w:r w:rsidR="005B03E9">
        <w:t>havida dentro</w:t>
      </w:r>
      <w:r w:rsidR="00B67D2F">
        <w:t xml:space="preserve"> </w:t>
      </w:r>
      <w:r w:rsidR="005B03E9">
        <w:t>d</w:t>
      </w:r>
      <w:r w:rsidR="00B67D2F">
        <w:t xml:space="preserve">a doutrina e </w:t>
      </w:r>
      <w:r w:rsidR="005B03E9">
        <w:t xml:space="preserve">desta com </w:t>
      </w:r>
      <w:r w:rsidR="00B67D2F">
        <w:t xml:space="preserve">o STF acerca do cabimento ou não do </w:t>
      </w:r>
      <w:r w:rsidR="00B67D2F">
        <w:rPr>
          <w:i/>
        </w:rPr>
        <w:t>amicus curiae</w:t>
      </w:r>
      <w:r w:rsidR="00B67D2F">
        <w:t xml:space="preserve"> em AD</w:t>
      </w:r>
      <w:r w:rsidR="00071A66">
        <w:t>C</w:t>
      </w:r>
      <w:r w:rsidR="00B67D2F">
        <w:t xml:space="preserve"> e ADPF</w:t>
      </w:r>
      <w:r w:rsidR="007D2498">
        <w:t>, haja vista não ser este o foco do trabalho</w:t>
      </w:r>
      <w:r w:rsidR="00B67D2F">
        <w:t>. Tão somente se adotará</w:t>
      </w:r>
      <w:r w:rsidR="007A2E7E">
        <w:t xml:space="preserve"> a posição que</w:t>
      </w:r>
      <w:r>
        <w:t>, aqui,</w:t>
      </w:r>
      <w:r w:rsidR="007A2E7E">
        <w:t xml:space="preserve"> </w:t>
      </w:r>
      <w:r>
        <w:t>a</w:t>
      </w:r>
      <w:r w:rsidR="007A2E7E">
        <w:t>cha</w:t>
      </w:r>
      <w:r>
        <w:t>-se</w:t>
      </w:r>
      <w:r w:rsidR="007A2E7E">
        <w:t xml:space="preserve"> mais coerente, </w:t>
      </w:r>
      <w:r>
        <w:t xml:space="preserve">que é </w:t>
      </w:r>
      <w:r w:rsidR="007A2E7E">
        <w:t>pelo seu cabimento em ambas</w:t>
      </w:r>
      <w:r w:rsidR="00345FFA">
        <w:t xml:space="preserve"> tendo como fundamento a </w:t>
      </w:r>
      <w:r w:rsidR="00345FFA">
        <w:lastRenderedPageBreak/>
        <w:t>importância do instituto</w:t>
      </w:r>
      <w:r w:rsidR="004B3E8E">
        <w:t>,</w:t>
      </w:r>
      <w:r w:rsidR="005B03E9">
        <w:t xml:space="preserve"> qual seja, a democratização e a</w:t>
      </w:r>
      <w:r w:rsidR="004B3E8E">
        <w:t xml:space="preserve"> pluralização do debate constitucional</w:t>
      </w:r>
      <w:r w:rsidR="0001251C">
        <w:rPr>
          <w:rStyle w:val="Refdenotaderodap"/>
        </w:rPr>
        <w:footnoteReference w:id="11"/>
      </w:r>
      <w:r w:rsidR="007A2E7E">
        <w:t>.</w:t>
      </w:r>
      <w:r w:rsidR="00071A66">
        <w:t xml:space="preserve"> Deste modo, quando do uso do termo “ação” ou “processo”, estar-se-á se referindo </w:t>
      </w:r>
      <w:r w:rsidR="00B8361F">
        <w:t>à</w:t>
      </w:r>
      <w:r w:rsidR="00071A66">
        <w:t>s três.</w:t>
      </w:r>
    </w:p>
    <w:p w:rsidR="0001251C" w:rsidRDefault="0001251C" w:rsidP="0058173D"/>
    <w:p w:rsidR="00465E27" w:rsidRPr="00465E27" w:rsidRDefault="00465E27" w:rsidP="00465E27">
      <w:pPr>
        <w:ind w:firstLine="0"/>
        <w:rPr>
          <w:b/>
        </w:rPr>
      </w:pPr>
      <w:r>
        <w:rPr>
          <w:b/>
        </w:rPr>
        <w:t>1.2 Características</w:t>
      </w:r>
    </w:p>
    <w:p w:rsidR="00761D4E" w:rsidRDefault="00F815B3" w:rsidP="00761D4E">
      <w:r>
        <w:t xml:space="preserve">O instituto do </w:t>
      </w:r>
      <w:r>
        <w:rPr>
          <w:i/>
        </w:rPr>
        <w:t>amicus curiae</w:t>
      </w:r>
      <w:r>
        <w:t xml:space="preserve"> apr</w:t>
      </w:r>
      <w:r w:rsidR="00C45570">
        <w:t>esenta algumas características: a</w:t>
      </w:r>
      <w:r>
        <w:t xml:space="preserve"> sustentação escrita e oral, o momento processual próprio para que se solicite atuar como tal</w:t>
      </w:r>
      <w:r w:rsidR="004E0D83">
        <w:t xml:space="preserve"> e</w:t>
      </w:r>
      <w:r w:rsidR="005C1437">
        <w:t xml:space="preserve"> </w:t>
      </w:r>
      <w:r>
        <w:t xml:space="preserve">o prazo para manifestações. </w:t>
      </w:r>
      <w:r w:rsidR="003918C7">
        <w:t>Veja-se cada uma delas.</w:t>
      </w:r>
    </w:p>
    <w:p w:rsidR="00761D4E" w:rsidRPr="00843645" w:rsidRDefault="00761D4E" w:rsidP="00761D4E">
      <w:pPr>
        <w:rPr>
          <w:u w:val="single"/>
        </w:rPr>
      </w:pPr>
      <w:r w:rsidRPr="00843645">
        <w:rPr>
          <w:u w:val="single"/>
        </w:rPr>
        <w:t>a) Sustentação escrita e oral</w:t>
      </w:r>
    </w:p>
    <w:p w:rsidR="00DF0BA0" w:rsidRDefault="003F3B96" w:rsidP="00761D4E">
      <w:r>
        <w:t>Q</w:t>
      </w:r>
      <w:r w:rsidR="0050136D">
        <w:t xml:space="preserve">uando da leitura do art. 7, § 2º, da Lei 9.868/99, depara-se </w:t>
      </w:r>
      <w:r>
        <w:t>a</w:t>
      </w:r>
      <w:r w:rsidR="0050136D">
        <w:t>penas com a palavra “manifestação”</w:t>
      </w:r>
      <w:r w:rsidR="00680E52">
        <w:t xml:space="preserve">, sem </w:t>
      </w:r>
      <w:r>
        <w:t>nada a indicar</w:t>
      </w:r>
      <w:r w:rsidR="00680E52">
        <w:t xml:space="preserve"> se é oral, escrita</w:t>
      </w:r>
      <w:r w:rsidR="007B1846">
        <w:t xml:space="preserve"> ou as duas</w:t>
      </w:r>
      <w:r w:rsidR="0050136D">
        <w:t>.</w:t>
      </w:r>
      <w:r>
        <w:t xml:space="preserve"> Nunca houve divergência quanto à possibilidade de manifestação escrita. Agora, quanto a oral, </w:t>
      </w:r>
      <w:r w:rsidR="00D431D4">
        <w:t>tinha-se, d</w:t>
      </w:r>
      <w:r w:rsidR="00110FCE">
        <w:t xml:space="preserve">e um lado, a doutrina </w:t>
      </w:r>
      <w:r w:rsidR="009D3355">
        <w:t>defend</w:t>
      </w:r>
      <w:r w:rsidR="006C4FC0">
        <w:t>endo</w:t>
      </w:r>
      <w:r w:rsidR="00110FCE">
        <w:t xml:space="preserve"> ser possível e, de outro, o STF </w:t>
      </w:r>
      <w:r w:rsidR="009D3355">
        <w:t>defend</w:t>
      </w:r>
      <w:r w:rsidR="006C4FC0">
        <w:t>endo</w:t>
      </w:r>
      <w:r w:rsidR="00110FCE">
        <w:t xml:space="preserve"> o contrário.</w:t>
      </w:r>
    </w:p>
    <w:p w:rsidR="00761D4E" w:rsidRPr="00761D4E" w:rsidRDefault="00DF0BA0" w:rsidP="00761D4E">
      <w:r>
        <w:t>É válido</w:t>
      </w:r>
      <w:r w:rsidR="00CC5DD4">
        <w:t xml:space="preserve"> mencionar o que </w:t>
      </w:r>
      <w:r w:rsidR="00885B4E">
        <w:t>Fredie Didier Jr</w:t>
      </w:r>
      <w:r w:rsidR="00D77D63">
        <w:rPr>
          <w:rStyle w:val="Refdenotaderodap"/>
        </w:rPr>
        <w:footnoteReference w:id="12"/>
      </w:r>
      <w:r w:rsidR="00885B4E">
        <w:t xml:space="preserve">. </w:t>
      </w:r>
      <w:r w:rsidR="00390B8A">
        <w:t>leciona</w:t>
      </w:r>
      <w:r w:rsidR="00885B4E">
        <w:t xml:space="preserve"> sobre o assunto, pois explana muito bem o </w:t>
      </w:r>
      <w:r w:rsidR="00E34D24">
        <w:t>por</w:t>
      </w:r>
      <w:r w:rsidR="00C970BB">
        <w:t>quê</w:t>
      </w:r>
      <w:r w:rsidR="00885B4E">
        <w:t xml:space="preserve"> </w:t>
      </w:r>
      <w:r w:rsidR="00E34D24">
        <w:t>d</w:t>
      </w:r>
      <w:r w:rsidR="00C970BB">
        <w:t xml:space="preserve">e </w:t>
      </w:r>
      <w:r w:rsidR="00E34D24">
        <w:t xml:space="preserve">a doutrina optar pela possibilidade, </w:t>
      </w:r>
      <w:r w:rsidR="00E34D24" w:rsidRPr="003D19A9">
        <w:rPr>
          <w:i/>
        </w:rPr>
        <w:t>in verbis</w:t>
      </w:r>
      <w:r w:rsidR="00E34D24">
        <w:t>:</w:t>
      </w:r>
    </w:p>
    <w:p w:rsidR="002839E7" w:rsidRPr="00062284" w:rsidRDefault="002839E7" w:rsidP="00062284">
      <w:pPr>
        <w:spacing w:line="240" w:lineRule="auto"/>
        <w:ind w:left="2268" w:firstLine="0"/>
        <w:rPr>
          <w:sz w:val="20"/>
          <w:szCs w:val="20"/>
        </w:rPr>
      </w:pPr>
      <w:r w:rsidRPr="00062284">
        <w:rPr>
          <w:sz w:val="20"/>
          <w:szCs w:val="20"/>
        </w:rPr>
        <w:t>Em primeiro lugar, o § 2º do art. 7º da Lei federal 9.868/99, fonte normativa para a intervenção do “amigo”, não estabelece forma para a sua manifestação. Não havendo previsão legal a respeito, o ato processual (manifestação) pode ser efetivado por qualquer forma (oral ou escrita), desde que atinja a finalidade (que, no caso, é a de ajudar o tribunal no julgamento). Vale, pois, a regra do art. 154 do CPC.</w:t>
      </w:r>
    </w:p>
    <w:p w:rsidR="00001E8A" w:rsidRDefault="00001E8A" w:rsidP="00062284">
      <w:pPr>
        <w:spacing w:line="240" w:lineRule="auto"/>
        <w:ind w:left="2268" w:firstLine="0"/>
        <w:rPr>
          <w:sz w:val="20"/>
          <w:szCs w:val="20"/>
        </w:rPr>
      </w:pPr>
    </w:p>
    <w:p w:rsidR="002839E7" w:rsidRPr="00062284" w:rsidRDefault="002839E7" w:rsidP="00062284">
      <w:pPr>
        <w:spacing w:line="240" w:lineRule="auto"/>
        <w:ind w:left="2268" w:firstLine="0"/>
        <w:rPr>
          <w:sz w:val="20"/>
          <w:szCs w:val="20"/>
        </w:rPr>
      </w:pPr>
      <w:r w:rsidRPr="00062284">
        <w:rPr>
          <w:sz w:val="20"/>
          <w:szCs w:val="20"/>
        </w:rPr>
        <w:t>Em segundo lugar, a permissão de sustentação oral conferida aos representantes judiciais da requerente e das autoridades ou órgãos responsáveis pela expedição do ato (art. 10, § 2º, Lei federal n° 9.868/99) não pode servir como argumento de que, ipso facto, fica proibida a manifestação oral deste especial auxiliar do juízo. Parece que a sustentação oral é algo esdrúxulo, excepcional, que somente pode ser permitido em situações de absoluta necessidade. Estranho isso; notadamente quando se sabe que as decisões colegiadas normalmente dão ensejo a calorosos debates orais, cujas armas de convicção, certamente, não ficam restritas à palavra escrita, e cujo teor, quase sempre, não é reduzido a termo. Ora, é da própria natureza dos julgamentos colegiados o manejo da palavra falada.</w:t>
      </w:r>
    </w:p>
    <w:p w:rsidR="00001E8A" w:rsidRDefault="00001E8A" w:rsidP="00062284">
      <w:pPr>
        <w:spacing w:line="240" w:lineRule="auto"/>
        <w:ind w:left="2268" w:firstLine="0"/>
        <w:rPr>
          <w:sz w:val="20"/>
          <w:szCs w:val="20"/>
        </w:rPr>
      </w:pPr>
    </w:p>
    <w:p w:rsidR="002839E7" w:rsidRPr="00062284" w:rsidRDefault="002839E7" w:rsidP="00062284">
      <w:pPr>
        <w:spacing w:line="240" w:lineRule="auto"/>
        <w:ind w:left="2268" w:firstLine="0"/>
        <w:rPr>
          <w:sz w:val="20"/>
          <w:szCs w:val="20"/>
        </w:rPr>
      </w:pPr>
      <w:r w:rsidRPr="00062284">
        <w:rPr>
          <w:sz w:val="20"/>
          <w:szCs w:val="20"/>
        </w:rPr>
        <w:t>Em terceiro lugar, também não se pode dizer que a concessão da palavra prejudicará a celeridade do julgamento. [...]</w:t>
      </w:r>
    </w:p>
    <w:p w:rsidR="002F5924" w:rsidRDefault="002F5924" w:rsidP="00062284">
      <w:pPr>
        <w:spacing w:line="240" w:lineRule="auto"/>
        <w:ind w:left="2268" w:firstLine="0"/>
        <w:rPr>
          <w:sz w:val="20"/>
          <w:szCs w:val="20"/>
        </w:rPr>
      </w:pPr>
    </w:p>
    <w:p w:rsidR="00761D4E" w:rsidRDefault="002839E7" w:rsidP="00062284">
      <w:pPr>
        <w:spacing w:line="240" w:lineRule="auto"/>
        <w:ind w:left="2268" w:firstLine="0"/>
        <w:rPr>
          <w:sz w:val="20"/>
          <w:szCs w:val="20"/>
        </w:rPr>
      </w:pPr>
      <w:r w:rsidRPr="00062284">
        <w:rPr>
          <w:sz w:val="20"/>
          <w:szCs w:val="20"/>
        </w:rPr>
        <w:t>Se a sustentação oral serve ao esclarecimento dos magistrados; se o julgamento colegiado caracteriza-se pelos debates orais; se a participação do amicus curiae no processo é um fato de aprimoramento da tutela jurisdicional, pois atua como um auxiliar do juízo, não há nenhum sentido na proibição que esse auxílio se dê pela via da palavra falada.</w:t>
      </w:r>
    </w:p>
    <w:p w:rsidR="0050136D" w:rsidRPr="00062284" w:rsidRDefault="0050136D" w:rsidP="00062284">
      <w:pPr>
        <w:spacing w:line="240" w:lineRule="auto"/>
        <w:ind w:left="2268" w:firstLine="0"/>
        <w:rPr>
          <w:sz w:val="20"/>
          <w:szCs w:val="20"/>
        </w:rPr>
      </w:pPr>
    </w:p>
    <w:p w:rsidR="00C07F1A" w:rsidRDefault="0050136D" w:rsidP="0058173D">
      <w:r>
        <w:lastRenderedPageBreak/>
        <w:t>Quando do</w:t>
      </w:r>
      <w:r w:rsidR="006267C3">
        <w:t xml:space="preserve"> julgamento da </w:t>
      </w:r>
      <w:r w:rsidR="0088625A">
        <w:t xml:space="preserve">ADIn nº 2.777-SP, </w:t>
      </w:r>
      <w:r w:rsidR="006267C3">
        <w:t>rel. Min. Cezar Peluso, Informativo STF nº 331</w:t>
      </w:r>
      <w:r w:rsidR="0088625A">
        <w:t xml:space="preserve">, </w:t>
      </w:r>
      <w:r w:rsidR="004B735D">
        <w:t xml:space="preserve">havido em 2003, </w:t>
      </w:r>
      <w:r w:rsidR="0088625A">
        <w:t xml:space="preserve">o STF </w:t>
      </w:r>
      <w:r w:rsidR="004B735D">
        <w:t>alterou seu posicionamento</w:t>
      </w:r>
      <w:r w:rsidR="00616D0A">
        <w:t>. A partir de então era possível a</w:t>
      </w:r>
      <w:r w:rsidR="0088625A">
        <w:t xml:space="preserve"> sustentação oral</w:t>
      </w:r>
      <w:r w:rsidR="00C165FB">
        <w:t>.</w:t>
      </w:r>
      <w:r w:rsidR="00616D0A">
        <w:rPr>
          <w:rStyle w:val="Refdenotaderodap"/>
        </w:rPr>
        <w:footnoteReference w:id="13"/>
      </w:r>
      <w:r w:rsidR="00C165FB">
        <w:t xml:space="preserve"> </w:t>
      </w:r>
      <w:r w:rsidR="00C07F1A">
        <w:t>Esta</w:t>
      </w:r>
      <w:r w:rsidR="00C165FB">
        <w:t>, de acordo com o</w:t>
      </w:r>
      <w:r w:rsidR="00D77B9C">
        <w:t xml:space="preserve"> voto do</w:t>
      </w:r>
      <w:r w:rsidR="00C165FB">
        <w:t xml:space="preserve"> relator</w:t>
      </w:r>
      <w:r w:rsidR="00D77B9C">
        <w:t xml:space="preserve">, </w:t>
      </w:r>
      <w:r w:rsidR="00C07F1A">
        <w:t>deveria obedecer as regras expostas no artigo 131, § 3º, do Regimento Interno do STF:</w:t>
      </w:r>
    </w:p>
    <w:p w:rsidR="00F5064A" w:rsidRDefault="00C07F1A" w:rsidP="00C07F1A">
      <w:pPr>
        <w:spacing w:line="240" w:lineRule="auto"/>
        <w:ind w:left="2268" w:firstLine="0"/>
        <w:rPr>
          <w:sz w:val="20"/>
          <w:szCs w:val="20"/>
        </w:rPr>
      </w:pPr>
      <w:r w:rsidRPr="00C07F1A">
        <w:rPr>
          <w:sz w:val="20"/>
          <w:szCs w:val="20"/>
        </w:rPr>
        <w:t xml:space="preserve">[...] o </w:t>
      </w:r>
      <w:r w:rsidRPr="00C07F1A">
        <w:rPr>
          <w:i/>
          <w:sz w:val="20"/>
          <w:szCs w:val="20"/>
        </w:rPr>
        <w:t>amicus curiae</w:t>
      </w:r>
      <w:r w:rsidRPr="00C07F1A">
        <w:rPr>
          <w:sz w:val="20"/>
          <w:szCs w:val="20"/>
        </w:rPr>
        <w:t>, uma vez formalmente admitido no processo de fiscalização normativa abstrata, tem o direito de proceder à sustentação oral de suas razões, observado, no que couber, o parágrafo 3º, do artigo 131 do RISTF, na redação conferida pela Emenda Regimental 15/2004.</w:t>
      </w:r>
      <w:r w:rsidR="00E80B0C">
        <w:rPr>
          <w:rStyle w:val="Refdenotaderodap"/>
          <w:sz w:val="20"/>
          <w:szCs w:val="20"/>
        </w:rPr>
        <w:footnoteReference w:id="14"/>
      </w:r>
    </w:p>
    <w:p w:rsidR="00D2354E" w:rsidRPr="00C07F1A" w:rsidRDefault="00D2354E" w:rsidP="00C07F1A">
      <w:pPr>
        <w:spacing w:line="240" w:lineRule="auto"/>
        <w:ind w:left="2268" w:firstLine="0"/>
        <w:rPr>
          <w:sz w:val="20"/>
          <w:szCs w:val="20"/>
        </w:rPr>
      </w:pPr>
    </w:p>
    <w:p w:rsidR="00761D4E" w:rsidRPr="00843645" w:rsidRDefault="006D4016" w:rsidP="0058173D">
      <w:pPr>
        <w:rPr>
          <w:u w:val="single"/>
        </w:rPr>
      </w:pPr>
      <w:r w:rsidRPr="00843645">
        <w:rPr>
          <w:u w:val="single"/>
        </w:rPr>
        <w:t>b) Momento processual próprio par</w:t>
      </w:r>
      <w:r w:rsidR="00B76695" w:rsidRPr="00843645">
        <w:rPr>
          <w:u w:val="single"/>
        </w:rPr>
        <w:t xml:space="preserve">a que se solicite atuar como </w:t>
      </w:r>
      <w:r w:rsidR="00B76695" w:rsidRPr="00843645">
        <w:rPr>
          <w:i/>
          <w:u w:val="single"/>
        </w:rPr>
        <w:t>amicus curiae</w:t>
      </w:r>
      <w:r w:rsidR="004A32B5" w:rsidRPr="00843645">
        <w:rPr>
          <w:u w:val="single"/>
        </w:rPr>
        <w:t xml:space="preserve"> e prazo para manifestação</w:t>
      </w:r>
    </w:p>
    <w:p w:rsidR="00B76695" w:rsidRDefault="00C031C8" w:rsidP="0058173D">
      <w:r>
        <w:t xml:space="preserve">Na previsão legal do </w:t>
      </w:r>
      <w:r>
        <w:rPr>
          <w:i/>
        </w:rPr>
        <w:t>amicus curiae</w:t>
      </w:r>
      <w:r>
        <w:t xml:space="preserve"> (art. 7º, § 2º, Lei nº 9.868/99), faz-se menção ao prazo estabelecido no § 1º do mesmo artigo, o qual foi vetado, e que, por sua vez, fazia menção ao prazo de 30 (trinta) dias previsto no artigo 6º, parágrafo único, da mesma lei.</w:t>
      </w:r>
      <w:r w:rsidR="000B56E3">
        <w:t xml:space="preserve"> </w:t>
      </w:r>
      <w:r w:rsidR="00CE7155">
        <w:t>N</w:t>
      </w:r>
      <w:r w:rsidR="000B56E3">
        <w:t xml:space="preserve">ão se deve confundir </w:t>
      </w:r>
      <w:r w:rsidR="00635B64">
        <w:t>tal</w:t>
      </w:r>
      <w:r w:rsidR="000B56E3">
        <w:t xml:space="preserve"> prazo com o momento processual próprio para que se solicite atuar como amigo da corte.</w:t>
      </w:r>
      <w:r w:rsidR="008E64EA">
        <w:t xml:space="preserve"> Os</w:t>
      </w:r>
      <w:r w:rsidR="007F097C">
        <w:t xml:space="preserve"> 30 (trinta) dias consiste</w:t>
      </w:r>
      <w:r w:rsidR="008E64EA">
        <w:t>m</w:t>
      </w:r>
      <w:r w:rsidR="007F097C">
        <w:t xml:space="preserve"> no prazo para</w:t>
      </w:r>
      <w:r w:rsidR="0077003C">
        <w:t xml:space="preserve"> sua</w:t>
      </w:r>
      <w:r w:rsidR="007F097C">
        <w:t xml:space="preserve"> </w:t>
      </w:r>
      <w:r w:rsidR="007F097C" w:rsidRPr="007239AE">
        <w:rPr>
          <w:b/>
        </w:rPr>
        <w:t>manifestação</w:t>
      </w:r>
      <w:r w:rsidR="00893F01">
        <w:t xml:space="preserve"> do </w:t>
      </w:r>
      <w:r w:rsidR="00893F01">
        <w:rPr>
          <w:i/>
        </w:rPr>
        <w:t>amicus curiae</w:t>
      </w:r>
      <w:r w:rsidR="0077003C">
        <w:t>,</w:t>
      </w:r>
      <w:r w:rsidR="008E64EA">
        <w:t xml:space="preserve"> os quais s</w:t>
      </w:r>
      <w:r w:rsidR="00767DE6">
        <w:t>ó podem ser</w:t>
      </w:r>
      <w:r w:rsidR="0077003C">
        <w:t xml:space="preserve"> contados </w:t>
      </w:r>
      <w:r w:rsidR="00C32D7B">
        <w:t>após publicação do despacho favorável do relator</w:t>
      </w:r>
      <w:r w:rsidR="008D49B5">
        <w:t>.</w:t>
      </w:r>
    </w:p>
    <w:p w:rsidR="00432F9B" w:rsidRDefault="00327552" w:rsidP="0058173D">
      <w:r>
        <w:t>Vale ressaltar que, n</w:t>
      </w:r>
      <w:r w:rsidR="00432F9B">
        <w:t>ão obstante a previsão legal desse prazo de 30 dias, o STF</w:t>
      </w:r>
      <w:r w:rsidR="00432F9B">
        <w:rPr>
          <w:rStyle w:val="Refdenotaderodap"/>
        </w:rPr>
        <w:footnoteReference w:id="15"/>
      </w:r>
      <w:r w:rsidR="00432F9B">
        <w:t xml:space="preserve"> já admitiu manifestação posterior a ele, isto é, ainda que já transcorrido</w:t>
      </w:r>
      <w:r>
        <w:t>, desde que antes do julgamento</w:t>
      </w:r>
      <w:r w:rsidR="00432F9B">
        <w:t>.</w:t>
      </w:r>
      <w:r w:rsidR="003443BC">
        <w:rPr>
          <w:rStyle w:val="Refdenotaderodap"/>
        </w:rPr>
        <w:footnoteReference w:id="16"/>
      </w:r>
    </w:p>
    <w:p w:rsidR="001D6328" w:rsidRDefault="001D6328" w:rsidP="00706849">
      <w:pPr>
        <w:spacing w:line="240" w:lineRule="auto"/>
        <w:ind w:left="2268" w:firstLine="0"/>
        <w:rPr>
          <w:sz w:val="20"/>
          <w:szCs w:val="20"/>
        </w:rPr>
      </w:pPr>
      <w:r w:rsidRPr="00706849">
        <w:rPr>
          <w:sz w:val="20"/>
          <w:szCs w:val="20"/>
        </w:rPr>
        <w:t xml:space="preserve">Pensamos, portanto, que nada impede transpor à hipótese o prazo de 30 dias previsto no art. 6º, desde que, contudo, o </w:t>
      </w:r>
      <w:r w:rsidRPr="00706849">
        <w:rPr>
          <w:i/>
          <w:sz w:val="20"/>
          <w:szCs w:val="20"/>
        </w:rPr>
        <w:t>dies a quo</w:t>
      </w:r>
      <w:r w:rsidRPr="00706849">
        <w:rPr>
          <w:sz w:val="20"/>
          <w:szCs w:val="20"/>
        </w:rPr>
        <w:t xml:space="preserve"> seja o do deferimento do pedido de manifestação do </w:t>
      </w:r>
      <w:r w:rsidRPr="00706849">
        <w:rPr>
          <w:i/>
          <w:sz w:val="20"/>
          <w:szCs w:val="20"/>
        </w:rPr>
        <w:t>amicus curiae</w:t>
      </w:r>
      <w:r w:rsidRPr="00706849">
        <w:rPr>
          <w:sz w:val="20"/>
          <w:szCs w:val="20"/>
        </w:rPr>
        <w:t>.</w:t>
      </w:r>
    </w:p>
    <w:p w:rsidR="00706849" w:rsidRPr="00706849" w:rsidRDefault="00706849" w:rsidP="00706849">
      <w:pPr>
        <w:spacing w:line="240" w:lineRule="auto"/>
        <w:ind w:left="2268" w:firstLine="0"/>
        <w:rPr>
          <w:sz w:val="20"/>
          <w:szCs w:val="20"/>
        </w:rPr>
      </w:pPr>
    </w:p>
    <w:p w:rsidR="001D6328" w:rsidRDefault="001D6328" w:rsidP="00706849">
      <w:pPr>
        <w:spacing w:line="240" w:lineRule="auto"/>
        <w:ind w:left="2268" w:firstLine="0"/>
        <w:rPr>
          <w:sz w:val="20"/>
          <w:szCs w:val="20"/>
        </w:rPr>
      </w:pPr>
      <w:r w:rsidRPr="00706849">
        <w:rPr>
          <w:sz w:val="20"/>
          <w:szCs w:val="20"/>
        </w:rPr>
        <w:t>Nada obsta, ademais, que o STF</w:t>
      </w:r>
      <w:r w:rsidR="00706849" w:rsidRPr="00706849">
        <w:rPr>
          <w:sz w:val="20"/>
          <w:szCs w:val="20"/>
        </w:rPr>
        <w:t xml:space="preserve"> adote outro prazo para manifestação, mesmo menor, haja vista o silêncio da lei. O que não se pode admitir é que o veto ao § 1º imponha solução que torne ineficaz o § 2º do art. 7º, esvaziando quase que completamente seu conteúdo.</w:t>
      </w:r>
      <w:r w:rsidR="00FA648C">
        <w:rPr>
          <w:rStyle w:val="Refdenotaderodap"/>
          <w:sz w:val="20"/>
          <w:szCs w:val="20"/>
        </w:rPr>
        <w:footnoteReference w:id="17"/>
      </w:r>
    </w:p>
    <w:p w:rsidR="00706849" w:rsidRPr="00706849" w:rsidRDefault="00706849" w:rsidP="00706849">
      <w:pPr>
        <w:spacing w:line="240" w:lineRule="auto"/>
        <w:ind w:left="2268" w:firstLine="0"/>
        <w:rPr>
          <w:sz w:val="20"/>
          <w:szCs w:val="20"/>
        </w:rPr>
      </w:pPr>
    </w:p>
    <w:p w:rsidR="001E23B6" w:rsidRDefault="001D6328" w:rsidP="0058173D">
      <w:r>
        <w:t xml:space="preserve">Quanto ao momento processual, prevalece o entendimento que este pode ser a qualquer tempo, desde que antes do julgamento. Valendo-se </w:t>
      </w:r>
      <w:r w:rsidR="00117F7D">
        <w:t>de Edgard Silveira Bueno Filho</w:t>
      </w:r>
      <w:r w:rsidR="00117F7D">
        <w:rPr>
          <w:rStyle w:val="Refdenotaderodap"/>
        </w:rPr>
        <w:footnoteReference w:id="18"/>
      </w:r>
      <w:r w:rsidR="00117F7D">
        <w:t>:</w:t>
      </w:r>
    </w:p>
    <w:p w:rsidR="00EE01E4" w:rsidRDefault="00EE01E4" w:rsidP="00EE01E4">
      <w:pPr>
        <w:spacing w:line="240" w:lineRule="auto"/>
        <w:ind w:left="2268" w:firstLine="0"/>
        <w:rPr>
          <w:sz w:val="20"/>
          <w:szCs w:val="20"/>
        </w:rPr>
      </w:pPr>
      <w:r w:rsidRPr="00EE01E4">
        <w:rPr>
          <w:sz w:val="20"/>
          <w:szCs w:val="20"/>
        </w:rPr>
        <w:t xml:space="preserve">[...] a intervenção do </w:t>
      </w:r>
      <w:r w:rsidRPr="00EE01E4">
        <w:rPr>
          <w:i/>
          <w:sz w:val="20"/>
          <w:szCs w:val="20"/>
        </w:rPr>
        <w:t>amicus curiae</w:t>
      </w:r>
      <w:r w:rsidRPr="00EE01E4">
        <w:rPr>
          <w:sz w:val="20"/>
          <w:szCs w:val="20"/>
        </w:rPr>
        <w:t xml:space="preserve"> pode se dar a qualquer tempo, antes do julgamento da ação. É que tal como na assistência o </w:t>
      </w:r>
      <w:r w:rsidRPr="00EE01E4">
        <w:rPr>
          <w:i/>
          <w:sz w:val="20"/>
          <w:szCs w:val="20"/>
        </w:rPr>
        <w:t>amicus curiae</w:t>
      </w:r>
      <w:r w:rsidRPr="00EE01E4">
        <w:rPr>
          <w:sz w:val="20"/>
          <w:szCs w:val="20"/>
        </w:rPr>
        <w:t xml:space="preserve"> pegará o </w:t>
      </w:r>
      <w:r w:rsidRPr="00EE01E4">
        <w:rPr>
          <w:sz w:val="20"/>
          <w:szCs w:val="20"/>
        </w:rPr>
        <w:lastRenderedPageBreak/>
        <w:t>processo no estado. Desse modo, se o julgamento já tiver se iniciado com a leitura do relatório, não poderá promover a sustentação oral. Entretanto, será admitida a entrega de m</w:t>
      </w:r>
      <w:r w:rsidR="0021103B">
        <w:rPr>
          <w:sz w:val="20"/>
          <w:szCs w:val="20"/>
        </w:rPr>
        <w:t>emoriais aos demais julgadores.</w:t>
      </w:r>
    </w:p>
    <w:p w:rsidR="00B96EF7" w:rsidRPr="00EE01E4" w:rsidRDefault="00B96EF7" w:rsidP="00EE01E4">
      <w:pPr>
        <w:spacing w:line="240" w:lineRule="auto"/>
        <w:ind w:left="2268" w:firstLine="0"/>
        <w:rPr>
          <w:sz w:val="20"/>
          <w:szCs w:val="20"/>
        </w:rPr>
      </w:pPr>
    </w:p>
    <w:p w:rsidR="00B96EF7" w:rsidRPr="00B96EF7" w:rsidRDefault="001B531E" w:rsidP="00B96EF7">
      <w:pPr>
        <w:rPr>
          <w:szCs w:val="24"/>
        </w:rPr>
      </w:pPr>
      <w:r>
        <w:rPr>
          <w:szCs w:val="24"/>
        </w:rPr>
        <w:t>Em suam, quanto ao momento processual e prazo para manifestação, tem-se o seguinte:</w:t>
      </w:r>
    </w:p>
    <w:p w:rsidR="0010115E" w:rsidRDefault="0010115E" w:rsidP="0010115E">
      <w:pPr>
        <w:spacing w:line="240" w:lineRule="auto"/>
        <w:ind w:left="2268" w:firstLine="0"/>
        <w:rPr>
          <w:sz w:val="20"/>
          <w:szCs w:val="20"/>
        </w:rPr>
      </w:pPr>
      <w:r w:rsidRPr="0010115E">
        <w:rPr>
          <w:sz w:val="20"/>
          <w:szCs w:val="20"/>
        </w:rPr>
        <w:t xml:space="preserve">Dessa forma, a </w:t>
      </w:r>
      <w:r w:rsidRPr="0010115E">
        <w:rPr>
          <w:i/>
          <w:sz w:val="20"/>
          <w:szCs w:val="20"/>
        </w:rPr>
        <w:t>oportunidade processual</w:t>
      </w:r>
      <w:r w:rsidRPr="0010115E">
        <w:rPr>
          <w:sz w:val="20"/>
          <w:szCs w:val="20"/>
        </w:rPr>
        <w:t xml:space="preserve"> para a admissão do </w:t>
      </w:r>
      <w:r w:rsidRPr="0010115E">
        <w:rPr>
          <w:i/>
          <w:sz w:val="20"/>
          <w:szCs w:val="20"/>
        </w:rPr>
        <w:t>amici curiae</w:t>
      </w:r>
      <w:r w:rsidRPr="0010115E">
        <w:rPr>
          <w:sz w:val="20"/>
          <w:szCs w:val="20"/>
        </w:rPr>
        <w:t xml:space="preserve"> nos termos do art. 7º, § 2º, não se exaure com o término do prazo para as autoridades prestarem informações (art. 6º, parágrafo único). Decorre da sistemática da lei que o </w:t>
      </w:r>
      <w:r w:rsidRPr="0010115E">
        <w:rPr>
          <w:i/>
          <w:sz w:val="20"/>
          <w:szCs w:val="20"/>
        </w:rPr>
        <w:t>amicus curiae</w:t>
      </w:r>
      <w:r w:rsidRPr="0010115E">
        <w:rPr>
          <w:sz w:val="20"/>
          <w:szCs w:val="20"/>
        </w:rPr>
        <w:t xml:space="preserve"> poderá ser admitido a qualquer tempo, antes de iniciado o julgamento final da ação. O prazo a que se refere o § 2º do art. 7º não é para a definição do </w:t>
      </w:r>
      <w:r w:rsidRPr="0010115E">
        <w:rPr>
          <w:i/>
          <w:sz w:val="20"/>
          <w:szCs w:val="20"/>
        </w:rPr>
        <w:t>momento processual</w:t>
      </w:r>
      <w:r w:rsidRPr="0010115E">
        <w:rPr>
          <w:sz w:val="20"/>
          <w:szCs w:val="20"/>
        </w:rPr>
        <w:t xml:space="preserve"> da admissão do </w:t>
      </w:r>
      <w:r w:rsidRPr="0010115E">
        <w:rPr>
          <w:i/>
          <w:sz w:val="20"/>
          <w:szCs w:val="20"/>
        </w:rPr>
        <w:t>amicus curiae</w:t>
      </w:r>
      <w:r w:rsidRPr="0010115E">
        <w:rPr>
          <w:sz w:val="20"/>
          <w:szCs w:val="20"/>
        </w:rPr>
        <w:t>, mas para a apresentação da sua manifestação escrita a partir da data da decisão positiva do relator.</w:t>
      </w:r>
      <w:r w:rsidR="006F73C3">
        <w:rPr>
          <w:rStyle w:val="Refdenotaderodap"/>
          <w:sz w:val="20"/>
          <w:szCs w:val="20"/>
        </w:rPr>
        <w:footnoteReference w:id="19"/>
      </w:r>
    </w:p>
    <w:p w:rsidR="0010115E" w:rsidRPr="0010115E" w:rsidRDefault="0010115E" w:rsidP="0010115E">
      <w:pPr>
        <w:spacing w:line="240" w:lineRule="auto"/>
        <w:ind w:left="2268" w:firstLine="0"/>
        <w:rPr>
          <w:sz w:val="20"/>
          <w:szCs w:val="20"/>
        </w:rPr>
      </w:pPr>
    </w:p>
    <w:p w:rsidR="0058173D" w:rsidRPr="00465E27" w:rsidRDefault="00465E27" w:rsidP="00465E27">
      <w:pPr>
        <w:ind w:firstLine="0"/>
        <w:rPr>
          <w:b/>
        </w:rPr>
      </w:pPr>
      <w:r>
        <w:rPr>
          <w:b/>
        </w:rPr>
        <w:t>1.3 Requisitos</w:t>
      </w:r>
    </w:p>
    <w:p w:rsidR="0058173D" w:rsidRDefault="00E37EA4" w:rsidP="0058173D">
      <w:r>
        <w:t xml:space="preserve">Para que se atue como </w:t>
      </w:r>
      <w:r>
        <w:rPr>
          <w:i/>
        </w:rPr>
        <w:t>amicus curiae</w:t>
      </w:r>
      <w:r>
        <w:t>, faz-se necessário</w:t>
      </w:r>
      <w:r w:rsidR="00376423">
        <w:t>, conforme estabelece</w:t>
      </w:r>
      <w:r w:rsidR="0025019A">
        <w:t xml:space="preserve"> o</w:t>
      </w:r>
      <w:r w:rsidR="00376423">
        <w:t xml:space="preserve"> próprio</w:t>
      </w:r>
      <w:r w:rsidR="0025019A">
        <w:t xml:space="preserve"> § 2º do art. 7º da Lei 9.868/99,</w:t>
      </w:r>
      <w:r>
        <w:t xml:space="preserve"> o preenchimento de </w:t>
      </w:r>
      <w:r w:rsidR="00843645">
        <w:t>dois</w:t>
      </w:r>
      <w:r>
        <w:t xml:space="preserve"> requisitos, a relevância da matéria e a representatividade dos postulantes</w:t>
      </w:r>
      <w:r w:rsidR="00843645">
        <w:t>.</w:t>
      </w:r>
    </w:p>
    <w:p w:rsidR="00843645" w:rsidRPr="00843645" w:rsidRDefault="00843645" w:rsidP="0058173D">
      <w:pPr>
        <w:rPr>
          <w:u w:val="single"/>
        </w:rPr>
      </w:pPr>
      <w:r w:rsidRPr="00843645">
        <w:rPr>
          <w:u w:val="single"/>
        </w:rPr>
        <w:t>a) Relevância da matéria</w:t>
      </w:r>
    </w:p>
    <w:p w:rsidR="00E37EA4" w:rsidRDefault="00335CBE" w:rsidP="0058173D">
      <w:r>
        <w:t xml:space="preserve">Quando da leitura deste requisito, sem maior esclarecimento, parece redundante requerer que a matéria </w:t>
      </w:r>
      <w:r w:rsidR="0095711F">
        <w:t>tenha relevância. Em se tratando de</w:t>
      </w:r>
      <w:r w:rsidR="00250982">
        <w:t xml:space="preserve"> processo constitucional, tem-se o julgamento acerca da constitucionalidade ou inconstitucionalidade de determinada norma</w:t>
      </w:r>
      <w:r w:rsidR="0095711F">
        <w:t>,</w:t>
      </w:r>
      <w:r w:rsidR="00250982">
        <w:t xml:space="preserve"> </w:t>
      </w:r>
      <w:r w:rsidR="00EE53C4">
        <w:t>fato</w:t>
      </w:r>
      <w:r w:rsidR="00250982">
        <w:t xml:space="preserve"> </w:t>
      </w:r>
      <w:r w:rsidR="0095711F">
        <w:t xml:space="preserve">que </w:t>
      </w:r>
      <w:r w:rsidR="00250982">
        <w:t>influ</w:t>
      </w:r>
      <w:r w:rsidR="0095711F">
        <w:t>encia</w:t>
      </w:r>
      <w:r w:rsidR="00250982">
        <w:t xml:space="preserve"> uma </w:t>
      </w:r>
      <w:r w:rsidR="0052071D">
        <w:t>considerável</w:t>
      </w:r>
      <w:r w:rsidR="00250982">
        <w:t xml:space="preserve"> gama de pessoas</w:t>
      </w:r>
      <w:r w:rsidR="00EE53C4">
        <w:t xml:space="preserve"> e relações sócias e jurídicas</w:t>
      </w:r>
      <w:r w:rsidR="00250982">
        <w:t xml:space="preserve"> e que</w:t>
      </w:r>
      <w:r w:rsidR="00675826">
        <w:t>,</w:t>
      </w:r>
      <w:r w:rsidR="00250982">
        <w:t xml:space="preserve"> sendo assim, por si só, sempre </w:t>
      </w:r>
      <w:r w:rsidR="00384035">
        <w:t>é</w:t>
      </w:r>
      <w:r w:rsidR="00250982">
        <w:t xml:space="preserve"> relevante.</w:t>
      </w:r>
    </w:p>
    <w:p w:rsidR="000A5B79" w:rsidRDefault="00977A3B" w:rsidP="0058173D">
      <w:r>
        <w:t>Todavia, este requisit</w:t>
      </w:r>
      <w:r w:rsidR="00247EDA">
        <w:t xml:space="preserve">o implica não só na análise da relevância da matéria a ser tratada, mas também da matéria a ser apresentada pelo amigo da corte, </w:t>
      </w:r>
      <w:r w:rsidR="00BA34C2">
        <w:t>entendendo</w:t>
      </w:r>
      <w:r w:rsidR="00247EDA">
        <w:t>-se por matéria, neste último caso, como “informações, conhecimentos, elementos</w:t>
      </w:r>
      <w:r w:rsidR="009E7653">
        <w:t>, fatos</w:t>
      </w:r>
      <w:r w:rsidR="00E8582C">
        <w:t xml:space="preserve"> e outras coisas do gênero</w:t>
      </w:r>
      <w:r w:rsidR="00247EDA">
        <w:t>”</w:t>
      </w:r>
      <w:r w:rsidR="0005103A">
        <w:t>.</w:t>
      </w:r>
      <w:r w:rsidR="007F1D84">
        <w:t xml:space="preserve"> Valendo-se de Cássio Scarpinella Bueno</w:t>
      </w:r>
      <w:r w:rsidR="007F1D84">
        <w:rPr>
          <w:rStyle w:val="Refdenotaderodap"/>
        </w:rPr>
        <w:footnoteReference w:id="20"/>
      </w:r>
      <w:r w:rsidR="007F1D84">
        <w:t>, tem-se:</w:t>
      </w:r>
    </w:p>
    <w:p w:rsidR="007F1D84" w:rsidRPr="00A41F70" w:rsidRDefault="007F1D84" w:rsidP="00A41F70">
      <w:pPr>
        <w:spacing w:line="240" w:lineRule="auto"/>
        <w:ind w:left="2268" w:firstLine="0"/>
        <w:rPr>
          <w:sz w:val="20"/>
          <w:szCs w:val="20"/>
        </w:rPr>
      </w:pPr>
      <w:r w:rsidRPr="00A41F70">
        <w:rPr>
          <w:sz w:val="20"/>
          <w:szCs w:val="20"/>
        </w:rPr>
        <w:t>Mais do que isso, somos do entendimento de que por “relevância da matéria” também deve ser entendida a necessidade concreta sentida pelo relator de que outros elementos sejam trazidos aos autos para fins de formação de seu convencimento. [...]</w:t>
      </w:r>
    </w:p>
    <w:p w:rsidR="00A41F70" w:rsidRDefault="00A41F70" w:rsidP="00A41F70">
      <w:pPr>
        <w:spacing w:line="240" w:lineRule="auto"/>
        <w:ind w:left="2268" w:firstLine="0"/>
        <w:rPr>
          <w:sz w:val="20"/>
          <w:szCs w:val="20"/>
        </w:rPr>
      </w:pPr>
    </w:p>
    <w:p w:rsidR="007F1D84" w:rsidRDefault="007F1D84" w:rsidP="00A41F70">
      <w:pPr>
        <w:spacing w:line="240" w:lineRule="auto"/>
        <w:ind w:left="2268" w:firstLine="0"/>
        <w:rPr>
          <w:sz w:val="20"/>
          <w:szCs w:val="20"/>
        </w:rPr>
      </w:pPr>
      <w:r w:rsidRPr="00A41F70">
        <w:rPr>
          <w:sz w:val="20"/>
          <w:szCs w:val="20"/>
        </w:rPr>
        <w:t>O que é importante para seu preenchimento, acreditamos é que a “relevância” seja indicativa da necessidade ou, quando menos, da conveniência de um diálogo entre a norma questionada e os valores dispersos pela sociedade civil ou, até mesmo, com outros entes governamentais.</w:t>
      </w:r>
    </w:p>
    <w:p w:rsidR="00B836D2" w:rsidRPr="00A41F70" w:rsidRDefault="00B836D2" w:rsidP="00A41F70">
      <w:pPr>
        <w:spacing w:line="240" w:lineRule="auto"/>
        <w:ind w:left="2268" w:firstLine="0"/>
        <w:rPr>
          <w:sz w:val="20"/>
          <w:szCs w:val="20"/>
        </w:rPr>
      </w:pPr>
    </w:p>
    <w:p w:rsidR="007F1D84" w:rsidRDefault="00B836D2" w:rsidP="0058173D">
      <w:r>
        <w:t xml:space="preserve">Há ainda quem afirme que essa análise deve ser feita considerando a relação entre a atividade daquele quem almeja ser </w:t>
      </w:r>
      <w:r>
        <w:rPr>
          <w:i/>
        </w:rPr>
        <w:t>amicus curiae</w:t>
      </w:r>
      <w:r>
        <w:t xml:space="preserve"> e a matéria objeto da ação.</w:t>
      </w:r>
    </w:p>
    <w:p w:rsidR="00B836D2" w:rsidRDefault="00B836D2" w:rsidP="0052071D">
      <w:pPr>
        <w:spacing w:line="240" w:lineRule="auto"/>
        <w:ind w:left="2268" w:firstLine="0"/>
        <w:rPr>
          <w:sz w:val="20"/>
          <w:szCs w:val="20"/>
        </w:rPr>
      </w:pPr>
      <w:r w:rsidRPr="0052071D">
        <w:rPr>
          <w:sz w:val="20"/>
          <w:szCs w:val="20"/>
        </w:rPr>
        <w:t xml:space="preserve">Temos para nós que por relevância da matéria o legislador quis que o postulante demonstrasse a relação de relevância entre a matéria discutida e a atividade perseguida pela instituição. Primeiro, porque, se o processo está em andamento é </w:t>
      </w:r>
      <w:r w:rsidRPr="0052071D">
        <w:rPr>
          <w:sz w:val="20"/>
          <w:szCs w:val="20"/>
        </w:rPr>
        <w:lastRenderedPageBreak/>
        <w:t>porque é relevante a matéria. Com efeito, não se pode imaginar um processo de controle de constitucion</w:t>
      </w:r>
      <w:r w:rsidR="0052071D" w:rsidRPr="0052071D">
        <w:rPr>
          <w:sz w:val="20"/>
          <w:szCs w:val="20"/>
        </w:rPr>
        <w:t>alidade de matéria irrelevante.</w:t>
      </w:r>
      <w:r w:rsidR="0052071D">
        <w:rPr>
          <w:rStyle w:val="Refdenotaderodap"/>
          <w:sz w:val="20"/>
          <w:szCs w:val="20"/>
        </w:rPr>
        <w:footnoteReference w:id="21"/>
      </w:r>
    </w:p>
    <w:p w:rsidR="007F1D84" w:rsidRDefault="00AA369F" w:rsidP="0058173D">
      <w:r>
        <w:t>Binenbojm</w:t>
      </w:r>
      <w:r>
        <w:rPr>
          <w:rStyle w:val="Refdenotaderodap"/>
        </w:rPr>
        <w:footnoteReference w:id="22"/>
      </w:r>
      <w:r>
        <w:t>, por sua vez, quando d</w:t>
      </w:r>
      <w:r w:rsidR="00413621">
        <w:t>o estudo</w:t>
      </w:r>
      <w:r w:rsidR="00AC2F6B">
        <w:t xml:space="preserve"> desse requisito</w:t>
      </w:r>
      <w:r>
        <w:t xml:space="preserve">, também trás </w:t>
      </w:r>
      <w:r w:rsidR="00AC2F6B">
        <w:t>outra</w:t>
      </w:r>
      <w:r>
        <w:t xml:space="preserve"> visão</w:t>
      </w:r>
      <w:r w:rsidR="00AC2F6B">
        <w:t>,</w:t>
      </w:r>
      <w:r w:rsidR="00BD3EE0">
        <w:t xml:space="preserve"> apontando como parâmetro a</w:t>
      </w:r>
      <w:r>
        <w:t xml:space="preserve"> magnitude dos efeitos. Afirma ele:</w:t>
      </w:r>
    </w:p>
    <w:p w:rsidR="00AA369F" w:rsidRDefault="00AA369F" w:rsidP="00F60AC1">
      <w:pPr>
        <w:spacing w:line="240" w:lineRule="auto"/>
        <w:ind w:left="2268" w:firstLine="0"/>
        <w:rPr>
          <w:sz w:val="20"/>
          <w:szCs w:val="20"/>
        </w:rPr>
      </w:pPr>
      <w:r w:rsidRPr="00F60AC1">
        <w:rPr>
          <w:sz w:val="20"/>
          <w:szCs w:val="20"/>
        </w:rPr>
        <w:t xml:space="preserve">Na análise do binômio </w:t>
      </w:r>
      <w:r w:rsidRPr="00F60AC1">
        <w:rPr>
          <w:b/>
          <w:sz w:val="20"/>
          <w:szCs w:val="20"/>
        </w:rPr>
        <w:t>relevância-representatividade</w:t>
      </w:r>
      <w:r w:rsidRPr="00F60AC1">
        <w:rPr>
          <w:sz w:val="20"/>
          <w:szCs w:val="20"/>
        </w:rPr>
        <w:t>, deverá o relator levar em conta a magnitude dos efeitos da decisão a ser proferida nos setores diretamente afetados ou para a sociedade como um todo, bem como se o órgão ou entidade postulante congrega dentre seus afiliados porção significativa (quantitativa ou qualitativamente) dos membros do(s) grupo(s) social(is) afetado(s).</w:t>
      </w:r>
    </w:p>
    <w:p w:rsidR="00F60AC1" w:rsidRPr="00F60AC1" w:rsidRDefault="00F60AC1" w:rsidP="00F60AC1">
      <w:pPr>
        <w:spacing w:line="240" w:lineRule="auto"/>
        <w:ind w:left="2268" w:firstLine="0"/>
        <w:rPr>
          <w:sz w:val="20"/>
          <w:szCs w:val="20"/>
        </w:rPr>
      </w:pPr>
    </w:p>
    <w:p w:rsidR="007F1D84" w:rsidRDefault="00F60AC1" w:rsidP="0058173D">
      <w:r>
        <w:t xml:space="preserve">O certo é que, </w:t>
      </w:r>
      <w:r w:rsidR="00B57F4E">
        <w:t>independente de quais d</w:t>
      </w:r>
      <w:r w:rsidR="00E01839">
        <w:t>os modos de analisar</w:t>
      </w:r>
      <w:r w:rsidR="00B57F4E">
        <w:t xml:space="preserve"> acima expostos, deve-se atender ao requisito “relevância da matéria”.</w:t>
      </w:r>
      <w:bookmarkStart w:id="0" w:name="_GoBack"/>
      <w:bookmarkEnd w:id="0"/>
    </w:p>
    <w:p w:rsidR="000A5B79" w:rsidRDefault="000A5B79" w:rsidP="0058173D"/>
    <w:p w:rsidR="000A5B79" w:rsidRPr="000A5B79" w:rsidRDefault="000A5B79" w:rsidP="0058173D">
      <w:pPr>
        <w:rPr>
          <w:u w:val="single"/>
        </w:rPr>
      </w:pPr>
      <w:r w:rsidRPr="000A5B79">
        <w:rPr>
          <w:u w:val="single"/>
        </w:rPr>
        <w:t>b) Representatividade dos postulantes</w:t>
      </w:r>
    </w:p>
    <w:p w:rsidR="00843645" w:rsidRPr="009A49C3" w:rsidRDefault="00C34E6A" w:rsidP="0058173D">
      <w:r>
        <w:t xml:space="preserve">O próprio título do requisito já diz muita coisa. Aquele quem postula atuar como </w:t>
      </w:r>
      <w:r>
        <w:rPr>
          <w:i/>
        </w:rPr>
        <w:t>amicus curiae</w:t>
      </w:r>
      <w:r>
        <w:t xml:space="preserve"> deve possuir representatividade, quer dizer</w:t>
      </w:r>
      <w:r w:rsidR="00723619">
        <w:t xml:space="preserve">, </w:t>
      </w:r>
      <w:r w:rsidR="009A49C3">
        <w:t xml:space="preserve">“congregar dentre seus afiliados </w:t>
      </w:r>
      <w:r w:rsidR="009A49C3" w:rsidRPr="00C85D0A">
        <w:rPr>
          <w:b/>
        </w:rPr>
        <w:t>porção significativa (qualitativa ou quantitativamente)</w:t>
      </w:r>
      <w:r w:rsidR="009A49C3">
        <w:t xml:space="preserve"> dos membros do(s) grupo(s) social(is) afetado(s)”</w:t>
      </w:r>
      <w:r w:rsidR="00FE00A6">
        <w:rPr>
          <w:rStyle w:val="Refdenotaderodap"/>
        </w:rPr>
        <w:footnoteReference w:id="23"/>
      </w:r>
      <w:r w:rsidR="00723619">
        <w:t>, conforme se retira da última citação realizada</w:t>
      </w:r>
      <w:r w:rsidR="009A49C3">
        <w:t xml:space="preserve">. </w:t>
      </w:r>
    </w:p>
    <w:p w:rsidR="00D47FF0" w:rsidRDefault="00240543" w:rsidP="0058173D">
      <w:r>
        <w:t>Vale dizer que</w:t>
      </w:r>
      <w:r w:rsidR="009967E8">
        <w:t>, embora a citação acima transcrita traga em seu bojo apenas “órgãos e entidades”, estes não são os únicos quem pode postular atuar como tal</w:t>
      </w:r>
      <w:r>
        <w:t>.</w:t>
      </w:r>
      <w:r w:rsidR="009967E8">
        <w:t xml:space="preserve"> Os legitimados a propor a ação direta de inconstitucionalidade, expostos no artigo 2º da Lei nº 9.868/99, de</w:t>
      </w:r>
      <w:r>
        <w:t xml:space="preserve">sde que não estejam atuando como autores, </w:t>
      </w:r>
      <w:r w:rsidR="009F6350">
        <w:t>assim também podem fazer</w:t>
      </w:r>
      <w:r w:rsidR="00D47FF0">
        <w:t>, conforme leciona Gilmar Mendes e Yves Gandra Martins</w:t>
      </w:r>
      <w:r w:rsidR="00D47FF0">
        <w:rPr>
          <w:rStyle w:val="Refdenotaderodap"/>
        </w:rPr>
        <w:footnoteReference w:id="24"/>
      </w:r>
      <w:r w:rsidR="00D47FF0">
        <w:t>.</w:t>
      </w:r>
    </w:p>
    <w:p w:rsidR="000F586E" w:rsidRDefault="000F586E" w:rsidP="0058173D">
      <w:r>
        <w:t xml:space="preserve">Nelson Nery Jr. Rosa Maria Andrade Nery </w:t>
      </w:r>
      <w:r w:rsidR="00F504A2">
        <w:t>conceitua</w:t>
      </w:r>
      <w:r>
        <w:t>m</w:t>
      </w:r>
      <w:r w:rsidR="00F504A2">
        <w:t xml:space="preserve"> </w:t>
      </w:r>
      <w:r w:rsidR="00FC3F75">
        <w:t>o presente requisito</w:t>
      </w:r>
      <w:r w:rsidR="00C81E02">
        <w:t xml:space="preserve"> de outra forma</w:t>
      </w:r>
      <w:r w:rsidR="00986735">
        <w:t>, inclusive classificando</w:t>
      </w:r>
      <w:r>
        <w:t xml:space="preserve"> o rol de </w:t>
      </w:r>
      <w:r>
        <w:rPr>
          <w:i/>
        </w:rPr>
        <w:t>amici curiae</w:t>
      </w:r>
      <w:r>
        <w:t xml:space="preserve"> de forma mais ampla. Afirmam:</w:t>
      </w:r>
    </w:p>
    <w:p w:rsidR="00843645" w:rsidRDefault="000F586E" w:rsidP="00986735">
      <w:pPr>
        <w:spacing w:line="240" w:lineRule="auto"/>
        <w:ind w:left="2268" w:firstLine="0"/>
        <w:rPr>
          <w:sz w:val="20"/>
          <w:szCs w:val="20"/>
        </w:rPr>
      </w:pPr>
      <w:r w:rsidRPr="00986735">
        <w:rPr>
          <w:sz w:val="20"/>
          <w:szCs w:val="20"/>
        </w:rPr>
        <w:t>O relator, por decisão irrecorrível, pode admitir a manifestação de pessoa física, jurídica</w:t>
      </w:r>
      <w:r w:rsidR="00EA3B7B" w:rsidRPr="00986735">
        <w:rPr>
          <w:sz w:val="20"/>
          <w:szCs w:val="20"/>
        </w:rPr>
        <w:t xml:space="preserve">, professor de direito, associação civil, órgão e entidade, </w:t>
      </w:r>
      <w:r w:rsidR="00EA3B7B" w:rsidRPr="00986735">
        <w:rPr>
          <w:b/>
          <w:sz w:val="20"/>
          <w:szCs w:val="20"/>
        </w:rPr>
        <w:t>desde que tenha respeitabilidade, reconhecimento científico ou representatividade</w:t>
      </w:r>
      <w:r w:rsidR="00EA3B7B" w:rsidRPr="00986735">
        <w:rPr>
          <w:sz w:val="20"/>
          <w:szCs w:val="20"/>
        </w:rPr>
        <w:t xml:space="preserve"> para opinar sobre a matéria objeto da ação direita”</w:t>
      </w:r>
      <w:r w:rsidR="00EA3B7B" w:rsidRPr="00986735">
        <w:rPr>
          <w:rStyle w:val="Refdenotaderodap"/>
          <w:sz w:val="20"/>
          <w:szCs w:val="20"/>
        </w:rPr>
        <w:footnoteReference w:id="25"/>
      </w:r>
      <w:r w:rsidR="00723619" w:rsidRPr="00986735">
        <w:rPr>
          <w:sz w:val="20"/>
          <w:szCs w:val="20"/>
        </w:rPr>
        <w:t>.</w:t>
      </w:r>
    </w:p>
    <w:p w:rsidR="00986735" w:rsidRPr="00986735" w:rsidRDefault="00986735" w:rsidP="00986735">
      <w:pPr>
        <w:spacing w:line="240" w:lineRule="auto"/>
        <w:ind w:left="2268" w:firstLine="0"/>
        <w:rPr>
          <w:sz w:val="20"/>
          <w:szCs w:val="20"/>
        </w:rPr>
      </w:pPr>
    </w:p>
    <w:p w:rsidR="00843645" w:rsidRDefault="00345031" w:rsidP="0058173D">
      <w:r>
        <w:t>Não obstante tais conceitos, vê-se, aqui, o conceito dado por Cássio Scarpinella Bueno como o mais completo.</w:t>
      </w:r>
      <w:r w:rsidR="00734ADC">
        <w:t xml:space="preserve"> Ele abarca a idéia da “finalidade/interesse institucional”.</w:t>
      </w:r>
    </w:p>
    <w:p w:rsidR="00734ADC" w:rsidRDefault="00734ADC" w:rsidP="00734ADC">
      <w:pPr>
        <w:spacing w:line="240" w:lineRule="auto"/>
        <w:ind w:left="2268" w:firstLine="0"/>
        <w:rPr>
          <w:sz w:val="20"/>
          <w:szCs w:val="20"/>
        </w:rPr>
      </w:pPr>
      <w:r w:rsidRPr="00734ADC">
        <w:rPr>
          <w:sz w:val="20"/>
          <w:szCs w:val="20"/>
        </w:rPr>
        <w:t xml:space="preserve">[...] Para nós, terá “representatividade adequada”, toda aquela pessoa, grupo de pessoas ou entidade, de direito público ou de direito privado, que conseguir demonstrar que tem específico </w:t>
      </w:r>
      <w:r w:rsidRPr="00734ADC">
        <w:rPr>
          <w:i/>
          <w:sz w:val="20"/>
          <w:szCs w:val="20"/>
        </w:rPr>
        <w:t>interesse institucional</w:t>
      </w:r>
      <w:r w:rsidRPr="00734ADC">
        <w:rPr>
          <w:sz w:val="20"/>
          <w:szCs w:val="20"/>
        </w:rPr>
        <w:t xml:space="preserve"> na causa e, justamente em função disso, tem condições de contribuir para o debate da matéria, fornecendo elementos ou informações úteis e necessárias para o proferimento de melhor decisão </w:t>
      </w:r>
      <w:r w:rsidRPr="00734ADC">
        <w:rPr>
          <w:sz w:val="20"/>
          <w:szCs w:val="20"/>
        </w:rPr>
        <w:lastRenderedPageBreak/>
        <w:t xml:space="preserve">jurisdicional. Meros interesses corporativos, que dizem respeito apenas à própria entidade que reclama seu ingresso em juízo, não são suficientes para a sua admissão na qualidade de </w:t>
      </w:r>
      <w:r w:rsidRPr="00734ADC">
        <w:rPr>
          <w:i/>
          <w:sz w:val="20"/>
          <w:szCs w:val="20"/>
        </w:rPr>
        <w:t>amicus curiae</w:t>
      </w:r>
      <w:r w:rsidRPr="00734ADC">
        <w:rPr>
          <w:sz w:val="20"/>
          <w:szCs w:val="20"/>
        </w:rPr>
        <w:t>.</w:t>
      </w:r>
    </w:p>
    <w:p w:rsidR="00734ADC" w:rsidRDefault="00734ADC" w:rsidP="00734ADC">
      <w:pPr>
        <w:spacing w:line="240" w:lineRule="auto"/>
        <w:ind w:left="2268" w:firstLine="0"/>
        <w:rPr>
          <w:sz w:val="20"/>
          <w:szCs w:val="20"/>
        </w:rPr>
      </w:pPr>
      <w:r w:rsidRPr="00734ADC">
        <w:rPr>
          <w:sz w:val="20"/>
          <w:szCs w:val="20"/>
        </w:rPr>
        <w:t xml:space="preserve">Com o emprego da expressão “interesse institucional” queremos designar, [...] que o pretendente à intervenção na ação direta de inconstitucionalidade deve ser legítimo representante de um grupo de pessoas e de seus interesses, sem que, contudo, detenha, em nome próprio, nenhum interesse seu, próprio, típico de qualquer interessado no sentido tradicional, individual, do termo. Ele precisa guardar alguma relação com o que está sendo discutido em juízo, mas isso deve ser aferido no plano institucional, de suas finalidades institucionais, e não propriamente dos </w:t>
      </w:r>
      <w:r w:rsidRPr="00734ADC">
        <w:rPr>
          <w:i/>
          <w:sz w:val="20"/>
          <w:szCs w:val="20"/>
        </w:rPr>
        <w:t xml:space="preserve">seus </w:t>
      </w:r>
      <w:r w:rsidRPr="00734ADC">
        <w:rPr>
          <w:sz w:val="20"/>
          <w:szCs w:val="20"/>
        </w:rPr>
        <w:t>interesses próprios no deslinde da ação e das conseqüências de seu julgamento.</w:t>
      </w:r>
      <w:r w:rsidR="00813600">
        <w:rPr>
          <w:rStyle w:val="Refdenotaderodap"/>
          <w:sz w:val="20"/>
          <w:szCs w:val="20"/>
        </w:rPr>
        <w:footnoteReference w:id="26"/>
      </w:r>
    </w:p>
    <w:p w:rsidR="00B70FC1" w:rsidRDefault="00B70FC1" w:rsidP="00734ADC">
      <w:pPr>
        <w:spacing w:line="240" w:lineRule="auto"/>
        <w:ind w:left="2268" w:firstLine="0"/>
        <w:rPr>
          <w:sz w:val="20"/>
          <w:szCs w:val="20"/>
        </w:rPr>
      </w:pPr>
    </w:p>
    <w:p w:rsidR="00843645" w:rsidRDefault="00920C95" w:rsidP="0058173D">
      <w:r>
        <w:t>Enfim</w:t>
      </w:r>
      <w:r w:rsidR="009D072C">
        <w:t xml:space="preserve">, conhecido o instituto do </w:t>
      </w:r>
      <w:r w:rsidR="009D072C">
        <w:rPr>
          <w:i/>
        </w:rPr>
        <w:t>amicus curiae</w:t>
      </w:r>
      <w:r w:rsidR="009D072C">
        <w:t>, adentra-se agora no debate foco do trabalho.</w:t>
      </w:r>
    </w:p>
    <w:p w:rsidR="00920C95" w:rsidRPr="009D072C" w:rsidRDefault="00920C95" w:rsidP="0058173D"/>
    <w:p w:rsidR="0058173D" w:rsidRPr="00D338B0" w:rsidRDefault="00465E27" w:rsidP="00465E27">
      <w:pPr>
        <w:ind w:firstLine="0"/>
        <w:rPr>
          <w:b/>
          <w:smallCaps/>
        </w:rPr>
      </w:pPr>
      <w:r w:rsidRPr="00D338B0">
        <w:rPr>
          <w:b/>
          <w:smallCaps/>
        </w:rPr>
        <w:t xml:space="preserve">2 (Im)possibilidade de o </w:t>
      </w:r>
      <w:r w:rsidRPr="00D338B0">
        <w:rPr>
          <w:b/>
          <w:i/>
          <w:smallCaps/>
        </w:rPr>
        <w:t>amicus curiae</w:t>
      </w:r>
      <w:r w:rsidRPr="00D338B0">
        <w:rPr>
          <w:b/>
          <w:smallCaps/>
        </w:rPr>
        <w:t xml:space="preserve"> recorrer</w:t>
      </w:r>
    </w:p>
    <w:p w:rsidR="00730642" w:rsidRDefault="00E511CF">
      <w:r>
        <w:t>Conforme dito quando da introdução no presente trabalho, quando do</w:t>
      </w:r>
      <w:r w:rsidR="00075FD7">
        <w:t xml:space="preserve"> estudo da Lei n. 9.868/99, nota-se que não há </w:t>
      </w:r>
      <w:r w:rsidR="004C62E4">
        <w:t>alusão</w:t>
      </w:r>
      <w:r w:rsidR="00075FD7">
        <w:t xml:space="preserve"> à recorribilidade de decisões, mas sim à sua irrecorribilidade, a exemplo do artigo 7º, § 2º</w:t>
      </w:r>
      <w:r w:rsidR="00121C28">
        <w:t xml:space="preserve">, que trata do instituto do </w:t>
      </w:r>
      <w:r w:rsidR="00121C28">
        <w:rPr>
          <w:i/>
        </w:rPr>
        <w:t>amicus curiae</w:t>
      </w:r>
      <w:r w:rsidR="00075FD7">
        <w:t xml:space="preserve">, </w:t>
      </w:r>
      <w:r w:rsidR="00B40C0A">
        <w:t>e</w:t>
      </w:r>
      <w:r w:rsidR="00121C28">
        <w:t xml:space="preserve"> do</w:t>
      </w:r>
      <w:r w:rsidR="00B40C0A">
        <w:t xml:space="preserve"> artigo</w:t>
      </w:r>
      <w:r>
        <w:t xml:space="preserve"> 26 da lei, </w:t>
      </w:r>
      <w:r w:rsidR="00075FD7">
        <w:rPr>
          <w:i/>
        </w:rPr>
        <w:t>in verbis</w:t>
      </w:r>
      <w:r w:rsidR="00730642">
        <w:t>:</w:t>
      </w:r>
    </w:p>
    <w:p w:rsidR="00730642" w:rsidRDefault="00730642" w:rsidP="00730642">
      <w:pPr>
        <w:spacing w:line="240" w:lineRule="auto"/>
        <w:ind w:left="2268" w:firstLine="0"/>
        <w:rPr>
          <w:sz w:val="20"/>
          <w:szCs w:val="20"/>
        </w:rPr>
      </w:pPr>
      <w:r w:rsidRPr="00730642">
        <w:rPr>
          <w:sz w:val="20"/>
          <w:szCs w:val="20"/>
        </w:rPr>
        <w:t>Art. 7º Não se admitirá intervenção de terceiros no processo de ação direta de inconstitucionalidade.</w:t>
      </w:r>
    </w:p>
    <w:p w:rsidR="00730642" w:rsidRPr="00730642" w:rsidRDefault="00730642" w:rsidP="00730642">
      <w:pPr>
        <w:spacing w:line="240" w:lineRule="auto"/>
        <w:ind w:left="2268" w:firstLine="0"/>
        <w:rPr>
          <w:sz w:val="20"/>
          <w:szCs w:val="20"/>
        </w:rPr>
      </w:pPr>
    </w:p>
    <w:p w:rsidR="00730642" w:rsidRDefault="00730642" w:rsidP="00730642">
      <w:pPr>
        <w:spacing w:line="240" w:lineRule="auto"/>
        <w:ind w:left="2268" w:firstLine="0"/>
        <w:rPr>
          <w:sz w:val="20"/>
          <w:szCs w:val="20"/>
        </w:rPr>
      </w:pPr>
      <w:r w:rsidRPr="00730642">
        <w:rPr>
          <w:sz w:val="20"/>
          <w:szCs w:val="20"/>
        </w:rPr>
        <w:t>§ 1º (VETADO)</w:t>
      </w:r>
    </w:p>
    <w:p w:rsidR="00730642" w:rsidRPr="00730642" w:rsidRDefault="00730642" w:rsidP="00730642">
      <w:pPr>
        <w:spacing w:line="240" w:lineRule="auto"/>
        <w:ind w:left="2268" w:firstLine="0"/>
        <w:rPr>
          <w:sz w:val="20"/>
          <w:szCs w:val="20"/>
        </w:rPr>
      </w:pPr>
    </w:p>
    <w:p w:rsidR="00730642" w:rsidRDefault="00730642" w:rsidP="00730642">
      <w:pPr>
        <w:spacing w:line="240" w:lineRule="auto"/>
        <w:ind w:left="2268" w:firstLine="0"/>
        <w:rPr>
          <w:sz w:val="20"/>
          <w:szCs w:val="20"/>
        </w:rPr>
      </w:pPr>
      <w:r w:rsidRPr="00730642">
        <w:rPr>
          <w:sz w:val="20"/>
          <w:szCs w:val="20"/>
        </w:rPr>
        <w:t xml:space="preserve">§ 2º O relator, considerando a relevância da matéria e a representatividade dos postulantes, poderá, </w:t>
      </w:r>
      <w:r w:rsidRPr="00730642">
        <w:rPr>
          <w:b/>
          <w:sz w:val="20"/>
          <w:szCs w:val="20"/>
        </w:rPr>
        <w:t>por despacho irrecorrível</w:t>
      </w:r>
      <w:r w:rsidRPr="00730642">
        <w:rPr>
          <w:sz w:val="20"/>
          <w:szCs w:val="20"/>
        </w:rPr>
        <w:t>, admitir, observado o prazo fixado no parágrafo anterior, a manifestação de outros órgãos ou entidades.</w:t>
      </w:r>
    </w:p>
    <w:p w:rsidR="00E511CF" w:rsidRDefault="00E511CF" w:rsidP="00730642">
      <w:pPr>
        <w:spacing w:line="240" w:lineRule="auto"/>
        <w:ind w:left="2268" w:firstLine="0"/>
        <w:rPr>
          <w:sz w:val="20"/>
          <w:szCs w:val="20"/>
        </w:rPr>
      </w:pPr>
    </w:p>
    <w:p w:rsidR="00E511CF" w:rsidRPr="00E511CF" w:rsidRDefault="00E511CF" w:rsidP="00730642">
      <w:pPr>
        <w:spacing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 xml:space="preserve">Art. 26. A decisão que declara a constitucionalidade ou a inconstitucionalidade da lei ou ato normativo em ação direta ou em ação declaratória é </w:t>
      </w:r>
      <w:r>
        <w:rPr>
          <w:b/>
          <w:sz w:val="20"/>
          <w:szCs w:val="20"/>
        </w:rPr>
        <w:t>irrecorrível</w:t>
      </w:r>
      <w:r>
        <w:rPr>
          <w:sz w:val="20"/>
          <w:szCs w:val="20"/>
        </w:rPr>
        <w:t>, ressalvada a interposição de embargos declaratórios, não podendo, igualmente, ser objeto de ação rescisória.</w:t>
      </w:r>
    </w:p>
    <w:p w:rsidR="00F8091F" w:rsidRPr="00730642" w:rsidRDefault="00F8091F" w:rsidP="00730642">
      <w:pPr>
        <w:spacing w:line="240" w:lineRule="auto"/>
        <w:ind w:left="2268" w:firstLine="0"/>
        <w:rPr>
          <w:sz w:val="20"/>
          <w:szCs w:val="20"/>
        </w:rPr>
      </w:pPr>
    </w:p>
    <w:p w:rsidR="00672474" w:rsidRDefault="008B3F4C" w:rsidP="00797EB4">
      <w:r>
        <w:t>Em razão dess</w:t>
      </w:r>
      <w:r w:rsidR="00D85585">
        <w:t>e fato</w:t>
      </w:r>
      <w:r>
        <w:t xml:space="preserve">, parte </w:t>
      </w:r>
      <w:r w:rsidR="007876F6">
        <w:t>da doutrina</w:t>
      </w:r>
      <w:r w:rsidR="00614323">
        <w:t>, como</w:t>
      </w:r>
      <w:r w:rsidR="002F38B7">
        <w:t xml:space="preserve"> Nelson Nery Jr. e Rosa Maria d</w:t>
      </w:r>
      <w:r w:rsidR="00DF0686">
        <w:t>e Andrade Nery, Fredie Didier J</w:t>
      </w:r>
      <w:r w:rsidR="002F38B7">
        <w:t>r</w:t>
      </w:r>
      <w:r w:rsidR="00797EB4">
        <w:rPr>
          <w:rStyle w:val="Refdenotaderodap"/>
        </w:rPr>
        <w:footnoteReference w:id="27"/>
      </w:r>
      <w:r w:rsidR="002F38B7">
        <w:t>. e o próprio STF, diga-se de passagem, em várias decisões (ADI 2581 AgRg/SP, rel. Min. Maurício Corrêa, j. 11.04.2002. DJ 18.04.2002</w:t>
      </w:r>
      <w:r w:rsidR="005D126D">
        <w:t>, p. 12; ADI AgRg 2130/SC, rel. Min. Celso de Mello, j. 03.10.2001, p. 31; ADI 1498/RS, rel. Min. Ilmar Galvão, j. 12.03.2003, DJ 19.03.2003)</w:t>
      </w:r>
      <w:r w:rsidR="002F38B7">
        <w:t xml:space="preserve">, defendem a impossibilidade de o </w:t>
      </w:r>
      <w:r w:rsidR="002F38B7">
        <w:rPr>
          <w:i/>
        </w:rPr>
        <w:t xml:space="preserve">amicus </w:t>
      </w:r>
      <w:r w:rsidR="002F38B7" w:rsidRPr="002F38B7">
        <w:rPr>
          <w:i/>
        </w:rPr>
        <w:t>curiae</w:t>
      </w:r>
      <w:r w:rsidR="002F38B7">
        <w:t xml:space="preserve"> recorrer.</w:t>
      </w:r>
      <w:r w:rsidR="005D126D">
        <w:rPr>
          <w:rStyle w:val="Refdenotaderodap"/>
        </w:rPr>
        <w:footnoteReference w:id="28"/>
      </w:r>
    </w:p>
    <w:p w:rsidR="009D7D59" w:rsidRDefault="005C10C3">
      <w:r>
        <w:lastRenderedPageBreak/>
        <w:t xml:space="preserve">Todavia, outra parte da doutrina </w:t>
      </w:r>
      <w:r w:rsidR="007876F6" w:rsidRPr="002F38B7">
        <w:t>defende</w:t>
      </w:r>
      <w:r w:rsidR="007876F6">
        <w:t xml:space="preserve"> </w:t>
      </w:r>
      <w:r w:rsidR="00192AB8">
        <w:t xml:space="preserve">que, tanto em se tratando de decisão proferida pelo relator como em se tratando de quaisquer decisões, interlocutória ou </w:t>
      </w:r>
      <w:r w:rsidR="009D7D59">
        <w:t>final,</w:t>
      </w:r>
      <w:r w:rsidR="007F5958">
        <w:t xml:space="preserve"> desde que haja prejuízo ao </w:t>
      </w:r>
      <w:r w:rsidR="007F5958">
        <w:rPr>
          <w:i/>
        </w:rPr>
        <w:t>amicus curiae</w:t>
      </w:r>
      <w:r w:rsidR="007F5958">
        <w:t>,</w:t>
      </w:r>
      <w:r w:rsidR="009D7D59">
        <w:t xml:space="preserve"> é sim possível.</w:t>
      </w:r>
    </w:p>
    <w:p w:rsidR="00854FCD" w:rsidRDefault="00854FCD">
      <w:r>
        <w:t xml:space="preserve">O primeiro argumento </w:t>
      </w:r>
      <w:r w:rsidR="004F7ED2">
        <w:t>apresentado por essa parte da doutrina</w:t>
      </w:r>
      <w:r w:rsidR="00A00E21">
        <w:t xml:space="preserve"> consiste na leitura literal do artigo 7º, § 2º. Ora, se nele está determinado que, caso o relator admita a intervenção, esta decisão será irrecorrível, </w:t>
      </w:r>
      <w:r w:rsidR="00A00E21">
        <w:rPr>
          <w:i/>
        </w:rPr>
        <w:t>a contrario sensu</w:t>
      </w:r>
      <w:r w:rsidR="00A00E21">
        <w:t xml:space="preserve">, caso a decisão seja desfavorável, quer dizer, negue ao postulante a intervenção como </w:t>
      </w:r>
      <w:r w:rsidR="00A00E21">
        <w:rPr>
          <w:i/>
        </w:rPr>
        <w:t xml:space="preserve">amicus curiae, </w:t>
      </w:r>
      <w:r w:rsidR="00A00E21">
        <w:t>esta é recorrível, desta ele está legitimado à recorrer.</w:t>
      </w:r>
    </w:p>
    <w:p w:rsidR="0077215B" w:rsidRDefault="0077215B" w:rsidP="00B25A85">
      <w:pPr>
        <w:spacing w:line="240" w:lineRule="auto"/>
        <w:ind w:left="2268" w:firstLine="0"/>
        <w:rPr>
          <w:sz w:val="20"/>
          <w:szCs w:val="20"/>
        </w:rPr>
      </w:pPr>
      <w:r w:rsidRPr="00B25A85">
        <w:rPr>
          <w:sz w:val="20"/>
          <w:szCs w:val="20"/>
        </w:rPr>
        <w:t xml:space="preserve">A previsão da </w:t>
      </w:r>
      <w:r w:rsidRPr="00B25A85">
        <w:rPr>
          <w:i/>
          <w:sz w:val="20"/>
          <w:szCs w:val="20"/>
        </w:rPr>
        <w:t>irrecorribilidade</w:t>
      </w:r>
      <w:r w:rsidRPr="00B25A85">
        <w:rPr>
          <w:sz w:val="20"/>
          <w:szCs w:val="20"/>
        </w:rPr>
        <w:t xml:space="preserve"> da decisão do relator se aplica, por óbvio, àquelas </w:t>
      </w:r>
      <w:r w:rsidRPr="00B25A85">
        <w:rPr>
          <w:b/>
          <w:sz w:val="20"/>
          <w:szCs w:val="20"/>
        </w:rPr>
        <w:t>decisões de conteúdo positivo</w:t>
      </w:r>
      <w:r w:rsidRPr="00B25A85">
        <w:rPr>
          <w:sz w:val="20"/>
          <w:szCs w:val="20"/>
        </w:rPr>
        <w:t>, pois o dispositivo menciona expressamente apenas como “despacho irrecorrível” (</w:t>
      </w:r>
      <w:r w:rsidRPr="00B25A85">
        <w:rPr>
          <w:i/>
          <w:sz w:val="20"/>
          <w:szCs w:val="20"/>
        </w:rPr>
        <w:t>rectius</w:t>
      </w:r>
      <w:r w:rsidRPr="00B25A85">
        <w:rPr>
          <w:sz w:val="20"/>
          <w:szCs w:val="20"/>
        </w:rPr>
        <w:t xml:space="preserve">: trata-se de decisão interlocutória, e não de mero despacho) a decisão que </w:t>
      </w:r>
      <w:r w:rsidRPr="00B25A85">
        <w:rPr>
          <w:i/>
          <w:sz w:val="20"/>
          <w:szCs w:val="20"/>
        </w:rPr>
        <w:t>admite</w:t>
      </w:r>
      <w:r w:rsidRPr="00B25A85">
        <w:rPr>
          <w:sz w:val="20"/>
          <w:szCs w:val="20"/>
        </w:rPr>
        <w:t xml:space="preserve"> a manifestação do </w:t>
      </w:r>
      <w:r w:rsidRPr="00B25A85">
        <w:rPr>
          <w:i/>
          <w:sz w:val="20"/>
          <w:szCs w:val="20"/>
        </w:rPr>
        <w:t>amicus curiae</w:t>
      </w:r>
      <w:r w:rsidRPr="00B25A85">
        <w:rPr>
          <w:sz w:val="20"/>
          <w:szCs w:val="20"/>
        </w:rPr>
        <w:t xml:space="preserve">. As </w:t>
      </w:r>
      <w:r w:rsidRPr="00B25A85">
        <w:rPr>
          <w:b/>
          <w:sz w:val="20"/>
          <w:szCs w:val="20"/>
        </w:rPr>
        <w:t xml:space="preserve">decisões de conteúdo negativo – indeferitórias do ingresso formal do </w:t>
      </w:r>
      <w:r w:rsidRPr="00B25A85">
        <w:rPr>
          <w:b/>
          <w:i/>
          <w:sz w:val="20"/>
          <w:szCs w:val="20"/>
        </w:rPr>
        <w:t>amicus</w:t>
      </w:r>
      <w:r w:rsidRPr="00B25A85">
        <w:rPr>
          <w:b/>
          <w:sz w:val="20"/>
          <w:szCs w:val="20"/>
        </w:rPr>
        <w:t xml:space="preserve"> –</w:t>
      </w:r>
      <w:r w:rsidRPr="00B25A85">
        <w:rPr>
          <w:sz w:val="20"/>
          <w:szCs w:val="20"/>
        </w:rPr>
        <w:t xml:space="preserve"> podem, à evidência, ser impugnadas pelo interessado através do recurso cabível de agravo regimental.</w:t>
      </w:r>
      <w:r w:rsidR="00B25A85">
        <w:rPr>
          <w:rStyle w:val="Refdenotaderodap"/>
          <w:sz w:val="20"/>
          <w:szCs w:val="20"/>
        </w:rPr>
        <w:footnoteReference w:id="29"/>
      </w:r>
    </w:p>
    <w:p w:rsidR="00421C86" w:rsidRPr="00B25A85" w:rsidRDefault="00421C86" w:rsidP="00B25A85">
      <w:pPr>
        <w:spacing w:line="240" w:lineRule="auto"/>
        <w:ind w:left="2268" w:firstLine="0"/>
        <w:rPr>
          <w:sz w:val="20"/>
          <w:szCs w:val="20"/>
        </w:rPr>
      </w:pPr>
    </w:p>
    <w:p w:rsidR="005F7A0C" w:rsidRDefault="00A862A4">
      <w:r>
        <w:t>Tem-se, neste argumento, a “[...] regra elementar de hermenêutica segundo a qual as exceções demandam previsão expressa e devem ser interpretadas restritivamente”</w:t>
      </w:r>
      <w:r w:rsidR="00AD4888">
        <w:rPr>
          <w:rStyle w:val="Refdenotaderodap"/>
        </w:rPr>
        <w:footnoteReference w:id="30"/>
      </w:r>
      <w:r>
        <w:t>.</w:t>
      </w:r>
    </w:p>
    <w:p w:rsidR="007E4E3D" w:rsidRDefault="00FB2519">
      <w:r>
        <w:t>O segundo argumento</w:t>
      </w:r>
      <w:r w:rsidR="00A575BD">
        <w:t xml:space="preserve"> </w:t>
      </w:r>
      <w:r w:rsidR="006B517B">
        <w:t>se baseia na</w:t>
      </w:r>
      <w:r w:rsidR="00A575BD">
        <w:t xml:space="preserve"> </w:t>
      </w:r>
      <w:r w:rsidR="006B517B">
        <w:t>lógica e sistemática processual. Quando do prejuízo causado ao amigo da corte, isto é, caso haja agravo a um suposto direito, este tem o direito de</w:t>
      </w:r>
      <w:r w:rsidR="00E41DEE">
        <w:t xml:space="preserve"> ver tal decisão revista pelo colegiado.</w:t>
      </w:r>
      <w:r w:rsidR="00E41DEE">
        <w:rPr>
          <w:rStyle w:val="Refdenotaderodap"/>
        </w:rPr>
        <w:footnoteReference w:id="31"/>
      </w:r>
      <w:r w:rsidR="001F4182">
        <w:t xml:space="preserve"> Nas palavras de Cássio Scarpinella Bueno</w:t>
      </w:r>
      <w:r w:rsidR="001F4182">
        <w:rPr>
          <w:rStyle w:val="Refdenotaderodap"/>
        </w:rPr>
        <w:footnoteReference w:id="32"/>
      </w:r>
      <w:r w:rsidR="00C252FB">
        <w:t>:</w:t>
      </w:r>
    </w:p>
    <w:p w:rsidR="00C252FB" w:rsidRDefault="00C252FB" w:rsidP="002753C1">
      <w:pPr>
        <w:spacing w:line="240" w:lineRule="auto"/>
        <w:ind w:left="2268" w:firstLine="0"/>
        <w:rPr>
          <w:sz w:val="20"/>
          <w:szCs w:val="20"/>
        </w:rPr>
      </w:pPr>
      <w:r w:rsidRPr="002753C1">
        <w:rPr>
          <w:sz w:val="20"/>
          <w:szCs w:val="20"/>
        </w:rPr>
        <w:t xml:space="preserve">Para nós, o melhor entendimento é aquele que entende ser </w:t>
      </w:r>
      <w:r w:rsidRPr="002753C1">
        <w:rPr>
          <w:i/>
          <w:sz w:val="20"/>
          <w:szCs w:val="20"/>
        </w:rPr>
        <w:t>recorrível</w:t>
      </w:r>
      <w:r w:rsidRPr="002753C1">
        <w:rPr>
          <w:sz w:val="20"/>
          <w:szCs w:val="20"/>
        </w:rPr>
        <w:t xml:space="preserve"> essa decisão, aplicando-se à hipótese a diretriz do </w:t>
      </w:r>
      <w:r w:rsidRPr="002753C1">
        <w:rPr>
          <w:i/>
          <w:sz w:val="20"/>
          <w:szCs w:val="20"/>
        </w:rPr>
        <w:t>sistema</w:t>
      </w:r>
      <w:r w:rsidR="004F7ED2" w:rsidRPr="002753C1">
        <w:rPr>
          <w:i/>
          <w:sz w:val="20"/>
          <w:szCs w:val="20"/>
        </w:rPr>
        <w:t xml:space="preserve"> processual civil</w:t>
      </w:r>
      <w:r w:rsidR="004F7ED2" w:rsidRPr="002753C1">
        <w:rPr>
          <w:sz w:val="20"/>
          <w:szCs w:val="20"/>
        </w:rPr>
        <w:t xml:space="preserve"> de que toda decisão monocrática proferida no âmbito dos tribu</w:t>
      </w:r>
      <w:r w:rsidR="002753C1" w:rsidRPr="002753C1">
        <w:rPr>
          <w:sz w:val="20"/>
          <w:szCs w:val="20"/>
        </w:rPr>
        <w:t>n</w:t>
      </w:r>
      <w:r w:rsidR="004F7ED2" w:rsidRPr="002753C1">
        <w:rPr>
          <w:sz w:val="20"/>
          <w:szCs w:val="20"/>
        </w:rPr>
        <w:t>ais</w:t>
      </w:r>
      <w:r w:rsidR="002753C1" w:rsidRPr="002753C1">
        <w:rPr>
          <w:sz w:val="20"/>
          <w:szCs w:val="20"/>
        </w:rPr>
        <w:t xml:space="preserve"> é recorrível por intermédio do recurso de agravo, aqui na sua modalidade “interna”. E nem poderia ser diferente, considerando o inegável </w:t>
      </w:r>
      <w:r w:rsidR="002753C1" w:rsidRPr="002753C1">
        <w:rPr>
          <w:i/>
          <w:sz w:val="20"/>
          <w:szCs w:val="20"/>
        </w:rPr>
        <w:t>prejuízo</w:t>
      </w:r>
      <w:r w:rsidR="002753C1" w:rsidRPr="002753C1">
        <w:rPr>
          <w:sz w:val="20"/>
          <w:szCs w:val="20"/>
        </w:rPr>
        <w:t xml:space="preserve"> que a decisão que indefere o ingresso do </w:t>
      </w:r>
      <w:r w:rsidR="002753C1" w:rsidRPr="002753C1">
        <w:rPr>
          <w:i/>
          <w:sz w:val="20"/>
          <w:szCs w:val="20"/>
        </w:rPr>
        <w:t>amicus curiae</w:t>
      </w:r>
      <w:r w:rsidR="002753C1" w:rsidRPr="002753C1">
        <w:rPr>
          <w:sz w:val="20"/>
          <w:szCs w:val="20"/>
        </w:rPr>
        <w:t xml:space="preserve"> tem aptidão para lhe causar, revelando-lhe, assim, seu </w:t>
      </w:r>
      <w:r w:rsidR="002753C1" w:rsidRPr="002753C1">
        <w:rPr>
          <w:i/>
          <w:sz w:val="20"/>
          <w:szCs w:val="20"/>
        </w:rPr>
        <w:t>interesse recursal</w:t>
      </w:r>
      <w:r w:rsidR="002753C1" w:rsidRPr="002753C1">
        <w:rPr>
          <w:sz w:val="20"/>
          <w:szCs w:val="20"/>
        </w:rPr>
        <w:t>.</w:t>
      </w:r>
    </w:p>
    <w:p w:rsidR="00C60DDD" w:rsidRPr="002753C1" w:rsidRDefault="00C60DDD" w:rsidP="002753C1">
      <w:pPr>
        <w:spacing w:line="240" w:lineRule="auto"/>
        <w:ind w:left="2268" w:firstLine="0"/>
        <w:rPr>
          <w:sz w:val="20"/>
          <w:szCs w:val="20"/>
        </w:rPr>
      </w:pPr>
    </w:p>
    <w:p w:rsidR="00DD3DB7" w:rsidRDefault="00DD3DB7">
      <w:r>
        <w:t>Fortalecendo tal argumento, porém agora incluindo outras decisões, interlocutória ou final, menciona-se ainda que:</w:t>
      </w:r>
    </w:p>
    <w:p w:rsidR="00DD3DB7" w:rsidRDefault="00DD3DB7" w:rsidP="00DD3DB7">
      <w:pPr>
        <w:spacing w:line="240" w:lineRule="auto"/>
        <w:ind w:left="2268" w:firstLine="0"/>
        <w:rPr>
          <w:sz w:val="20"/>
          <w:szCs w:val="20"/>
        </w:rPr>
      </w:pPr>
      <w:r w:rsidRPr="00DD3DB7">
        <w:rPr>
          <w:sz w:val="20"/>
          <w:szCs w:val="20"/>
        </w:rPr>
        <w:t xml:space="preserve">O art. 499 do Código de Processo Civil assegura legitimidade recursal ao Ministério Público e ao </w:t>
      </w:r>
      <w:r w:rsidRPr="00DD3DB7">
        <w:rPr>
          <w:i/>
          <w:sz w:val="20"/>
          <w:szCs w:val="20"/>
        </w:rPr>
        <w:t>terceiro</w:t>
      </w:r>
      <w:r w:rsidRPr="00DD3DB7">
        <w:rPr>
          <w:sz w:val="20"/>
          <w:szCs w:val="20"/>
        </w:rPr>
        <w:t xml:space="preserve"> prejudicado. Reconhecendo, hoje, a doutrina e a jurisprudência, a natureza jurídica de </w:t>
      </w:r>
      <w:r w:rsidRPr="00DD3DB7">
        <w:rPr>
          <w:b/>
          <w:sz w:val="20"/>
          <w:szCs w:val="20"/>
        </w:rPr>
        <w:t>terceiro especial</w:t>
      </w:r>
      <w:r w:rsidRPr="00DD3DB7">
        <w:rPr>
          <w:sz w:val="20"/>
          <w:szCs w:val="20"/>
        </w:rPr>
        <w:t xml:space="preserve"> ao </w:t>
      </w:r>
      <w:r w:rsidRPr="00DD3DB7">
        <w:rPr>
          <w:i/>
          <w:sz w:val="20"/>
          <w:szCs w:val="20"/>
        </w:rPr>
        <w:t>amicus curiae</w:t>
      </w:r>
      <w:r w:rsidRPr="00DD3DB7">
        <w:rPr>
          <w:sz w:val="20"/>
          <w:szCs w:val="20"/>
        </w:rPr>
        <w:t>, não há como se lhe negar a legitimidade recursal para manifestar sua insurgência contras as decisões que não acolherem seus argumentos.</w:t>
      </w:r>
      <w:r w:rsidR="005D4D2C">
        <w:rPr>
          <w:rStyle w:val="Refdenotaderodap"/>
          <w:sz w:val="20"/>
          <w:szCs w:val="20"/>
        </w:rPr>
        <w:footnoteReference w:id="33"/>
      </w:r>
    </w:p>
    <w:p w:rsidR="00DD3DB7" w:rsidRPr="00DD3DB7" w:rsidRDefault="00DD3DB7" w:rsidP="00DD3DB7">
      <w:pPr>
        <w:spacing w:line="240" w:lineRule="auto"/>
        <w:ind w:left="2268" w:firstLine="0"/>
        <w:rPr>
          <w:sz w:val="20"/>
          <w:szCs w:val="20"/>
        </w:rPr>
      </w:pPr>
    </w:p>
    <w:p w:rsidR="007E4E3D" w:rsidRDefault="0046739D">
      <w:r>
        <w:t xml:space="preserve">O terceiro argumento, por sua vez, tem como fundamento dois princípios basilares da Constituição e para que se tenha o devido processo legal, o contraditório e a ampla </w:t>
      </w:r>
      <w:r>
        <w:lastRenderedPageBreak/>
        <w:t>defesa</w:t>
      </w:r>
      <w:r w:rsidR="001A2EC9">
        <w:rPr>
          <w:rStyle w:val="Refdenotaderodap"/>
        </w:rPr>
        <w:footnoteReference w:id="34"/>
      </w:r>
      <w:r>
        <w:t>.</w:t>
      </w:r>
      <w:r w:rsidR="00AF22EC">
        <w:t xml:space="preserve"> Não seria constitucional, ainda mais em um processo constitucional (o que torna a idéia da impossibilidade recursal </w:t>
      </w:r>
      <w:r w:rsidR="006F6C0E">
        <w:t>irônica), inadmitir</w:t>
      </w:r>
      <w:r w:rsidR="006D0093">
        <w:t xml:space="preserve"> a aplicabilidade de</w:t>
      </w:r>
      <w:r w:rsidR="006F6C0E">
        <w:t xml:space="preserve"> tais princípios e, consequentemente, a referida garantia constitucional</w:t>
      </w:r>
      <w:r w:rsidR="003934E6">
        <w:t xml:space="preserve"> mencionada, além de outras</w:t>
      </w:r>
      <w:r w:rsidR="006F6C0E">
        <w:t>.</w:t>
      </w:r>
    </w:p>
    <w:p w:rsidR="007E4E3D" w:rsidRDefault="007E4E3D"/>
    <w:p w:rsidR="00E53B16" w:rsidRDefault="004D77EB">
      <w:r>
        <w:t>Por fim, mas não menos importante, tem-se o quarto argumento</w:t>
      </w:r>
      <w:r w:rsidR="00E53B16">
        <w:t>. Este</w:t>
      </w:r>
      <w:r w:rsidR="007A19CA">
        <w:t xml:space="preserve"> fortalece</w:t>
      </w:r>
      <w:r w:rsidR="00E53B16">
        <w:t>, que fortalece os demais,</w:t>
      </w:r>
      <w:r w:rsidR="007A19CA">
        <w:t xml:space="preserve"> possui</w:t>
      </w:r>
      <w:r>
        <w:t xml:space="preserve"> como fundamento</w:t>
      </w:r>
      <w:r w:rsidR="00795E81">
        <w:t xml:space="preserve"> algumas das</w:t>
      </w:r>
      <w:r w:rsidR="00B42813">
        <w:t xml:space="preserve"> próprias características</w:t>
      </w:r>
      <w:r>
        <w:t xml:space="preserve"> </w:t>
      </w:r>
      <w:r w:rsidR="00935713">
        <w:t>do instituto vistas anteriormente</w:t>
      </w:r>
      <w:r w:rsidR="00E53B16">
        <w:t>.</w:t>
      </w:r>
    </w:p>
    <w:p w:rsidR="00421C86" w:rsidRDefault="00E53B16" w:rsidP="00E53B16">
      <w:r>
        <w:t xml:space="preserve">Só o fato de o </w:t>
      </w:r>
      <w:r>
        <w:rPr>
          <w:i/>
        </w:rPr>
        <w:t>amicus curiae</w:t>
      </w:r>
      <w:r>
        <w:t xml:space="preserve"> </w:t>
      </w:r>
      <w:r w:rsidR="00EF3C33">
        <w:t>possui</w:t>
      </w:r>
      <w:r>
        <w:t>r</w:t>
      </w:r>
      <w:r w:rsidR="00EF3C33">
        <w:t xml:space="preserve"> como objetivo </w:t>
      </w:r>
      <w:r>
        <w:t>“</w:t>
      </w:r>
      <w:r w:rsidR="00EF3C33">
        <w:t>auxiliar</w:t>
      </w:r>
      <w:r>
        <w:t xml:space="preserve">” – e não buscar proveitos individuais, próprio – a </w:t>
      </w:r>
      <w:r w:rsidR="00EF3C33">
        <w:t>Corte, concedendo-lhe ou lhe lembrando</w:t>
      </w:r>
      <w:r w:rsidR="00814AD3">
        <w:t>, em nome de vários ou de modo relevante,</w:t>
      </w:r>
      <w:r w:rsidR="00EF3C33">
        <w:t xml:space="preserve"> fatos</w:t>
      </w:r>
      <w:r>
        <w:t xml:space="preserve"> e/ou</w:t>
      </w:r>
      <w:r w:rsidR="00EF3C33">
        <w:t xml:space="preserve"> conhecimentos técnicos, jurídicos e/ou sociais</w:t>
      </w:r>
      <w:r w:rsidR="00650A58">
        <w:t>, dentre outras inúmeras coisas, ta</w:t>
      </w:r>
      <w:r w:rsidR="009B542D">
        <w:t>nto que é, na tradução para o português</w:t>
      </w:r>
      <w:r w:rsidR="00BD204E">
        <w:t xml:space="preserve">, </w:t>
      </w:r>
      <w:r w:rsidR="009B542D">
        <w:t>chamado de “amigo”</w:t>
      </w:r>
      <w:r w:rsidR="004D6AC6">
        <w:t xml:space="preserve"> da corte</w:t>
      </w:r>
      <w:r>
        <w:t>, e; possuir como conseqüência o fortalecimento</w:t>
      </w:r>
      <w:r w:rsidR="00EC4D2F">
        <w:t xml:space="preserve"> </w:t>
      </w:r>
      <w:r>
        <w:t>d</w:t>
      </w:r>
      <w:r w:rsidR="00EC4D2F">
        <w:t>a democracia quando d</w:t>
      </w:r>
      <w:r w:rsidR="004D6AC6">
        <w:t>o pro</w:t>
      </w:r>
      <w:r w:rsidR="00605481">
        <w:t>cesso constitucional, possibilitando maior participação neste e não ape</w:t>
      </w:r>
      <w:r>
        <w:t>nas, basicamente, dos Ministros, já bastaria para lhe conceder legitimidade recursal, dando-lhe maiores poderes de atuação. Somado isto com as outras características do instituto, certamente há um forte argumento.</w:t>
      </w:r>
    </w:p>
    <w:p w:rsidR="00421C86" w:rsidRDefault="00421C8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E70946" w:rsidRDefault="00E70946"/>
    <w:p w:rsidR="001B279F" w:rsidRDefault="001B279F" w:rsidP="00B52FB7">
      <w:pPr>
        <w:ind w:firstLine="0"/>
      </w:pPr>
    </w:p>
    <w:p w:rsidR="00B52FB7" w:rsidRDefault="00B52FB7" w:rsidP="00B52FB7">
      <w:pPr>
        <w:ind w:firstLine="0"/>
      </w:pPr>
    </w:p>
    <w:p w:rsidR="001B279F" w:rsidRPr="00730642" w:rsidRDefault="001B279F"/>
    <w:p w:rsidR="007602AB" w:rsidRDefault="00623E53" w:rsidP="00623E53">
      <w:pPr>
        <w:ind w:firstLine="0"/>
        <w:rPr>
          <w:b/>
          <w:smallCaps/>
        </w:rPr>
      </w:pPr>
      <w:r w:rsidRPr="006553BD">
        <w:rPr>
          <w:b/>
          <w:smallCaps/>
        </w:rPr>
        <w:lastRenderedPageBreak/>
        <w:t>Conclusão</w:t>
      </w:r>
    </w:p>
    <w:p w:rsidR="00C8227A" w:rsidRDefault="00E93E2E" w:rsidP="006553BD">
      <w:r>
        <w:t>O</w:t>
      </w:r>
      <w:r w:rsidR="00C8227A">
        <w:t xml:space="preserve"> </w:t>
      </w:r>
      <w:r w:rsidR="00C8227A">
        <w:rPr>
          <w:i/>
        </w:rPr>
        <w:t>amicus curiae</w:t>
      </w:r>
      <w:r w:rsidR="00C8227A">
        <w:t xml:space="preserve"> não é apenas mais um instituto dentre vários. No decorrer do trabalho, mencionou-se</w:t>
      </w:r>
      <w:r w:rsidR="00066448">
        <w:t xml:space="preserve">, </w:t>
      </w:r>
      <w:r w:rsidR="00C8227A">
        <w:t>por diversas vezes</w:t>
      </w:r>
      <w:r w:rsidR="00066448">
        <w:t xml:space="preserve"> e</w:t>
      </w:r>
      <w:r w:rsidR="00066448" w:rsidRPr="00066448">
        <w:t xml:space="preserve"> </w:t>
      </w:r>
      <w:r w:rsidR="00066448">
        <w:t>não por acaso,</w:t>
      </w:r>
      <w:r w:rsidR="00C8227A">
        <w:t xml:space="preserve"> a sua importância</w:t>
      </w:r>
      <w:r w:rsidR="00066448">
        <w:t>, seu papel de d</w:t>
      </w:r>
      <w:r w:rsidR="00C8227A">
        <w:t>emocra</w:t>
      </w:r>
      <w:r w:rsidR="00066448">
        <w:t>tizar</w:t>
      </w:r>
      <w:r w:rsidR="00B4736D">
        <w:t>, de pluralizar</w:t>
      </w:r>
      <w:r w:rsidR="00066448">
        <w:t xml:space="preserve"> e de legitimar</w:t>
      </w:r>
      <w:r w:rsidR="00C8227A">
        <w:t xml:space="preserve"> </w:t>
      </w:r>
      <w:r w:rsidR="00084202">
        <w:t>o processo de controle constitucional. De fat</w:t>
      </w:r>
      <w:r w:rsidR="000C7DC5">
        <w:t>o consiste em um grande aliado à democracia.</w:t>
      </w:r>
      <w:r>
        <w:t xml:space="preserve"> Como dito na Introdução, possui bastante peso em prol desta.</w:t>
      </w:r>
    </w:p>
    <w:p w:rsidR="00F27011" w:rsidRDefault="00F27011" w:rsidP="006553BD">
      <w:r>
        <w:t xml:space="preserve">Quando do julgamento de ADI, ADC e ADPF, via de regra se restringe às visões dos Ministros, os quais, embora com vasto conhecimento e experiência, principalmente jurídica, desconhecem incontáveis fatos, realidades, dentre outros pontos. O </w:t>
      </w:r>
      <w:r>
        <w:rPr>
          <w:i/>
        </w:rPr>
        <w:t>amicus curiae</w:t>
      </w:r>
      <w:r>
        <w:t xml:space="preserve">, como </w:t>
      </w:r>
      <w:r w:rsidR="00065EAE">
        <w:t>lecionado</w:t>
      </w:r>
      <w:r>
        <w:t>, é o amigo da Corte, um colaborador quem está ali representando pessoas, qualitativa ou quantitativamente, trazendo elementos relevantes para que se tenha o melhor julgamento possível de uma matéria também relevante.</w:t>
      </w:r>
    </w:p>
    <w:p w:rsidR="001F6066" w:rsidRDefault="00716875" w:rsidP="006553BD">
      <w:r>
        <w:t xml:space="preserve">Diante destas explanações, pode-se concluir que, caso a impossibilidade recursal prevaleça, estar-se-á dando com uma mão e reavendo com a outra. Quer dizer, estar-se-á, de um lado, concedendo todos os benefícios do </w:t>
      </w:r>
      <w:r>
        <w:rPr>
          <w:i/>
        </w:rPr>
        <w:t>amicus curiae</w:t>
      </w:r>
      <w:r>
        <w:t xml:space="preserve"> </w:t>
      </w:r>
      <w:r w:rsidR="00722A2B">
        <w:t xml:space="preserve">avivados </w:t>
      </w:r>
      <w:r>
        <w:t xml:space="preserve">e, de outro, desconsiderando-os, melhor, invalidando-os ao </w:t>
      </w:r>
      <w:r w:rsidR="00722A2B">
        <w:t xml:space="preserve">por relator e Ministros no papel de </w:t>
      </w:r>
      <w:r w:rsidR="00F0056B">
        <w:t>soberanos</w:t>
      </w:r>
      <w:r w:rsidR="00AE0142">
        <w:t xml:space="preserve"> quando de suas decisões </w:t>
      </w:r>
      <w:r w:rsidR="004F5A29">
        <w:t>haja vista a</w:t>
      </w:r>
      <w:r w:rsidR="00AE0142">
        <w:t xml:space="preserve"> impossibilidade recursal.</w:t>
      </w:r>
    </w:p>
    <w:p w:rsidR="00C82C88" w:rsidRPr="00C82C88" w:rsidRDefault="00C82C88" w:rsidP="006553BD">
      <w:pPr>
        <w:rPr>
          <w:i/>
        </w:rPr>
      </w:pPr>
      <w:r>
        <w:t>Fora tais benefícios, há de se levar em conta também os argumentos das correntes que defendem a possibilidade de recurso. Diferente da posição contrária, incluindo nesta o STF, cujas teses, a nosso</w:t>
      </w:r>
      <w:r w:rsidR="003865BC">
        <w:t xml:space="preserve"> ver, são insuficientes, fracas –</w:t>
      </w:r>
      <w:r w:rsidR="005739D4">
        <w:t xml:space="preserve"> a exemplo da Didier jr que, basicamente, afirma não ser possível porque as decisões nesse tip</w:t>
      </w:r>
      <w:r w:rsidR="0021645A">
        <w:t>o de processo são irrecorríveis, ou seja, basicamente, a nosso ver, fala “não porque não”</w:t>
      </w:r>
      <w:r w:rsidR="003865BC">
        <w:t xml:space="preserve"> –, a posição favorável traz fortes argumentos.</w:t>
      </w:r>
      <w:r w:rsidR="00824D83">
        <w:t xml:space="preserve"> Havendo, expressamente, a afirmação de que somente as decisões positivas do relator são irrecorríveis, não</w:t>
      </w:r>
      <w:r w:rsidR="00211A8C">
        <w:t xml:space="preserve"> há porque</w:t>
      </w:r>
      <w:r w:rsidR="00824D83">
        <w:t xml:space="preserve"> impossibilita</w:t>
      </w:r>
      <w:r w:rsidR="00211A8C">
        <w:t>r</w:t>
      </w:r>
      <w:r w:rsidR="00824D83">
        <w:t xml:space="preserve"> que assim se faça</w:t>
      </w:r>
      <w:r w:rsidR="00211A8C">
        <w:t xml:space="preserve"> no caso de decisões negatórias</w:t>
      </w:r>
      <w:r w:rsidR="00824D83">
        <w:t>.</w:t>
      </w:r>
      <w:r w:rsidR="00211A8C">
        <w:t xml:space="preserve"> Valendo-se de outro argumento, sendo o amigo da Corte um terceiro especial, também não é coerente, de acordo com o artigo 499 do CPC, prevalecer tamanha impossibilidade. Por fim, ressaltam-se os princípios constitucionais da ampla defesa e do contraditório, os quais devem ser respeitados, garantindo-se, consequentemente, o devido processo legal.</w:t>
      </w:r>
    </w:p>
    <w:p w:rsidR="006553BD" w:rsidRDefault="00DA457B" w:rsidP="006553BD">
      <w:r>
        <w:t>Assim, e</w:t>
      </w:r>
      <w:r w:rsidR="00780F14">
        <w:t xml:space="preserve">m prol de todos esses benefícios e dos fortes argumentos elucidados, conclui-se pela possibilidade de o amigo recorrer de toda e qualquer decisão havida </w:t>
      </w:r>
      <w:r w:rsidR="006F3EB3">
        <w:t>em</w:t>
      </w:r>
      <w:r w:rsidR="00780F14">
        <w:t xml:space="preserve"> processo</w:t>
      </w:r>
      <w:r w:rsidR="006F3EB3">
        <w:t xml:space="preserve"> de controle de</w:t>
      </w:r>
      <w:r w:rsidR="00780F14">
        <w:t xml:space="preserve"> constitucional.</w:t>
      </w:r>
    </w:p>
    <w:p w:rsidR="00E5051F" w:rsidRDefault="00E5051F" w:rsidP="006553BD"/>
    <w:p w:rsidR="00E5051F" w:rsidRDefault="00E5051F" w:rsidP="006553BD"/>
    <w:p w:rsidR="00E5051F" w:rsidRDefault="00E5051F" w:rsidP="00E5051F">
      <w:pPr>
        <w:ind w:firstLine="0"/>
        <w:jc w:val="center"/>
        <w:rPr>
          <w:b/>
        </w:rPr>
      </w:pPr>
      <w:r>
        <w:rPr>
          <w:b/>
        </w:rPr>
        <w:lastRenderedPageBreak/>
        <w:t>REFERÊNCIAS</w:t>
      </w:r>
    </w:p>
    <w:p w:rsidR="00E5051F" w:rsidRDefault="00E5051F" w:rsidP="00E5051F">
      <w:pPr>
        <w:ind w:firstLine="0"/>
        <w:jc w:val="center"/>
        <w:rPr>
          <w:b/>
        </w:rPr>
      </w:pPr>
    </w:p>
    <w:p w:rsidR="00E5051F" w:rsidRDefault="00E5051F" w:rsidP="00E5051F">
      <w:pPr>
        <w:spacing w:line="240" w:lineRule="auto"/>
        <w:ind w:firstLine="0"/>
      </w:pPr>
      <w:r w:rsidRPr="00400D9D">
        <w:t xml:space="preserve">BINENBOJM, Gustavo. A Dimensão do </w:t>
      </w:r>
      <w:r w:rsidRPr="0058173D">
        <w:rPr>
          <w:i/>
        </w:rPr>
        <w:t>Amicus</w:t>
      </w:r>
      <w:r w:rsidRPr="00400D9D">
        <w:t xml:space="preserve"> </w:t>
      </w:r>
      <w:r w:rsidRPr="0058173D">
        <w:rPr>
          <w:i/>
        </w:rPr>
        <w:t>Curie</w:t>
      </w:r>
      <w:r w:rsidRPr="00400D9D">
        <w:t xml:space="preserve"> no Processo Constitucional Brasileiro: requisitos, poderes processuais e aplicabilidade no âmbito estadual. </w:t>
      </w:r>
      <w:r w:rsidRPr="0058173D">
        <w:rPr>
          <w:b/>
        </w:rPr>
        <w:t>Revista</w:t>
      </w:r>
      <w:r w:rsidRPr="00400D9D">
        <w:t xml:space="preserve"> </w:t>
      </w:r>
      <w:r w:rsidRPr="0058173D">
        <w:rPr>
          <w:b/>
        </w:rPr>
        <w:t>Eletrônica</w:t>
      </w:r>
      <w:r w:rsidRPr="00400D9D">
        <w:t xml:space="preserve"> </w:t>
      </w:r>
      <w:r w:rsidRPr="0058173D">
        <w:rPr>
          <w:b/>
        </w:rPr>
        <w:t>de</w:t>
      </w:r>
      <w:r w:rsidRPr="00400D9D">
        <w:t xml:space="preserve"> </w:t>
      </w:r>
      <w:r w:rsidRPr="0058173D">
        <w:rPr>
          <w:b/>
        </w:rPr>
        <w:t>Direito</w:t>
      </w:r>
      <w:r w:rsidRPr="00400D9D">
        <w:t xml:space="preserve"> </w:t>
      </w:r>
      <w:r w:rsidRPr="0058173D">
        <w:rPr>
          <w:b/>
        </w:rPr>
        <w:t>do</w:t>
      </w:r>
      <w:r w:rsidRPr="00400D9D">
        <w:t xml:space="preserve"> </w:t>
      </w:r>
      <w:r w:rsidRPr="0058173D">
        <w:rPr>
          <w:b/>
        </w:rPr>
        <w:t>Estado</w:t>
      </w:r>
      <w:r w:rsidRPr="00400D9D">
        <w:t>, Salvador, Instituto de Direito Público da Bahia, nº. 1, janeiro, 2004. Disponível em: &lt;http://www.direitodoestado.com.br&gt;. Acesso em: 15/11/2016.</w:t>
      </w:r>
    </w:p>
    <w:p w:rsidR="00E5051F" w:rsidRDefault="00E5051F" w:rsidP="00E5051F">
      <w:pPr>
        <w:spacing w:line="240" w:lineRule="auto"/>
        <w:ind w:firstLine="0"/>
      </w:pPr>
    </w:p>
    <w:p w:rsidR="00E5051F" w:rsidRDefault="00E5051F" w:rsidP="00E5051F">
      <w:pPr>
        <w:spacing w:line="240" w:lineRule="auto"/>
        <w:ind w:firstLine="0"/>
      </w:pPr>
      <w:r w:rsidRPr="00EA7A32">
        <w:t>BRASIL. Código Civil, Código de Processo Civil, Código Comercial, Constituição Federal, Legislação civil, processual civil e empresarial. Organização do texto: Yussef Said Cahali. 14. ed. rev. e atual. São Paulo: Editora Revista dos Tribunais, 2012.</w:t>
      </w:r>
    </w:p>
    <w:p w:rsidR="00E5051F" w:rsidRDefault="00E5051F" w:rsidP="00E5051F">
      <w:pPr>
        <w:spacing w:line="240" w:lineRule="auto"/>
        <w:ind w:firstLine="0"/>
      </w:pPr>
    </w:p>
    <w:p w:rsidR="00E5051F" w:rsidRDefault="00E5051F" w:rsidP="00E5051F">
      <w:pPr>
        <w:spacing w:line="240" w:lineRule="auto"/>
        <w:ind w:firstLine="0"/>
      </w:pPr>
      <w:r w:rsidRPr="00EA7A32">
        <w:t>GONZALES, Carlos Alexandre Domingos. A figura do "</w:t>
      </w:r>
      <w:r w:rsidRPr="0058173D">
        <w:t>amicus</w:t>
      </w:r>
      <w:r w:rsidRPr="00EA7A32">
        <w:t xml:space="preserve"> </w:t>
      </w:r>
      <w:r w:rsidRPr="0058173D">
        <w:t>curiae</w:t>
      </w:r>
      <w:r w:rsidRPr="00EA7A32">
        <w:t xml:space="preserve">" na jurisdição constitucional brasileira. </w:t>
      </w:r>
      <w:r w:rsidRPr="0058173D">
        <w:rPr>
          <w:b/>
        </w:rPr>
        <w:t>Revista</w:t>
      </w:r>
      <w:r w:rsidRPr="00EA7A32">
        <w:t xml:space="preserve"> </w:t>
      </w:r>
      <w:r w:rsidRPr="0058173D">
        <w:rPr>
          <w:b/>
        </w:rPr>
        <w:t>Jus</w:t>
      </w:r>
      <w:r w:rsidRPr="00EA7A32">
        <w:t xml:space="preserve"> </w:t>
      </w:r>
      <w:r w:rsidRPr="0058173D">
        <w:rPr>
          <w:b/>
        </w:rPr>
        <w:t>Navigandi</w:t>
      </w:r>
      <w:r w:rsidRPr="00EA7A32">
        <w:t>, Teresina, ano 15, n. 2494, 30 abr. 2010. Disponível em: &lt;http://jus.com.br/artigos/14785&gt;. Acesso em: 15/11/2016.</w:t>
      </w:r>
    </w:p>
    <w:p w:rsidR="00E5051F" w:rsidRDefault="00E5051F" w:rsidP="00E5051F">
      <w:pPr>
        <w:spacing w:line="240" w:lineRule="auto"/>
        <w:ind w:firstLine="0"/>
      </w:pPr>
    </w:p>
    <w:p w:rsidR="00E5051F" w:rsidRPr="00E5051F" w:rsidRDefault="00E5051F" w:rsidP="00E5051F">
      <w:pPr>
        <w:spacing w:line="240" w:lineRule="auto"/>
        <w:ind w:firstLine="0"/>
      </w:pPr>
      <w:r w:rsidRPr="00EA7A32">
        <w:t xml:space="preserve">ROSA, Michele Franco. </w:t>
      </w:r>
      <w:r w:rsidRPr="0058173D">
        <w:rPr>
          <w:b/>
        </w:rPr>
        <w:t xml:space="preserve">A atuação do </w:t>
      </w:r>
      <w:r w:rsidRPr="0058173D">
        <w:rPr>
          <w:b/>
          <w:i/>
        </w:rPr>
        <w:t>amicus</w:t>
      </w:r>
      <w:r w:rsidRPr="0058173D">
        <w:rPr>
          <w:b/>
        </w:rPr>
        <w:t xml:space="preserve"> </w:t>
      </w:r>
      <w:r w:rsidRPr="0058173D">
        <w:rPr>
          <w:b/>
          <w:i/>
        </w:rPr>
        <w:t>curiae</w:t>
      </w:r>
      <w:r w:rsidRPr="0058173D">
        <w:rPr>
          <w:b/>
        </w:rPr>
        <w:t xml:space="preserve"> no controle concentrado de constitucionalidade.</w:t>
      </w:r>
      <w:r>
        <w:rPr>
          <w:b/>
        </w:rPr>
        <w:t xml:space="preserve"> </w:t>
      </w:r>
      <w:r>
        <w:t>[20-].</w:t>
      </w:r>
    </w:p>
    <w:p w:rsidR="00E5051F" w:rsidRDefault="00E5051F" w:rsidP="00E5051F">
      <w:pPr>
        <w:spacing w:line="240" w:lineRule="auto"/>
        <w:ind w:firstLine="0"/>
      </w:pPr>
    </w:p>
    <w:p w:rsidR="00E5051F" w:rsidRDefault="00E5051F" w:rsidP="00E5051F">
      <w:pPr>
        <w:spacing w:line="240" w:lineRule="auto"/>
        <w:ind w:firstLine="0"/>
      </w:pPr>
      <w:r>
        <w:t xml:space="preserve">SOUSA, Douglas Cavallini de; VOLPIN, Lucas Rodrigues. A figura do </w:t>
      </w:r>
      <w:r w:rsidRPr="0058173D">
        <w:t>amicus</w:t>
      </w:r>
      <w:r>
        <w:t xml:space="preserve"> </w:t>
      </w:r>
      <w:r w:rsidRPr="0058173D">
        <w:t>curiae</w:t>
      </w:r>
      <w:r>
        <w:t xml:space="preserve"> no controle de constitucionalidade brasileiro à luz da jurisprudência do Supremo Tribunal</w:t>
      </w:r>
    </w:p>
    <w:p w:rsidR="00E5051F" w:rsidRDefault="00E5051F" w:rsidP="00E5051F">
      <w:pPr>
        <w:spacing w:line="240" w:lineRule="auto"/>
        <w:ind w:firstLine="0"/>
      </w:pPr>
      <w:r>
        <w:t xml:space="preserve">Federal. </w:t>
      </w:r>
      <w:r w:rsidRPr="0058173D">
        <w:rPr>
          <w:b/>
        </w:rPr>
        <w:t>In: Âmbito Jurídico</w:t>
      </w:r>
      <w:r>
        <w:t>, Rio Grande, XI, n. 56, ago 2008. Disponível em: &lt;http://www.ambito-juridico.com.br/site/index.php?n_link=revista_artigos_leitura&amp;artigo_id=5032&gt;. Acesso em: 15/11/2016.</w:t>
      </w:r>
    </w:p>
    <w:p w:rsidR="00E5051F" w:rsidRDefault="00E5051F" w:rsidP="00E5051F">
      <w:pPr>
        <w:ind w:firstLine="0"/>
      </w:pPr>
    </w:p>
    <w:p w:rsidR="00E5051F" w:rsidRPr="00E5051F" w:rsidRDefault="00E5051F" w:rsidP="00E5051F">
      <w:pPr>
        <w:ind w:firstLine="0"/>
      </w:pPr>
    </w:p>
    <w:sectPr w:rsidR="00E5051F" w:rsidRPr="00E5051F" w:rsidSect="006E0CA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FB" w:rsidRDefault="00BF2FFB" w:rsidP="00A44297">
      <w:pPr>
        <w:spacing w:line="240" w:lineRule="auto"/>
      </w:pPr>
      <w:r>
        <w:separator/>
      </w:r>
    </w:p>
  </w:endnote>
  <w:endnote w:type="continuationSeparator" w:id="0">
    <w:p w:rsidR="00BF2FFB" w:rsidRDefault="00BF2FFB" w:rsidP="00A4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FB" w:rsidRDefault="00BF2FFB" w:rsidP="00A44297">
      <w:pPr>
        <w:spacing w:line="240" w:lineRule="auto"/>
      </w:pPr>
      <w:r>
        <w:separator/>
      </w:r>
    </w:p>
  </w:footnote>
  <w:footnote w:type="continuationSeparator" w:id="0">
    <w:p w:rsidR="00BF2FFB" w:rsidRDefault="00BF2FFB" w:rsidP="00A44297">
      <w:pPr>
        <w:spacing w:line="240" w:lineRule="auto"/>
      </w:pPr>
      <w:r>
        <w:continuationSeparator/>
      </w:r>
    </w:p>
  </w:footnote>
  <w:footnote w:id="1">
    <w:p w:rsidR="00A44297" w:rsidRDefault="00A44297" w:rsidP="00A4429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9F1A74">
        <w:t>Paper a ser</w:t>
      </w:r>
      <w:r>
        <w:t xml:space="preserve"> apresentado à Disciplina Processo Constitucional, vista em calendário especial, do Curso de Direito da Unidade de Ensino Superior Dom Bosco – UNDB;</w:t>
      </w:r>
    </w:p>
  </w:footnote>
  <w:footnote w:id="2">
    <w:p w:rsidR="00A44297" w:rsidRDefault="00A44297" w:rsidP="00A4429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Aluno da disciplina;</w:t>
      </w:r>
    </w:p>
  </w:footnote>
  <w:footnote w:id="3">
    <w:p w:rsidR="00A44297" w:rsidRDefault="00A44297" w:rsidP="00A4429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Professora Mª., orientadora.</w:t>
      </w:r>
    </w:p>
  </w:footnote>
  <w:footnote w:id="4">
    <w:p w:rsidR="00D97BED" w:rsidRPr="00A67711" w:rsidRDefault="00D97BED" w:rsidP="00A6771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 xml:space="preserve">ROSA, Michele Franco. </w:t>
      </w:r>
      <w:r w:rsidRPr="00A67711">
        <w:rPr>
          <w:b/>
        </w:rPr>
        <w:t xml:space="preserve">A atuação do </w:t>
      </w:r>
      <w:r w:rsidRPr="00A67711">
        <w:rPr>
          <w:b/>
          <w:i/>
        </w:rPr>
        <w:t>amicus</w:t>
      </w:r>
      <w:r w:rsidRPr="00A67711">
        <w:rPr>
          <w:b/>
        </w:rPr>
        <w:t xml:space="preserve"> </w:t>
      </w:r>
      <w:r w:rsidRPr="00A67711">
        <w:rPr>
          <w:b/>
          <w:i/>
        </w:rPr>
        <w:t>curiae</w:t>
      </w:r>
      <w:r w:rsidRPr="00A67711">
        <w:rPr>
          <w:b/>
        </w:rPr>
        <w:t xml:space="preserve"> no controle concentrado de constitucionalidade.</w:t>
      </w:r>
      <w:r w:rsidRPr="00A67711">
        <w:t xml:space="preserve"> [20-], p. 3, grifos do autor.</w:t>
      </w:r>
    </w:p>
  </w:footnote>
  <w:footnote w:id="5">
    <w:p w:rsidR="00D97BED" w:rsidRDefault="00D97BED" w:rsidP="00A67711">
      <w:pPr>
        <w:pStyle w:val="Textodenotaderodap"/>
        <w:ind w:firstLine="0"/>
      </w:pPr>
      <w:r w:rsidRPr="00A67711">
        <w:rPr>
          <w:rStyle w:val="Refdenotaderodap"/>
        </w:rPr>
        <w:footnoteRef/>
      </w:r>
      <w:r w:rsidR="005B03E9">
        <w:t xml:space="preserve"> Cf.</w:t>
      </w:r>
      <w:r w:rsidRPr="00A67711">
        <w:t xml:space="preserve"> BINENBOJM, Gustavo. A Dimensão do Amicus Curie no Processo Constitucional Brasileiro: requisitos, poderes processuais e aplicabilidade no âmbito estadual. </w:t>
      </w:r>
      <w:r w:rsidRPr="00A67711">
        <w:rPr>
          <w:b/>
        </w:rPr>
        <w:t>Revista Eletrônica de Direito do Estado</w:t>
      </w:r>
      <w:r w:rsidRPr="00A67711">
        <w:t>, Salvador, Instituto de Direito Público da Bahia, nº. 1, janeiro, 2004, p. 2.</w:t>
      </w:r>
    </w:p>
  </w:footnote>
  <w:footnote w:id="6">
    <w:p w:rsidR="00770311" w:rsidRDefault="00770311" w:rsidP="00F34CC8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287866">
        <w:t xml:space="preserve">Ministro Celso de Mello (ADI 2.130 – MC/SC, DJ, 02.02.2001, p. 145) apud </w:t>
      </w:r>
      <w:r w:rsidR="00F34CC8">
        <w:t>SOUSA, Douglas Cavallini de; VOLPIN, Lucas Rodrigues. A figura do amicus curiae no controle de constitucionalidade brasileiro à luz da jurisprudência do Supremo Tribunal</w:t>
      </w:r>
      <w:r w:rsidR="00090255">
        <w:t xml:space="preserve"> </w:t>
      </w:r>
      <w:r w:rsidR="00F34CC8">
        <w:t xml:space="preserve">Federal. </w:t>
      </w:r>
      <w:r w:rsidR="00F34CC8" w:rsidRPr="00090255">
        <w:rPr>
          <w:b/>
        </w:rPr>
        <w:t>In: Âmbito Jurídico</w:t>
      </w:r>
      <w:r w:rsidR="00F34CC8">
        <w:t>, Rio Grande, XI, n. 56, ago 2008.</w:t>
      </w:r>
    </w:p>
  </w:footnote>
  <w:footnote w:id="7">
    <w:p w:rsidR="0078169C" w:rsidRDefault="0078169C" w:rsidP="0078169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3.</w:t>
      </w:r>
    </w:p>
  </w:footnote>
  <w:footnote w:id="8">
    <w:p w:rsidR="002117D8" w:rsidRPr="00006460" w:rsidRDefault="002117D8" w:rsidP="002117D8">
      <w:pPr>
        <w:pStyle w:val="Textodenotaderodap"/>
        <w:ind w:firstLine="0"/>
        <w:rPr>
          <w:lang w:val="en-US"/>
        </w:rPr>
      </w:pPr>
      <w:r>
        <w:rPr>
          <w:rStyle w:val="Refdenotaderodap"/>
        </w:rPr>
        <w:footnoteRef/>
      </w:r>
      <w:r w:rsidRPr="00006460">
        <w:rPr>
          <w:lang w:val="en-US"/>
        </w:rPr>
        <w:t xml:space="preserve"> </w:t>
      </w:r>
      <w:r w:rsidR="00CB6E16" w:rsidRPr="00006460">
        <w:rPr>
          <w:lang w:val="en-US"/>
        </w:rPr>
        <w:t>V. Steven H. Gifis, Law Dictionary, Barron’s Educational Series, Inc., 1975, p. 11/12 apud BINENBOJM, Gustavo, 2004, p. 3, grifos do autor.</w:t>
      </w:r>
    </w:p>
  </w:footnote>
  <w:footnote w:id="9">
    <w:p w:rsidR="0078169C" w:rsidRPr="00160875" w:rsidRDefault="0078169C" w:rsidP="0078169C">
      <w:pPr>
        <w:pStyle w:val="Textodenotaderodap"/>
        <w:ind w:firstLine="0"/>
      </w:pPr>
      <w:r>
        <w:rPr>
          <w:rStyle w:val="Refdenotaderodap"/>
        </w:rPr>
        <w:footnoteRef/>
      </w:r>
      <w:r w:rsidRPr="00160875">
        <w:t xml:space="preserve"> </w:t>
      </w:r>
      <w:r w:rsidR="002117D8" w:rsidRPr="00160875">
        <w:t xml:space="preserve">Cf. </w:t>
      </w:r>
      <w:r w:rsidRPr="00160875">
        <w:t>ROSA, Michele Franco. [20-], p. 14.</w:t>
      </w:r>
    </w:p>
  </w:footnote>
  <w:footnote w:id="10">
    <w:p w:rsidR="006035B6" w:rsidRPr="006035B6" w:rsidRDefault="006035B6" w:rsidP="006035B6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6035B6">
        <w:t>Cf. ROSA, Michele Franco</w:t>
      </w:r>
      <w:r>
        <w:t>. [20-], p. 13-15, grifos do autor</w:t>
      </w:r>
      <w:r w:rsidRPr="006035B6">
        <w:t>.</w:t>
      </w:r>
    </w:p>
  </w:footnote>
  <w:footnote w:id="11">
    <w:p w:rsidR="0001251C" w:rsidRPr="0001251C" w:rsidRDefault="0001251C" w:rsidP="0001251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O Ministro Celso de Mello expôs que “[...] em suma, a regra inscrita no art. 7º, § 2º da Lei nº 9.868/99 – que contém a base normativa legitimadora da intervenção processual do </w:t>
      </w:r>
      <w:r>
        <w:rPr>
          <w:i/>
        </w:rPr>
        <w:t>amicus curiae</w:t>
      </w:r>
      <w:r>
        <w:t xml:space="preserve"> – tem por precípua finalidade pluralizar o debate constitucional. [...]” (ADI-MC 2.130-SC, Rel. Min. Celso de Mello, j. 20.12.2000, p. 02.02.2001, p. 00145, apud </w:t>
      </w:r>
      <w:r w:rsidRPr="006035B6">
        <w:t>ROSA</w:t>
      </w:r>
      <w:r>
        <w:t>, [20-], p. 3-4</w:t>
      </w:r>
      <w:r w:rsidR="00BE29CE">
        <w:t>)</w:t>
      </w:r>
      <w:r>
        <w:t>.</w:t>
      </w:r>
    </w:p>
  </w:footnote>
  <w:footnote w:id="12">
    <w:p w:rsidR="00D77D63" w:rsidRDefault="00D77D63" w:rsidP="00D77D6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DIDIER JR., 2003, p. 38, apud </w:t>
      </w:r>
      <w:r w:rsidRPr="006035B6">
        <w:t>ROSA</w:t>
      </w:r>
      <w:r>
        <w:t>, [20-], p. 10-11</w:t>
      </w:r>
      <w:r w:rsidR="001C29DD">
        <w:t>.</w:t>
      </w:r>
    </w:p>
  </w:footnote>
  <w:footnote w:id="13">
    <w:p w:rsidR="00616D0A" w:rsidRDefault="00616D0A" w:rsidP="00616D0A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Cf. </w:t>
      </w:r>
      <w:r w:rsidRPr="00A67711">
        <w:t>BINENBOJM, Gustavo</w:t>
      </w:r>
      <w:r>
        <w:t>, 2004, p. 15-16.</w:t>
      </w:r>
    </w:p>
  </w:footnote>
  <w:footnote w:id="14">
    <w:p w:rsidR="00E80B0C" w:rsidRDefault="00E80B0C" w:rsidP="00E80B0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Ministro Cezar Peluso (ADI 2.777/SP, DJU, 15.12.2003, p. 5) apud SOUSA, Douglas Cavallini de; VOLPIN, Lucas Rodrigues. A figura do amicus curiae no controle de constitucionalidade brasileiro à luz da jurisprudência do Supremo Tribunal Federal. </w:t>
      </w:r>
      <w:r w:rsidRPr="00090255">
        <w:rPr>
          <w:b/>
        </w:rPr>
        <w:t>In: Âmbito Jurídico</w:t>
      </w:r>
      <w:r>
        <w:t>, Rio Grande, XI, n. 56, ago 2008.</w:t>
      </w:r>
    </w:p>
  </w:footnote>
  <w:footnote w:id="15">
    <w:p w:rsidR="00432F9B" w:rsidRDefault="00432F9B" w:rsidP="00432F9B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ADI 3.474/BA, rel. Min. Cezar </w:t>
      </w:r>
      <w:r w:rsidR="009032B2">
        <w:t>Pe</w:t>
      </w:r>
      <w:r>
        <w:t>luso, j</w:t>
      </w:r>
      <w:r w:rsidR="00327552">
        <w:t xml:space="preserve"> 13.10.2005</w:t>
      </w:r>
      <w:r w:rsidR="00F1542D">
        <w:t>; ADI nº 1.104-9 DF, rel. Min. Gilmar Mendes, DJ 29.10.2003.</w:t>
      </w:r>
    </w:p>
  </w:footnote>
  <w:footnote w:id="16">
    <w:p w:rsidR="003443BC" w:rsidRDefault="003443BC" w:rsidP="003443B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Cf. </w:t>
      </w:r>
      <w:r w:rsidRPr="006035B6">
        <w:t>ROSA, Michele Franco</w:t>
      </w:r>
      <w:r>
        <w:t>. [20-], p. 9.</w:t>
      </w:r>
    </w:p>
  </w:footnote>
  <w:footnote w:id="17">
    <w:p w:rsidR="00FA648C" w:rsidRDefault="00FA648C" w:rsidP="00FA648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DEL PRÁ, 2007, p. 138 apud ROSA, [20-], p. 9</w:t>
      </w:r>
      <w:r w:rsidR="00117F7D">
        <w:t>.</w:t>
      </w:r>
    </w:p>
  </w:footnote>
  <w:footnote w:id="18">
    <w:p w:rsidR="00117F7D" w:rsidRDefault="00117F7D" w:rsidP="00117F7D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BUENO FILHO, 2002, p. 7, apud ROSA, [20-], p. </w:t>
      </w:r>
      <w:r w:rsidR="008E2D8C">
        <w:t>8, grifos do autor</w:t>
      </w:r>
      <w:r>
        <w:t>.</w:t>
      </w:r>
    </w:p>
  </w:footnote>
  <w:footnote w:id="19">
    <w:p w:rsidR="006F73C3" w:rsidRDefault="006F73C3" w:rsidP="006F73C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12, grifos do autor.</w:t>
      </w:r>
    </w:p>
  </w:footnote>
  <w:footnote w:id="20">
    <w:p w:rsidR="007F1D84" w:rsidRDefault="007F1D84" w:rsidP="007F1D84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BUENO, 2006, p. 140, apud ROSA, [20-], p. 5.</w:t>
      </w:r>
    </w:p>
  </w:footnote>
  <w:footnote w:id="21">
    <w:p w:rsidR="0052071D" w:rsidRDefault="0052071D" w:rsidP="0052071D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BUENO FILHO, 2002, p. 6, apud ROSA, [20-], p. 6.</w:t>
      </w:r>
    </w:p>
  </w:footnote>
  <w:footnote w:id="22">
    <w:p w:rsidR="00AA369F" w:rsidRPr="00AA369F" w:rsidRDefault="00AA369F" w:rsidP="00AA369F">
      <w:pPr>
        <w:pStyle w:val="Textodenotaderodap"/>
        <w:ind w:firstLine="0"/>
      </w:pPr>
      <w:r>
        <w:rPr>
          <w:rStyle w:val="Refdenotaderodap"/>
        </w:rPr>
        <w:footnoteRef/>
      </w:r>
      <w:r w:rsidR="007F24CE">
        <w:t xml:space="preserve"> BINENBOJM, Gustavo. </w:t>
      </w:r>
      <w:r w:rsidR="007F24CE">
        <w:rPr>
          <w:b/>
        </w:rPr>
        <w:t>A Nova Jurisdição Constitucional Brasileira,</w:t>
      </w:r>
      <w:r w:rsidR="007F24CE">
        <w:t xml:space="preserve"> 2ª Edição, 2004, Renovar,</w:t>
      </w:r>
      <w:r>
        <w:t xml:space="preserve"> p. 162, grifos do autor, apud BINENBOJM, 2004, p. 10-11.</w:t>
      </w:r>
    </w:p>
  </w:footnote>
  <w:footnote w:id="23">
    <w:p w:rsidR="00FE00A6" w:rsidRDefault="00FE00A6" w:rsidP="00FE00A6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BINENBOJM, </w:t>
      </w:r>
      <w:r w:rsidR="0004538B">
        <w:t xml:space="preserve">Gustavo. </w:t>
      </w:r>
      <w:r w:rsidR="0004538B">
        <w:rPr>
          <w:b/>
        </w:rPr>
        <w:t>A Nova Jurisdição Constitucional Brasileira,</w:t>
      </w:r>
      <w:r w:rsidR="0004538B">
        <w:t xml:space="preserve"> 2ª Edição, 2004, Renovar</w:t>
      </w:r>
      <w:r>
        <w:t>, p. 162, grifos do autor, apud BINENBOJM, 2004, p. 10-11, grifou-se.</w:t>
      </w:r>
    </w:p>
  </w:footnote>
  <w:footnote w:id="24">
    <w:p w:rsidR="00D47FF0" w:rsidRPr="00D47FF0" w:rsidRDefault="00D47FF0" w:rsidP="00D47FF0">
      <w:pPr>
        <w:pStyle w:val="Textodenotaderodap"/>
        <w:ind w:firstLine="0"/>
      </w:pPr>
      <w:r>
        <w:rPr>
          <w:rStyle w:val="Refdenotaderodap"/>
        </w:rPr>
        <w:footnoteRef/>
      </w:r>
      <w:r w:rsidRPr="00D47FF0">
        <w:t xml:space="preserve"> MENDES; MARTINS, 2001, p. 158, apud </w:t>
      </w:r>
      <w:r>
        <w:t>BINENBOJM, 2004, p. 10.</w:t>
      </w:r>
    </w:p>
  </w:footnote>
  <w:footnote w:id="25">
    <w:p w:rsidR="00EA3B7B" w:rsidRPr="006D0093" w:rsidRDefault="00EA3B7B" w:rsidP="00EA3B7B">
      <w:pPr>
        <w:pStyle w:val="Textodenotaderodap"/>
        <w:ind w:firstLine="0"/>
      </w:pPr>
      <w:r>
        <w:rPr>
          <w:rStyle w:val="Refdenotaderodap"/>
        </w:rPr>
        <w:footnoteRef/>
      </w:r>
      <w:r w:rsidRPr="006D0093">
        <w:t xml:space="preserve"> NERY </w:t>
      </w:r>
      <w:r w:rsidR="001F52F7" w:rsidRPr="006D0093">
        <w:t>JR; NERY</w:t>
      </w:r>
      <w:r w:rsidRPr="006D0093">
        <w:t>, 200</w:t>
      </w:r>
      <w:r w:rsidR="001F52F7" w:rsidRPr="006D0093">
        <w:t>1</w:t>
      </w:r>
      <w:r w:rsidRPr="006D0093">
        <w:t xml:space="preserve">, p. </w:t>
      </w:r>
      <w:r w:rsidR="001F52F7" w:rsidRPr="006D0093">
        <w:t>1.599-1600</w:t>
      </w:r>
      <w:r w:rsidRPr="006D0093">
        <w:t>,</w:t>
      </w:r>
      <w:r w:rsidR="00881582" w:rsidRPr="006D0093">
        <w:t xml:space="preserve"> </w:t>
      </w:r>
      <w:r w:rsidR="00881582" w:rsidRPr="00881582">
        <w:t>grifou</w:t>
      </w:r>
      <w:r w:rsidR="00881582" w:rsidRPr="006D0093">
        <w:t>-se,</w:t>
      </w:r>
      <w:r w:rsidRPr="006D0093">
        <w:t xml:space="preserve"> </w:t>
      </w:r>
      <w:r w:rsidRPr="00881582">
        <w:t>apud</w:t>
      </w:r>
      <w:r w:rsidR="001F52F7">
        <w:t xml:space="preserve"> ROSA, [20-], p. 7.</w:t>
      </w:r>
    </w:p>
  </w:footnote>
  <w:footnote w:id="26">
    <w:p w:rsidR="00813600" w:rsidRDefault="00813600" w:rsidP="00813600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BUENO, 2006, p. 146-174,</w:t>
      </w:r>
      <w:r w:rsidR="00704F76">
        <w:t xml:space="preserve"> grifos do autor,</w:t>
      </w:r>
      <w:r>
        <w:t xml:space="preserve"> apud ROSA, [20-], p. 6.</w:t>
      </w:r>
    </w:p>
  </w:footnote>
  <w:footnote w:id="27">
    <w:p w:rsidR="00797EB4" w:rsidRPr="00797EB4" w:rsidRDefault="00797EB4" w:rsidP="00797EB4">
      <w:pPr>
        <w:pStyle w:val="Textodenotaderodap"/>
        <w:ind w:firstLine="0"/>
        <w:rPr>
          <w:b/>
        </w:rPr>
      </w:pPr>
      <w:r>
        <w:rPr>
          <w:rStyle w:val="Refdenotaderodap"/>
        </w:rPr>
        <w:footnoteRef/>
      </w:r>
      <w:r>
        <w:t xml:space="preserve"> Fredie Didier Jr. (2007, p. 361 apud ROSA, [20-], p. 13), por exemplo, entende que “o ato do relato que admite a manifestação do </w:t>
      </w:r>
      <w:r>
        <w:rPr>
          <w:i/>
        </w:rPr>
        <w:t>amicus curiae</w:t>
      </w:r>
      <w:r>
        <w:t xml:space="preserve"> é decisão interlocutória (CPC 162, § 2º) e não despacho, como incorretamente menciona a norma comentada. A decisão, positiva, ou negativa, </w:t>
      </w:r>
      <w:r w:rsidRPr="00797EB4">
        <w:t>é irrecorrível</w:t>
      </w:r>
      <w:r>
        <w:t>”.</w:t>
      </w:r>
    </w:p>
  </w:footnote>
  <w:footnote w:id="28">
    <w:p w:rsidR="005D126D" w:rsidRDefault="005D126D" w:rsidP="005D126D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Cf. </w:t>
      </w:r>
      <w:r w:rsidRPr="006035B6">
        <w:t>ROSA, Michele Franco</w:t>
      </w:r>
      <w:r>
        <w:t>. [20-], p. 13.</w:t>
      </w:r>
    </w:p>
  </w:footnote>
  <w:footnote w:id="29">
    <w:p w:rsidR="00B25A85" w:rsidRDefault="00B25A85" w:rsidP="00B25A8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1</w:t>
      </w:r>
      <w:r w:rsidR="006372A7">
        <w:t>7</w:t>
      </w:r>
      <w:r>
        <w:t>, grifos do autor.</w:t>
      </w:r>
    </w:p>
  </w:footnote>
  <w:footnote w:id="30">
    <w:p w:rsidR="00AD4888" w:rsidRDefault="00AD4888" w:rsidP="00AD4888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17.</w:t>
      </w:r>
    </w:p>
  </w:footnote>
  <w:footnote w:id="31">
    <w:p w:rsidR="00E41DEE" w:rsidRDefault="00E41DEE" w:rsidP="00E41DEE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17.</w:t>
      </w:r>
    </w:p>
  </w:footnote>
  <w:footnote w:id="32">
    <w:p w:rsidR="001F4182" w:rsidRDefault="001F4182" w:rsidP="001F4182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BUENO, 2006, p. 146-174, grifos do autor, apud ROSA, [20-], p. 12.</w:t>
      </w:r>
    </w:p>
  </w:footnote>
  <w:footnote w:id="33">
    <w:p w:rsidR="005D4D2C" w:rsidRDefault="005D4D2C" w:rsidP="005D4D2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18</w:t>
      </w:r>
      <w:r w:rsidR="00456587">
        <w:t>, grifos do autor</w:t>
      </w:r>
      <w:r>
        <w:t>.</w:t>
      </w:r>
    </w:p>
  </w:footnote>
  <w:footnote w:id="34">
    <w:p w:rsidR="001A2EC9" w:rsidRDefault="001A2EC9" w:rsidP="001A2EC9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A67711">
        <w:t>BINENBOJM, Gustavo</w:t>
      </w:r>
      <w:r>
        <w:t>, 2004, p. 17.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297"/>
    <w:rsid w:val="00001E8A"/>
    <w:rsid w:val="00006460"/>
    <w:rsid w:val="0001251C"/>
    <w:rsid w:val="000170D5"/>
    <w:rsid w:val="000217B7"/>
    <w:rsid w:val="000218DF"/>
    <w:rsid w:val="00024F8E"/>
    <w:rsid w:val="000263B0"/>
    <w:rsid w:val="00032E3F"/>
    <w:rsid w:val="000358B6"/>
    <w:rsid w:val="0003730B"/>
    <w:rsid w:val="00037E76"/>
    <w:rsid w:val="00040E97"/>
    <w:rsid w:val="00041287"/>
    <w:rsid w:val="0004538B"/>
    <w:rsid w:val="0005103A"/>
    <w:rsid w:val="00053399"/>
    <w:rsid w:val="00062284"/>
    <w:rsid w:val="00065EAE"/>
    <w:rsid w:val="00066448"/>
    <w:rsid w:val="00070B24"/>
    <w:rsid w:val="0007121F"/>
    <w:rsid w:val="00071A66"/>
    <w:rsid w:val="00075FD7"/>
    <w:rsid w:val="00077C00"/>
    <w:rsid w:val="00080583"/>
    <w:rsid w:val="00084202"/>
    <w:rsid w:val="00086487"/>
    <w:rsid w:val="00090255"/>
    <w:rsid w:val="00090481"/>
    <w:rsid w:val="0009608F"/>
    <w:rsid w:val="000A5B79"/>
    <w:rsid w:val="000A6DBA"/>
    <w:rsid w:val="000A6FBB"/>
    <w:rsid w:val="000A7763"/>
    <w:rsid w:val="000B19A6"/>
    <w:rsid w:val="000B1BC5"/>
    <w:rsid w:val="000B2275"/>
    <w:rsid w:val="000B56E3"/>
    <w:rsid w:val="000C27D4"/>
    <w:rsid w:val="000C4D24"/>
    <w:rsid w:val="000C7620"/>
    <w:rsid w:val="000C7DC5"/>
    <w:rsid w:val="000D3A2B"/>
    <w:rsid w:val="000D3D9F"/>
    <w:rsid w:val="000D4826"/>
    <w:rsid w:val="000E09AC"/>
    <w:rsid w:val="000E1910"/>
    <w:rsid w:val="000E2714"/>
    <w:rsid w:val="000E38FA"/>
    <w:rsid w:val="000E4E8B"/>
    <w:rsid w:val="000F5262"/>
    <w:rsid w:val="000F586E"/>
    <w:rsid w:val="0010115E"/>
    <w:rsid w:val="001014D1"/>
    <w:rsid w:val="001042B3"/>
    <w:rsid w:val="00105A02"/>
    <w:rsid w:val="00110FCE"/>
    <w:rsid w:val="0011599E"/>
    <w:rsid w:val="00117F5D"/>
    <w:rsid w:val="00117F7D"/>
    <w:rsid w:val="0012004C"/>
    <w:rsid w:val="00120850"/>
    <w:rsid w:val="00121C28"/>
    <w:rsid w:val="00127AFA"/>
    <w:rsid w:val="00132477"/>
    <w:rsid w:val="00150F8E"/>
    <w:rsid w:val="0015373B"/>
    <w:rsid w:val="00160875"/>
    <w:rsid w:val="0016181A"/>
    <w:rsid w:val="00167B0C"/>
    <w:rsid w:val="00176163"/>
    <w:rsid w:val="001846E3"/>
    <w:rsid w:val="0019082A"/>
    <w:rsid w:val="00190B34"/>
    <w:rsid w:val="00190E09"/>
    <w:rsid w:val="00192AB8"/>
    <w:rsid w:val="00193908"/>
    <w:rsid w:val="00195F49"/>
    <w:rsid w:val="001A044C"/>
    <w:rsid w:val="001A2EC9"/>
    <w:rsid w:val="001A4D2D"/>
    <w:rsid w:val="001B02E9"/>
    <w:rsid w:val="001B0BA6"/>
    <w:rsid w:val="001B279F"/>
    <w:rsid w:val="001B3077"/>
    <w:rsid w:val="001B531E"/>
    <w:rsid w:val="001B6385"/>
    <w:rsid w:val="001B6699"/>
    <w:rsid w:val="001B75A5"/>
    <w:rsid w:val="001C03B8"/>
    <w:rsid w:val="001C29DD"/>
    <w:rsid w:val="001D0D8F"/>
    <w:rsid w:val="001D1A9A"/>
    <w:rsid w:val="001D6328"/>
    <w:rsid w:val="001E23B6"/>
    <w:rsid w:val="001E3C04"/>
    <w:rsid w:val="001E5A13"/>
    <w:rsid w:val="001E6450"/>
    <w:rsid w:val="001E6898"/>
    <w:rsid w:val="001E712B"/>
    <w:rsid w:val="001E7F32"/>
    <w:rsid w:val="001F4182"/>
    <w:rsid w:val="001F52F7"/>
    <w:rsid w:val="001F6066"/>
    <w:rsid w:val="00202A6A"/>
    <w:rsid w:val="002034F5"/>
    <w:rsid w:val="0021103B"/>
    <w:rsid w:val="002117D8"/>
    <w:rsid w:val="00211A8C"/>
    <w:rsid w:val="0021645A"/>
    <w:rsid w:val="00216F47"/>
    <w:rsid w:val="00222320"/>
    <w:rsid w:val="002226C7"/>
    <w:rsid w:val="002243FD"/>
    <w:rsid w:val="002277CA"/>
    <w:rsid w:val="00227ACD"/>
    <w:rsid w:val="00232BD2"/>
    <w:rsid w:val="00240543"/>
    <w:rsid w:val="00241D46"/>
    <w:rsid w:val="00242BDB"/>
    <w:rsid w:val="00245D6D"/>
    <w:rsid w:val="002465B0"/>
    <w:rsid w:val="00247EDA"/>
    <w:rsid w:val="0025019A"/>
    <w:rsid w:val="00250982"/>
    <w:rsid w:val="002753C1"/>
    <w:rsid w:val="0027597C"/>
    <w:rsid w:val="00282769"/>
    <w:rsid w:val="002839E7"/>
    <w:rsid w:val="00287866"/>
    <w:rsid w:val="00295776"/>
    <w:rsid w:val="002A4156"/>
    <w:rsid w:val="002A7D26"/>
    <w:rsid w:val="002B6D73"/>
    <w:rsid w:val="002C0326"/>
    <w:rsid w:val="002C07ED"/>
    <w:rsid w:val="002C6354"/>
    <w:rsid w:val="002D1CB7"/>
    <w:rsid w:val="002E15F1"/>
    <w:rsid w:val="002E1E79"/>
    <w:rsid w:val="002E2F41"/>
    <w:rsid w:val="002E6579"/>
    <w:rsid w:val="002E799D"/>
    <w:rsid w:val="002F2AD3"/>
    <w:rsid w:val="002F34EE"/>
    <w:rsid w:val="002F38B7"/>
    <w:rsid w:val="002F4354"/>
    <w:rsid w:val="002F5924"/>
    <w:rsid w:val="002F5EAA"/>
    <w:rsid w:val="002F7E11"/>
    <w:rsid w:val="00302450"/>
    <w:rsid w:val="00303E9F"/>
    <w:rsid w:val="00307EED"/>
    <w:rsid w:val="0031198B"/>
    <w:rsid w:val="00312393"/>
    <w:rsid w:val="00312416"/>
    <w:rsid w:val="00322AD2"/>
    <w:rsid w:val="003236FD"/>
    <w:rsid w:val="00327552"/>
    <w:rsid w:val="00327FE7"/>
    <w:rsid w:val="00335CBE"/>
    <w:rsid w:val="003443BC"/>
    <w:rsid w:val="00345031"/>
    <w:rsid w:val="00345FFA"/>
    <w:rsid w:val="00357169"/>
    <w:rsid w:val="003633CF"/>
    <w:rsid w:val="00363414"/>
    <w:rsid w:val="003659FD"/>
    <w:rsid w:val="00375F59"/>
    <w:rsid w:val="00376423"/>
    <w:rsid w:val="00380730"/>
    <w:rsid w:val="0038239C"/>
    <w:rsid w:val="00384035"/>
    <w:rsid w:val="003865BC"/>
    <w:rsid w:val="0038776D"/>
    <w:rsid w:val="00390B8A"/>
    <w:rsid w:val="00391378"/>
    <w:rsid w:val="003918C7"/>
    <w:rsid w:val="003934E6"/>
    <w:rsid w:val="003A1155"/>
    <w:rsid w:val="003B0A47"/>
    <w:rsid w:val="003B363D"/>
    <w:rsid w:val="003B6C77"/>
    <w:rsid w:val="003B739E"/>
    <w:rsid w:val="003C08AF"/>
    <w:rsid w:val="003D19A9"/>
    <w:rsid w:val="003D2C0F"/>
    <w:rsid w:val="003D42CF"/>
    <w:rsid w:val="003D795F"/>
    <w:rsid w:val="003E414B"/>
    <w:rsid w:val="003F3B96"/>
    <w:rsid w:val="00400D9D"/>
    <w:rsid w:val="00403DB0"/>
    <w:rsid w:val="00404C02"/>
    <w:rsid w:val="00413621"/>
    <w:rsid w:val="00421C86"/>
    <w:rsid w:val="0042370B"/>
    <w:rsid w:val="00427E79"/>
    <w:rsid w:val="00432F9B"/>
    <w:rsid w:val="0044198A"/>
    <w:rsid w:val="00441A50"/>
    <w:rsid w:val="004469D2"/>
    <w:rsid w:val="00456520"/>
    <w:rsid w:val="00456587"/>
    <w:rsid w:val="0046024F"/>
    <w:rsid w:val="004641E8"/>
    <w:rsid w:val="00465E27"/>
    <w:rsid w:val="00465FD2"/>
    <w:rsid w:val="0046739D"/>
    <w:rsid w:val="004676DF"/>
    <w:rsid w:val="00471F70"/>
    <w:rsid w:val="0048777F"/>
    <w:rsid w:val="0049476A"/>
    <w:rsid w:val="00494FB4"/>
    <w:rsid w:val="00495BA1"/>
    <w:rsid w:val="004A061F"/>
    <w:rsid w:val="004A0A6E"/>
    <w:rsid w:val="004A32B5"/>
    <w:rsid w:val="004A7C41"/>
    <w:rsid w:val="004B14F9"/>
    <w:rsid w:val="004B36A6"/>
    <w:rsid w:val="004B3E8E"/>
    <w:rsid w:val="004B735D"/>
    <w:rsid w:val="004C62E4"/>
    <w:rsid w:val="004C6814"/>
    <w:rsid w:val="004C6E7D"/>
    <w:rsid w:val="004D0DFD"/>
    <w:rsid w:val="004D6AC6"/>
    <w:rsid w:val="004D77EB"/>
    <w:rsid w:val="004E0C9F"/>
    <w:rsid w:val="004E0D83"/>
    <w:rsid w:val="004E1F5C"/>
    <w:rsid w:val="004F1D24"/>
    <w:rsid w:val="004F351C"/>
    <w:rsid w:val="004F5A29"/>
    <w:rsid w:val="004F7ED2"/>
    <w:rsid w:val="00500218"/>
    <w:rsid w:val="0050136D"/>
    <w:rsid w:val="00510877"/>
    <w:rsid w:val="005134CE"/>
    <w:rsid w:val="0051572D"/>
    <w:rsid w:val="0052071D"/>
    <w:rsid w:val="00534455"/>
    <w:rsid w:val="00542590"/>
    <w:rsid w:val="00546B8F"/>
    <w:rsid w:val="00551E74"/>
    <w:rsid w:val="00555148"/>
    <w:rsid w:val="00555967"/>
    <w:rsid w:val="00560949"/>
    <w:rsid w:val="00560D08"/>
    <w:rsid w:val="005640BF"/>
    <w:rsid w:val="0057087D"/>
    <w:rsid w:val="005739D4"/>
    <w:rsid w:val="00573D71"/>
    <w:rsid w:val="005746C2"/>
    <w:rsid w:val="00577B69"/>
    <w:rsid w:val="0058173D"/>
    <w:rsid w:val="0058531A"/>
    <w:rsid w:val="00590781"/>
    <w:rsid w:val="005919F2"/>
    <w:rsid w:val="00593737"/>
    <w:rsid w:val="005A2C0D"/>
    <w:rsid w:val="005A4821"/>
    <w:rsid w:val="005A5483"/>
    <w:rsid w:val="005A6CEF"/>
    <w:rsid w:val="005B03E9"/>
    <w:rsid w:val="005B1847"/>
    <w:rsid w:val="005B4304"/>
    <w:rsid w:val="005B43BC"/>
    <w:rsid w:val="005B5819"/>
    <w:rsid w:val="005C10C3"/>
    <w:rsid w:val="005C1437"/>
    <w:rsid w:val="005C5FE9"/>
    <w:rsid w:val="005C7023"/>
    <w:rsid w:val="005D126D"/>
    <w:rsid w:val="005D18E3"/>
    <w:rsid w:val="005D4D2C"/>
    <w:rsid w:val="005D4F9A"/>
    <w:rsid w:val="005E024A"/>
    <w:rsid w:val="005E5FE2"/>
    <w:rsid w:val="005F7A0C"/>
    <w:rsid w:val="006035B6"/>
    <w:rsid w:val="00605481"/>
    <w:rsid w:val="00606367"/>
    <w:rsid w:val="00607CE4"/>
    <w:rsid w:val="0061373C"/>
    <w:rsid w:val="00613BC1"/>
    <w:rsid w:val="00614323"/>
    <w:rsid w:val="00616826"/>
    <w:rsid w:val="00616D0A"/>
    <w:rsid w:val="00621707"/>
    <w:rsid w:val="00623E53"/>
    <w:rsid w:val="00625AA9"/>
    <w:rsid w:val="006264D3"/>
    <w:rsid w:val="006267C3"/>
    <w:rsid w:val="00633A07"/>
    <w:rsid w:val="006344C1"/>
    <w:rsid w:val="00635B64"/>
    <w:rsid w:val="006372A7"/>
    <w:rsid w:val="006471CE"/>
    <w:rsid w:val="00650A58"/>
    <w:rsid w:val="0065191A"/>
    <w:rsid w:val="00651EA4"/>
    <w:rsid w:val="006553BD"/>
    <w:rsid w:val="006640E3"/>
    <w:rsid w:val="00667ECF"/>
    <w:rsid w:val="00672474"/>
    <w:rsid w:val="00675826"/>
    <w:rsid w:val="00675F08"/>
    <w:rsid w:val="00680E52"/>
    <w:rsid w:val="0068276A"/>
    <w:rsid w:val="00685B98"/>
    <w:rsid w:val="0068627E"/>
    <w:rsid w:val="00687481"/>
    <w:rsid w:val="006908E8"/>
    <w:rsid w:val="00694ADC"/>
    <w:rsid w:val="00695D56"/>
    <w:rsid w:val="006A2F48"/>
    <w:rsid w:val="006A7B07"/>
    <w:rsid w:val="006B517B"/>
    <w:rsid w:val="006C19F7"/>
    <w:rsid w:val="006C4FC0"/>
    <w:rsid w:val="006D0093"/>
    <w:rsid w:val="006D1A07"/>
    <w:rsid w:val="006D4016"/>
    <w:rsid w:val="006E0CAE"/>
    <w:rsid w:val="006E342C"/>
    <w:rsid w:val="006E48F9"/>
    <w:rsid w:val="006E6D79"/>
    <w:rsid w:val="006F2D3B"/>
    <w:rsid w:val="006F3EB3"/>
    <w:rsid w:val="006F6C0E"/>
    <w:rsid w:val="006F73C3"/>
    <w:rsid w:val="00704F76"/>
    <w:rsid w:val="007066C9"/>
    <w:rsid w:val="00706849"/>
    <w:rsid w:val="007156D4"/>
    <w:rsid w:val="00716875"/>
    <w:rsid w:val="00717475"/>
    <w:rsid w:val="0071781C"/>
    <w:rsid w:val="00722A2B"/>
    <w:rsid w:val="00723619"/>
    <w:rsid w:val="007239AE"/>
    <w:rsid w:val="007267E8"/>
    <w:rsid w:val="00730642"/>
    <w:rsid w:val="00734ADC"/>
    <w:rsid w:val="007370DB"/>
    <w:rsid w:val="00743A26"/>
    <w:rsid w:val="00743F2A"/>
    <w:rsid w:val="00745DF0"/>
    <w:rsid w:val="00756C53"/>
    <w:rsid w:val="007602AB"/>
    <w:rsid w:val="00760F39"/>
    <w:rsid w:val="00761D4E"/>
    <w:rsid w:val="00767DE6"/>
    <w:rsid w:val="0077003C"/>
    <w:rsid w:val="00770311"/>
    <w:rsid w:val="00770D1C"/>
    <w:rsid w:val="007711EB"/>
    <w:rsid w:val="0077215B"/>
    <w:rsid w:val="00773811"/>
    <w:rsid w:val="0077432D"/>
    <w:rsid w:val="007757F8"/>
    <w:rsid w:val="00777036"/>
    <w:rsid w:val="00780F14"/>
    <w:rsid w:val="0078169C"/>
    <w:rsid w:val="00785B4D"/>
    <w:rsid w:val="007876F6"/>
    <w:rsid w:val="007937EA"/>
    <w:rsid w:val="00795E81"/>
    <w:rsid w:val="00797335"/>
    <w:rsid w:val="00797EB4"/>
    <w:rsid w:val="007A19CA"/>
    <w:rsid w:val="007A27F9"/>
    <w:rsid w:val="007A2E7E"/>
    <w:rsid w:val="007B1846"/>
    <w:rsid w:val="007C2A3F"/>
    <w:rsid w:val="007D2498"/>
    <w:rsid w:val="007D31A8"/>
    <w:rsid w:val="007D3774"/>
    <w:rsid w:val="007D4D5F"/>
    <w:rsid w:val="007E09A7"/>
    <w:rsid w:val="007E18F4"/>
    <w:rsid w:val="007E4E3D"/>
    <w:rsid w:val="007E7EAE"/>
    <w:rsid w:val="007F097C"/>
    <w:rsid w:val="007F1D84"/>
    <w:rsid w:val="007F24CE"/>
    <w:rsid w:val="007F5958"/>
    <w:rsid w:val="00800AF1"/>
    <w:rsid w:val="008124AE"/>
    <w:rsid w:val="00813600"/>
    <w:rsid w:val="00814AD3"/>
    <w:rsid w:val="00814CF0"/>
    <w:rsid w:val="00824D83"/>
    <w:rsid w:val="00825FD5"/>
    <w:rsid w:val="008324A5"/>
    <w:rsid w:val="00835EF4"/>
    <w:rsid w:val="00836390"/>
    <w:rsid w:val="00841D53"/>
    <w:rsid w:val="00843645"/>
    <w:rsid w:val="0084397D"/>
    <w:rsid w:val="008451C1"/>
    <w:rsid w:val="00847151"/>
    <w:rsid w:val="00852A10"/>
    <w:rsid w:val="008537E2"/>
    <w:rsid w:val="00854FCD"/>
    <w:rsid w:val="00855613"/>
    <w:rsid w:val="00857FF6"/>
    <w:rsid w:val="00860264"/>
    <w:rsid w:val="00861D55"/>
    <w:rsid w:val="008663DE"/>
    <w:rsid w:val="0087508F"/>
    <w:rsid w:val="008751B5"/>
    <w:rsid w:val="0087694D"/>
    <w:rsid w:val="008770BF"/>
    <w:rsid w:val="00881582"/>
    <w:rsid w:val="00885963"/>
    <w:rsid w:val="00885B4E"/>
    <w:rsid w:val="0088625A"/>
    <w:rsid w:val="00893F01"/>
    <w:rsid w:val="00896849"/>
    <w:rsid w:val="008B3F4C"/>
    <w:rsid w:val="008C12CC"/>
    <w:rsid w:val="008C3EBE"/>
    <w:rsid w:val="008D49B5"/>
    <w:rsid w:val="008D7BF6"/>
    <w:rsid w:val="008E1A40"/>
    <w:rsid w:val="008E2D8C"/>
    <w:rsid w:val="008E4ACA"/>
    <w:rsid w:val="008E5984"/>
    <w:rsid w:val="008E64EA"/>
    <w:rsid w:val="008F081F"/>
    <w:rsid w:val="008F0CC8"/>
    <w:rsid w:val="008F6109"/>
    <w:rsid w:val="00901395"/>
    <w:rsid w:val="00902BBB"/>
    <w:rsid w:val="009032B2"/>
    <w:rsid w:val="009040CE"/>
    <w:rsid w:val="00907F46"/>
    <w:rsid w:val="0091338D"/>
    <w:rsid w:val="00914E40"/>
    <w:rsid w:val="0091525B"/>
    <w:rsid w:val="009158AB"/>
    <w:rsid w:val="00915CD0"/>
    <w:rsid w:val="00920A16"/>
    <w:rsid w:val="00920C95"/>
    <w:rsid w:val="009234E3"/>
    <w:rsid w:val="0092616C"/>
    <w:rsid w:val="00927A52"/>
    <w:rsid w:val="0093447F"/>
    <w:rsid w:val="00935713"/>
    <w:rsid w:val="0093627A"/>
    <w:rsid w:val="00946864"/>
    <w:rsid w:val="0095711F"/>
    <w:rsid w:val="00961F1D"/>
    <w:rsid w:val="00977A3B"/>
    <w:rsid w:val="0098186A"/>
    <w:rsid w:val="009841BE"/>
    <w:rsid w:val="00986735"/>
    <w:rsid w:val="009967E8"/>
    <w:rsid w:val="009A49C3"/>
    <w:rsid w:val="009B542D"/>
    <w:rsid w:val="009D072C"/>
    <w:rsid w:val="009D3355"/>
    <w:rsid w:val="009D7D59"/>
    <w:rsid w:val="009E2DBF"/>
    <w:rsid w:val="009E5B18"/>
    <w:rsid w:val="009E7653"/>
    <w:rsid w:val="009E7E14"/>
    <w:rsid w:val="009F1A74"/>
    <w:rsid w:val="009F3D1F"/>
    <w:rsid w:val="009F6350"/>
    <w:rsid w:val="009F77C1"/>
    <w:rsid w:val="00A00E21"/>
    <w:rsid w:val="00A050A1"/>
    <w:rsid w:val="00A05A9D"/>
    <w:rsid w:val="00A07D11"/>
    <w:rsid w:val="00A140D2"/>
    <w:rsid w:val="00A26255"/>
    <w:rsid w:val="00A35C77"/>
    <w:rsid w:val="00A41F70"/>
    <w:rsid w:val="00A43DC4"/>
    <w:rsid w:val="00A44297"/>
    <w:rsid w:val="00A44BD7"/>
    <w:rsid w:val="00A50361"/>
    <w:rsid w:val="00A519E1"/>
    <w:rsid w:val="00A546C1"/>
    <w:rsid w:val="00A575BD"/>
    <w:rsid w:val="00A61683"/>
    <w:rsid w:val="00A63A5A"/>
    <w:rsid w:val="00A6604B"/>
    <w:rsid w:val="00A663DB"/>
    <w:rsid w:val="00A67197"/>
    <w:rsid w:val="00A67711"/>
    <w:rsid w:val="00A71635"/>
    <w:rsid w:val="00A73169"/>
    <w:rsid w:val="00A77B8B"/>
    <w:rsid w:val="00A818FB"/>
    <w:rsid w:val="00A83A44"/>
    <w:rsid w:val="00A862A4"/>
    <w:rsid w:val="00A965E1"/>
    <w:rsid w:val="00AA1A15"/>
    <w:rsid w:val="00AA328D"/>
    <w:rsid w:val="00AA369F"/>
    <w:rsid w:val="00AA599C"/>
    <w:rsid w:val="00AB20D3"/>
    <w:rsid w:val="00AB3E13"/>
    <w:rsid w:val="00AB4F70"/>
    <w:rsid w:val="00AB62CF"/>
    <w:rsid w:val="00AC06AF"/>
    <w:rsid w:val="00AC0C78"/>
    <w:rsid w:val="00AC1CB5"/>
    <w:rsid w:val="00AC2F6B"/>
    <w:rsid w:val="00AC4EB4"/>
    <w:rsid w:val="00AC5756"/>
    <w:rsid w:val="00AD18ED"/>
    <w:rsid w:val="00AD4888"/>
    <w:rsid w:val="00AD6DF5"/>
    <w:rsid w:val="00AE0142"/>
    <w:rsid w:val="00AE094E"/>
    <w:rsid w:val="00AE6933"/>
    <w:rsid w:val="00AF22EC"/>
    <w:rsid w:val="00AF570F"/>
    <w:rsid w:val="00AF745B"/>
    <w:rsid w:val="00B244F7"/>
    <w:rsid w:val="00B2485C"/>
    <w:rsid w:val="00B25A85"/>
    <w:rsid w:val="00B31214"/>
    <w:rsid w:val="00B32754"/>
    <w:rsid w:val="00B32D14"/>
    <w:rsid w:val="00B34281"/>
    <w:rsid w:val="00B35A13"/>
    <w:rsid w:val="00B368FC"/>
    <w:rsid w:val="00B40C0A"/>
    <w:rsid w:val="00B4121E"/>
    <w:rsid w:val="00B41F77"/>
    <w:rsid w:val="00B42813"/>
    <w:rsid w:val="00B43C8C"/>
    <w:rsid w:val="00B445B9"/>
    <w:rsid w:val="00B46F9C"/>
    <w:rsid w:val="00B4736D"/>
    <w:rsid w:val="00B52931"/>
    <w:rsid w:val="00B52FB7"/>
    <w:rsid w:val="00B57F4E"/>
    <w:rsid w:val="00B57F97"/>
    <w:rsid w:val="00B64428"/>
    <w:rsid w:val="00B6557F"/>
    <w:rsid w:val="00B67D2F"/>
    <w:rsid w:val="00B70FC1"/>
    <w:rsid w:val="00B7293E"/>
    <w:rsid w:val="00B72CE2"/>
    <w:rsid w:val="00B76695"/>
    <w:rsid w:val="00B8361F"/>
    <w:rsid w:val="00B836D2"/>
    <w:rsid w:val="00B862F7"/>
    <w:rsid w:val="00B96EF7"/>
    <w:rsid w:val="00BA34C2"/>
    <w:rsid w:val="00BC6911"/>
    <w:rsid w:val="00BD204E"/>
    <w:rsid w:val="00BD3EE0"/>
    <w:rsid w:val="00BE0991"/>
    <w:rsid w:val="00BE1037"/>
    <w:rsid w:val="00BE29CE"/>
    <w:rsid w:val="00BE32A8"/>
    <w:rsid w:val="00BE5BB6"/>
    <w:rsid w:val="00BF2FFB"/>
    <w:rsid w:val="00BF454D"/>
    <w:rsid w:val="00BF5DB4"/>
    <w:rsid w:val="00C031C8"/>
    <w:rsid w:val="00C041D4"/>
    <w:rsid w:val="00C04CFF"/>
    <w:rsid w:val="00C07A17"/>
    <w:rsid w:val="00C07F1A"/>
    <w:rsid w:val="00C10004"/>
    <w:rsid w:val="00C165FB"/>
    <w:rsid w:val="00C252FB"/>
    <w:rsid w:val="00C25D01"/>
    <w:rsid w:val="00C265AB"/>
    <w:rsid w:val="00C27C6D"/>
    <w:rsid w:val="00C31146"/>
    <w:rsid w:val="00C32D7B"/>
    <w:rsid w:val="00C33637"/>
    <w:rsid w:val="00C34E6A"/>
    <w:rsid w:val="00C40F64"/>
    <w:rsid w:val="00C440C5"/>
    <w:rsid w:val="00C443D9"/>
    <w:rsid w:val="00C452FA"/>
    <w:rsid w:val="00C45570"/>
    <w:rsid w:val="00C46D60"/>
    <w:rsid w:val="00C56084"/>
    <w:rsid w:val="00C56BBB"/>
    <w:rsid w:val="00C60DDD"/>
    <w:rsid w:val="00C6564A"/>
    <w:rsid w:val="00C713EC"/>
    <w:rsid w:val="00C72AF6"/>
    <w:rsid w:val="00C80375"/>
    <w:rsid w:val="00C81E02"/>
    <w:rsid w:val="00C8227A"/>
    <w:rsid w:val="00C82C88"/>
    <w:rsid w:val="00C84170"/>
    <w:rsid w:val="00C84926"/>
    <w:rsid w:val="00C85D0A"/>
    <w:rsid w:val="00C86E26"/>
    <w:rsid w:val="00C92B0E"/>
    <w:rsid w:val="00C94EF2"/>
    <w:rsid w:val="00C965AF"/>
    <w:rsid w:val="00C970BB"/>
    <w:rsid w:val="00CA4895"/>
    <w:rsid w:val="00CB1BE0"/>
    <w:rsid w:val="00CB2C2E"/>
    <w:rsid w:val="00CB3BE0"/>
    <w:rsid w:val="00CB50ED"/>
    <w:rsid w:val="00CB648C"/>
    <w:rsid w:val="00CB6E16"/>
    <w:rsid w:val="00CC2F72"/>
    <w:rsid w:val="00CC5DD4"/>
    <w:rsid w:val="00CD2A51"/>
    <w:rsid w:val="00CD5C00"/>
    <w:rsid w:val="00CD7089"/>
    <w:rsid w:val="00CE0FDE"/>
    <w:rsid w:val="00CE1001"/>
    <w:rsid w:val="00CE3B7C"/>
    <w:rsid w:val="00CE7155"/>
    <w:rsid w:val="00CF1576"/>
    <w:rsid w:val="00CF5EDE"/>
    <w:rsid w:val="00D13B4A"/>
    <w:rsid w:val="00D2354E"/>
    <w:rsid w:val="00D335FF"/>
    <w:rsid w:val="00D338B0"/>
    <w:rsid w:val="00D431D4"/>
    <w:rsid w:val="00D47FF0"/>
    <w:rsid w:val="00D51A88"/>
    <w:rsid w:val="00D55A25"/>
    <w:rsid w:val="00D64075"/>
    <w:rsid w:val="00D77B9C"/>
    <w:rsid w:val="00D77D63"/>
    <w:rsid w:val="00D81528"/>
    <w:rsid w:val="00D84CBA"/>
    <w:rsid w:val="00D85585"/>
    <w:rsid w:val="00D8598F"/>
    <w:rsid w:val="00D86D30"/>
    <w:rsid w:val="00D92FC6"/>
    <w:rsid w:val="00D96139"/>
    <w:rsid w:val="00D97297"/>
    <w:rsid w:val="00D97BED"/>
    <w:rsid w:val="00DA1B7C"/>
    <w:rsid w:val="00DA3655"/>
    <w:rsid w:val="00DA457B"/>
    <w:rsid w:val="00DA74C1"/>
    <w:rsid w:val="00DB1757"/>
    <w:rsid w:val="00DB2C87"/>
    <w:rsid w:val="00DB3A36"/>
    <w:rsid w:val="00DB3B9A"/>
    <w:rsid w:val="00DC2C20"/>
    <w:rsid w:val="00DC5BD0"/>
    <w:rsid w:val="00DD0990"/>
    <w:rsid w:val="00DD3DB7"/>
    <w:rsid w:val="00DE2B53"/>
    <w:rsid w:val="00DF0686"/>
    <w:rsid w:val="00DF0BA0"/>
    <w:rsid w:val="00DF0F79"/>
    <w:rsid w:val="00DF5D5C"/>
    <w:rsid w:val="00E01839"/>
    <w:rsid w:val="00E0472D"/>
    <w:rsid w:val="00E04A80"/>
    <w:rsid w:val="00E13D3B"/>
    <w:rsid w:val="00E16387"/>
    <w:rsid w:val="00E20083"/>
    <w:rsid w:val="00E20ACA"/>
    <w:rsid w:val="00E26DCF"/>
    <w:rsid w:val="00E317FF"/>
    <w:rsid w:val="00E34D24"/>
    <w:rsid w:val="00E37EA4"/>
    <w:rsid w:val="00E41DEE"/>
    <w:rsid w:val="00E44B25"/>
    <w:rsid w:val="00E470F1"/>
    <w:rsid w:val="00E5051F"/>
    <w:rsid w:val="00E511CF"/>
    <w:rsid w:val="00E53B16"/>
    <w:rsid w:val="00E57DD0"/>
    <w:rsid w:val="00E60827"/>
    <w:rsid w:val="00E631F2"/>
    <w:rsid w:val="00E66074"/>
    <w:rsid w:val="00E67394"/>
    <w:rsid w:val="00E70946"/>
    <w:rsid w:val="00E73167"/>
    <w:rsid w:val="00E75CE3"/>
    <w:rsid w:val="00E76E98"/>
    <w:rsid w:val="00E76FDD"/>
    <w:rsid w:val="00E80B0C"/>
    <w:rsid w:val="00E81313"/>
    <w:rsid w:val="00E8582C"/>
    <w:rsid w:val="00E86E9E"/>
    <w:rsid w:val="00E9044D"/>
    <w:rsid w:val="00E927D4"/>
    <w:rsid w:val="00E93E2E"/>
    <w:rsid w:val="00E94208"/>
    <w:rsid w:val="00E95EDA"/>
    <w:rsid w:val="00EA3B7B"/>
    <w:rsid w:val="00EA7A32"/>
    <w:rsid w:val="00EB2762"/>
    <w:rsid w:val="00EB3F40"/>
    <w:rsid w:val="00EC1D63"/>
    <w:rsid w:val="00EC2E23"/>
    <w:rsid w:val="00EC38B5"/>
    <w:rsid w:val="00EC3C2B"/>
    <w:rsid w:val="00EC4D2F"/>
    <w:rsid w:val="00EC76B5"/>
    <w:rsid w:val="00EE01E4"/>
    <w:rsid w:val="00EE38A1"/>
    <w:rsid w:val="00EE53C4"/>
    <w:rsid w:val="00EF0A4E"/>
    <w:rsid w:val="00EF335C"/>
    <w:rsid w:val="00EF3C33"/>
    <w:rsid w:val="00EF4F07"/>
    <w:rsid w:val="00EF7531"/>
    <w:rsid w:val="00F0056B"/>
    <w:rsid w:val="00F035A2"/>
    <w:rsid w:val="00F1393E"/>
    <w:rsid w:val="00F1542D"/>
    <w:rsid w:val="00F16F1A"/>
    <w:rsid w:val="00F27011"/>
    <w:rsid w:val="00F32051"/>
    <w:rsid w:val="00F33C54"/>
    <w:rsid w:val="00F34CC8"/>
    <w:rsid w:val="00F36CFD"/>
    <w:rsid w:val="00F42381"/>
    <w:rsid w:val="00F44E12"/>
    <w:rsid w:val="00F4709E"/>
    <w:rsid w:val="00F504A2"/>
    <w:rsid w:val="00F505AD"/>
    <w:rsid w:val="00F5064A"/>
    <w:rsid w:val="00F5312F"/>
    <w:rsid w:val="00F6099A"/>
    <w:rsid w:val="00F60AC1"/>
    <w:rsid w:val="00F62497"/>
    <w:rsid w:val="00F76903"/>
    <w:rsid w:val="00F775BA"/>
    <w:rsid w:val="00F77E2C"/>
    <w:rsid w:val="00F8091F"/>
    <w:rsid w:val="00F815B3"/>
    <w:rsid w:val="00F86012"/>
    <w:rsid w:val="00F87CF5"/>
    <w:rsid w:val="00F90264"/>
    <w:rsid w:val="00F9072E"/>
    <w:rsid w:val="00F94366"/>
    <w:rsid w:val="00FA5B6C"/>
    <w:rsid w:val="00FA648C"/>
    <w:rsid w:val="00FB2519"/>
    <w:rsid w:val="00FB2A70"/>
    <w:rsid w:val="00FB2DCA"/>
    <w:rsid w:val="00FB6B34"/>
    <w:rsid w:val="00FC0AC4"/>
    <w:rsid w:val="00FC3F75"/>
    <w:rsid w:val="00FC476F"/>
    <w:rsid w:val="00FD141B"/>
    <w:rsid w:val="00FE00A6"/>
    <w:rsid w:val="00FE04A8"/>
    <w:rsid w:val="00FE221F"/>
    <w:rsid w:val="00FE2EC1"/>
    <w:rsid w:val="00FF1B2E"/>
    <w:rsid w:val="00FF31CF"/>
    <w:rsid w:val="00FF3317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429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42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42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602A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A599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429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42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42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602A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A599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13</Pages>
  <Words>4410</Words>
  <Characters>23820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SOS-03</cp:lastModifiedBy>
  <cp:revision>956</cp:revision>
  <dcterms:created xsi:type="dcterms:W3CDTF">2016-11-15T15:53:00Z</dcterms:created>
  <dcterms:modified xsi:type="dcterms:W3CDTF">2016-11-25T13:45:00Z</dcterms:modified>
</cp:coreProperties>
</file>