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D4" w:rsidRDefault="001178D4" w:rsidP="001178D4">
      <w:pPr>
        <w:spacing w:after="0" w:line="360" w:lineRule="auto"/>
        <w:ind w:firstLine="1134"/>
        <w:jc w:val="both"/>
        <w:rPr>
          <w:rFonts w:ascii="Times New Roman" w:hAnsi="Times New Roman" w:cs="Times New Roman"/>
          <w:sz w:val="24"/>
          <w:szCs w:val="24"/>
        </w:rPr>
      </w:pPr>
      <w:r>
        <w:rPr>
          <w:rFonts w:ascii="Times New Roman" w:hAnsi="Times New Roman" w:cs="Times New Roman"/>
          <w:b/>
          <w:sz w:val="28"/>
          <w:szCs w:val="28"/>
        </w:rPr>
        <w:t>SINOPSE DO CASE</w:t>
      </w:r>
      <w:r>
        <w:rPr>
          <w:b/>
          <w:sz w:val="24"/>
        </w:rPr>
        <w:t xml:space="preserve">: </w:t>
      </w:r>
      <w:r w:rsidR="00F637C6" w:rsidRPr="00F637C6">
        <w:rPr>
          <w:rFonts w:ascii="Times New Roman" w:hAnsi="Times New Roman" w:cs="Times New Roman"/>
          <w:sz w:val="28"/>
          <w:szCs w:val="28"/>
        </w:rPr>
        <w:t>O PAGAMENTO DOS HONORÁRIOS ADVOCATÍCIOS NO PROCESSO DE FALÊNCIA</w:t>
      </w:r>
      <w:r>
        <w:rPr>
          <w:rFonts w:ascii="Times New Roman" w:hAnsi="Times New Roman" w:cs="Times New Roman"/>
          <w:sz w:val="28"/>
          <w:szCs w:val="28"/>
        </w:rPr>
        <w:t xml:space="preserve"> </w:t>
      </w:r>
      <w:r>
        <w:rPr>
          <w:rStyle w:val="Refdenotaderodap"/>
          <w:rFonts w:ascii="Times New Roman" w:hAnsi="Times New Roman" w:cs="Times New Roman"/>
          <w:sz w:val="28"/>
          <w:szCs w:val="28"/>
        </w:rPr>
        <w:footnoteReference w:id="1"/>
      </w:r>
      <w:r>
        <w:rPr>
          <w:rFonts w:ascii="Times New Roman" w:hAnsi="Times New Roman" w:cs="Times New Roman"/>
          <w:sz w:val="24"/>
          <w:szCs w:val="24"/>
        </w:rPr>
        <w:t xml:space="preserve"> </w:t>
      </w:r>
    </w:p>
    <w:p w:rsidR="00E541BB" w:rsidRDefault="00E541BB" w:rsidP="001178D4">
      <w:pPr>
        <w:spacing w:after="0" w:line="240" w:lineRule="auto"/>
        <w:ind w:firstLine="1134"/>
        <w:jc w:val="right"/>
        <w:rPr>
          <w:rFonts w:ascii="Times New Roman" w:hAnsi="Times New Roman" w:cs="Times New Roman"/>
          <w:sz w:val="24"/>
          <w:szCs w:val="24"/>
        </w:rPr>
      </w:pPr>
    </w:p>
    <w:p w:rsidR="001178D4" w:rsidRDefault="001178D4" w:rsidP="001178D4">
      <w:pPr>
        <w:spacing w:after="0" w:line="240" w:lineRule="auto"/>
        <w:ind w:firstLine="1134"/>
        <w:jc w:val="right"/>
        <w:rPr>
          <w:rFonts w:ascii="Times New Roman" w:hAnsi="Times New Roman" w:cs="Times New Roman"/>
          <w:sz w:val="24"/>
          <w:szCs w:val="24"/>
        </w:rPr>
      </w:pPr>
      <w:r>
        <w:rPr>
          <w:rFonts w:ascii="Times New Roman" w:hAnsi="Times New Roman" w:cs="Times New Roman"/>
          <w:sz w:val="24"/>
          <w:szCs w:val="24"/>
        </w:rPr>
        <w:t>George Cabral Cardoso</w:t>
      </w:r>
      <w:r>
        <w:rPr>
          <w:rStyle w:val="Refdenotaderodap"/>
          <w:rFonts w:ascii="Times New Roman" w:hAnsi="Times New Roman" w:cs="Times New Roman"/>
          <w:sz w:val="24"/>
          <w:szCs w:val="24"/>
        </w:rPr>
        <w:footnoteReference w:id="2"/>
      </w:r>
    </w:p>
    <w:p w:rsidR="001178D4" w:rsidRDefault="001178D4" w:rsidP="001178D4">
      <w:pPr>
        <w:spacing w:after="0" w:line="240" w:lineRule="auto"/>
        <w:ind w:firstLine="1134"/>
        <w:jc w:val="right"/>
        <w:rPr>
          <w:rFonts w:ascii="Times New Roman" w:hAnsi="Times New Roman" w:cs="Times New Roman"/>
          <w:sz w:val="24"/>
          <w:szCs w:val="24"/>
        </w:rPr>
      </w:pPr>
    </w:p>
    <w:p w:rsidR="001178D4" w:rsidRDefault="00EF4893" w:rsidP="001178D4">
      <w:pPr>
        <w:spacing w:after="0" w:line="240" w:lineRule="auto"/>
        <w:ind w:left="282" w:firstLine="1134"/>
        <w:jc w:val="right"/>
        <w:rPr>
          <w:rFonts w:ascii="Times New Roman" w:hAnsi="Times New Roman" w:cs="Times New Roman"/>
          <w:sz w:val="24"/>
          <w:szCs w:val="24"/>
        </w:rPr>
      </w:pPr>
      <w:r w:rsidRPr="00EF4893">
        <w:rPr>
          <w:rFonts w:ascii="Times New Roman" w:hAnsi="Times New Roman" w:cs="Times New Roman"/>
          <w:sz w:val="24"/>
          <w:szCs w:val="24"/>
        </w:rPr>
        <w:t>José Humberto Gomes de Oliveira</w:t>
      </w:r>
      <w:r w:rsidR="001178D4">
        <w:rPr>
          <w:rStyle w:val="Refdenotaderodap"/>
          <w:rFonts w:ascii="Times New Roman" w:hAnsi="Times New Roman" w:cs="Times New Roman"/>
          <w:sz w:val="24"/>
          <w:szCs w:val="24"/>
        </w:rPr>
        <w:footnoteReference w:id="3"/>
      </w:r>
    </w:p>
    <w:p w:rsidR="001178D4" w:rsidRDefault="001178D4" w:rsidP="001178D4">
      <w:pPr>
        <w:tabs>
          <w:tab w:val="left" w:pos="363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1178D4" w:rsidRDefault="001178D4" w:rsidP="001178D4">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 DESCRIÇÃO DO CASO</w:t>
      </w:r>
    </w:p>
    <w:p w:rsidR="001178D4" w:rsidRDefault="001178D4" w:rsidP="001178D4">
      <w:pPr>
        <w:spacing w:after="0" w:line="360" w:lineRule="auto"/>
        <w:ind w:firstLine="1134"/>
        <w:jc w:val="both"/>
        <w:rPr>
          <w:rFonts w:ascii="Times New Roman" w:hAnsi="Times New Roman" w:cs="Times New Roman"/>
          <w:sz w:val="24"/>
          <w:szCs w:val="24"/>
        </w:rPr>
      </w:pPr>
    </w:p>
    <w:p w:rsidR="001178D4" w:rsidRDefault="00E76135" w:rsidP="001A7394">
      <w:pPr>
        <w:spacing w:after="0" w:line="360" w:lineRule="auto"/>
        <w:ind w:firstLine="1134"/>
        <w:jc w:val="both"/>
        <w:rPr>
          <w:rFonts w:ascii="Times New Roman" w:hAnsi="Times New Roman" w:cs="Times New Roman"/>
          <w:sz w:val="24"/>
        </w:rPr>
      </w:pPr>
      <w:r>
        <w:rPr>
          <w:rFonts w:ascii="Times New Roman" w:hAnsi="Times New Roman" w:cs="Times New Roman"/>
          <w:sz w:val="24"/>
        </w:rPr>
        <w:t>No ano 1863, no mercado brasileiro, especificamente no ramo esportivo, iniciaram-se as atividades empresarias da Teuto Empreendimentos LTDA, que de logo obteve destaque no referido mercado. Ocorre, entretanto, que com alteração do corpo social re</w:t>
      </w:r>
      <w:r w:rsidR="003F42C8">
        <w:rPr>
          <w:rFonts w:ascii="Times New Roman" w:hAnsi="Times New Roman" w:cs="Times New Roman"/>
          <w:sz w:val="24"/>
        </w:rPr>
        <w:t>ferente ao controle de negócios, a atividade empresarial da Teuto Empreendimentos LTDA tão somente decaiu.</w:t>
      </w:r>
    </w:p>
    <w:p w:rsidR="003F42C8" w:rsidRDefault="003F42C8" w:rsidP="001A7394">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fato é que essa mudança da gestão, que controlava os negócios da ora citado o empreendimento, </w:t>
      </w:r>
      <w:r w:rsidR="0078257E">
        <w:rPr>
          <w:rFonts w:ascii="Times New Roman" w:hAnsi="Times New Roman" w:cs="Times New Roman"/>
          <w:sz w:val="24"/>
        </w:rPr>
        <w:t>passou</w:t>
      </w:r>
      <w:r>
        <w:rPr>
          <w:rFonts w:ascii="Times New Roman" w:hAnsi="Times New Roman" w:cs="Times New Roman"/>
          <w:sz w:val="24"/>
        </w:rPr>
        <w:t xml:space="preserve"> o controle à terceira geração da família </w:t>
      </w:r>
      <w:proofErr w:type="spellStart"/>
      <w:r w:rsidRPr="003F42C8">
        <w:rPr>
          <w:rFonts w:ascii="Times New Roman" w:hAnsi="Times New Roman" w:cs="Times New Roman"/>
          <w:sz w:val="24"/>
        </w:rPr>
        <w:t>wheissfurdher</w:t>
      </w:r>
      <w:proofErr w:type="spellEnd"/>
      <w:r w:rsidR="0078257E">
        <w:rPr>
          <w:rFonts w:ascii="Times New Roman" w:hAnsi="Times New Roman" w:cs="Times New Roman"/>
          <w:sz w:val="24"/>
        </w:rPr>
        <w:t xml:space="preserve">, a qual deixou de adimplir as obrigações relacionadas aos seus credores. Estes, </w:t>
      </w:r>
      <w:proofErr w:type="gramStart"/>
      <w:r w:rsidR="0078257E">
        <w:rPr>
          <w:rFonts w:ascii="Times New Roman" w:hAnsi="Times New Roman" w:cs="Times New Roman"/>
          <w:sz w:val="24"/>
        </w:rPr>
        <w:t>insatisfeitos</w:t>
      </w:r>
      <w:proofErr w:type="gramEnd"/>
      <w:r w:rsidR="0078257E">
        <w:rPr>
          <w:rFonts w:ascii="Times New Roman" w:hAnsi="Times New Roman" w:cs="Times New Roman"/>
          <w:sz w:val="24"/>
        </w:rPr>
        <w:t xml:space="preserve"> com a situação, requereram, 1999, a falência do empreendimento, sendo esta decretada ainda no mesmo ano.</w:t>
      </w:r>
    </w:p>
    <w:p w:rsidR="0078257E" w:rsidRDefault="0078257E" w:rsidP="001A7394">
      <w:pPr>
        <w:spacing w:after="0" w:line="360" w:lineRule="auto"/>
        <w:ind w:firstLine="1134"/>
        <w:jc w:val="both"/>
        <w:rPr>
          <w:rFonts w:ascii="Times New Roman" w:hAnsi="Times New Roman" w:cs="Times New Roman"/>
          <w:sz w:val="24"/>
        </w:rPr>
      </w:pPr>
      <w:r>
        <w:rPr>
          <w:rFonts w:ascii="Times New Roman" w:hAnsi="Times New Roman" w:cs="Times New Roman"/>
          <w:sz w:val="24"/>
        </w:rPr>
        <w:t>Após a venda dos bens e as respectivas arrecadações, constatou-se dinheiro em caixa, de modo a desencadear o início do pagamento dos credores. Ciente disso, a Zuniga Advogados Associados impugnou o Quadro Geral de Credores, a fim de recolocar o seu crédito para a classe trabalhista.</w:t>
      </w:r>
    </w:p>
    <w:p w:rsidR="001178D4" w:rsidRDefault="001178D4" w:rsidP="001178D4">
      <w:pPr>
        <w:spacing w:after="0" w:line="360" w:lineRule="auto"/>
        <w:jc w:val="both"/>
        <w:rPr>
          <w:rFonts w:ascii="Times New Roman" w:hAnsi="Times New Roman" w:cs="Times New Roman"/>
          <w:sz w:val="24"/>
          <w:szCs w:val="24"/>
        </w:rPr>
      </w:pPr>
    </w:p>
    <w:p w:rsidR="001178D4" w:rsidRDefault="001178D4" w:rsidP="001178D4">
      <w:pPr>
        <w:pStyle w:val="SemEspaamento"/>
        <w:rPr>
          <w:rFonts w:ascii="Times New Roman" w:hAnsi="Times New Roman" w:cs="Times New Roman"/>
          <w:sz w:val="24"/>
          <w:szCs w:val="24"/>
        </w:rPr>
      </w:pP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 xml:space="preserve"> IDENTIFICAÇÃO E ANÁLISE DO CASO</w:t>
      </w:r>
    </w:p>
    <w:p w:rsidR="001178D4" w:rsidRDefault="001178D4" w:rsidP="001178D4">
      <w:pPr>
        <w:pStyle w:val="SemEspaamento"/>
        <w:rPr>
          <w:rFonts w:ascii="Times New Roman" w:hAnsi="Times New Roman" w:cs="Times New Roman"/>
          <w:b/>
          <w:sz w:val="24"/>
          <w:szCs w:val="24"/>
        </w:rPr>
      </w:pPr>
    </w:p>
    <w:p w:rsidR="001178D4" w:rsidRDefault="001178D4" w:rsidP="001178D4">
      <w:pPr>
        <w:pStyle w:val="SemEspaamento"/>
        <w:rPr>
          <w:rFonts w:ascii="Times New Roman" w:hAnsi="Times New Roman" w:cs="Times New Roman"/>
          <w:b/>
          <w:sz w:val="24"/>
          <w:szCs w:val="24"/>
        </w:rPr>
      </w:pPr>
      <w:proofErr w:type="gramStart"/>
      <w:r>
        <w:rPr>
          <w:rFonts w:ascii="Times New Roman" w:hAnsi="Times New Roman" w:cs="Times New Roman"/>
          <w:b/>
          <w:sz w:val="24"/>
          <w:szCs w:val="24"/>
        </w:rPr>
        <w:t>2.1 Descrição</w:t>
      </w:r>
      <w:proofErr w:type="gramEnd"/>
      <w:r>
        <w:rPr>
          <w:rFonts w:ascii="Times New Roman" w:hAnsi="Times New Roman" w:cs="Times New Roman"/>
          <w:b/>
          <w:sz w:val="24"/>
          <w:szCs w:val="24"/>
        </w:rPr>
        <w:t xml:space="preserve"> das Decisões Possíveis:</w:t>
      </w:r>
    </w:p>
    <w:p w:rsidR="001178D4" w:rsidRDefault="001178D4" w:rsidP="001178D4">
      <w:pPr>
        <w:pStyle w:val="SemEspaamento"/>
        <w:rPr>
          <w:rFonts w:ascii="Times New Roman" w:hAnsi="Times New Roman" w:cs="Times New Roman"/>
          <w:b/>
          <w:sz w:val="24"/>
          <w:szCs w:val="24"/>
        </w:rPr>
      </w:pPr>
    </w:p>
    <w:p w:rsidR="001178D4" w:rsidRPr="006A7100" w:rsidRDefault="001D29D3" w:rsidP="001178D4">
      <w:pPr>
        <w:pStyle w:val="SemEspaamento"/>
        <w:numPr>
          <w:ilvl w:val="0"/>
          <w:numId w:val="1"/>
        </w:numPr>
        <w:jc w:val="both"/>
        <w:rPr>
          <w:rFonts w:ascii="Times New Roman" w:hAnsi="Times New Roman" w:cs="Times New Roman"/>
          <w:b/>
          <w:sz w:val="24"/>
          <w:szCs w:val="24"/>
        </w:rPr>
      </w:pPr>
      <w:r>
        <w:rPr>
          <w:rFonts w:ascii="Times New Roman" w:hAnsi="Times New Roman" w:cs="Times New Roman"/>
          <w:sz w:val="24"/>
          <w:szCs w:val="24"/>
        </w:rPr>
        <w:t>Das condições gerais para a decretação da falência</w:t>
      </w:r>
      <w:r w:rsidR="001178D4">
        <w:rPr>
          <w:rFonts w:ascii="Times New Roman" w:hAnsi="Times New Roman" w:cs="Times New Roman"/>
          <w:sz w:val="24"/>
          <w:szCs w:val="24"/>
        </w:rPr>
        <w:t>;</w:t>
      </w:r>
    </w:p>
    <w:p w:rsidR="006A7100" w:rsidRDefault="006A7100" w:rsidP="006A7100">
      <w:pPr>
        <w:pStyle w:val="SemEspaamento"/>
        <w:jc w:val="both"/>
        <w:rPr>
          <w:rFonts w:ascii="Times New Roman" w:hAnsi="Times New Roman" w:cs="Times New Roman"/>
          <w:sz w:val="24"/>
          <w:szCs w:val="24"/>
        </w:rPr>
      </w:pPr>
    </w:p>
    <w:p w:rsidR="006A7100" w:rsidRDefault="006A7100" w:rsidP="006A7100">
      <w:pPr>
        <w:pStyle w:val="SemEspaamento"/>
        <w:numPr>
          <w:ilvl w:val="0"/>
          <w:numId w:val="1"/>
        </w:numPr>
        <w:jc w:val="both"/>
        <w:rPr>
          <w:rFonts w:ascii="Times New Roman" w:hAnsi="Times New Roman" w:cs="Times New Roman"/>
          <w:b/>
          <w:sz w:val="24"/>
          <w:szCs w:val="24"/>
        </w:rPr>
      </w:pPr>
      <w:r>
        <w:rPr>
          <w:rFonts w:ascii="Times New Roman" w:hAnsi="Times New Roman" w:cs="Times New Roman"/>
          <w:sz w:val="24"/>
          <w:szCs w:val="24"/>
        </w:rPr>
        <w:t>Dos efeitos da falência;</w:t>
      </w:r>
    </w:p>
    <w:p w:rsidR="001178D4" w:rsidRDefault="001178D4" w:rsidP="0078257E">
      <w:pPr>
        <w:pStyle w:val="SemEspaamento"/>
        <w:ind w:left="360"/>
        <w:jc w:val="both"/>
        <w:rPr>
          <w:rFonts w:ascii="Times New Roman" w:hAnsi="Times New Roman" w:cs="Times New Roman"/>
          <w:b/>
          <w:sz w:val="24"/>
          <w:szCs w:val="24"/>
        </w:rPr>
      </w:pPr>
    </w:p>
    <w:p w:rsidR="001178D4" w:rsidRPr="0039608F" w:rsidRDefault="0045750D" w:rsidP="001178D4">
      <w:pPr>
        <w:pStyle w:val="SemEspaamento"/>
        <w:numPr>
          <w:ilvl w:val="0"/>
          <w:numId w:val="1"/>
        </w:numPr>
        <w:jc w:val="both"/>
        <w:rPr>
          <w:rFonts w:ascii="Times New Roman" w:hAnsi="Times New Roman" w:cs="Times New Roman"/>
          <w:b/>
          <w:sz w:val="24"/>
          <w:szCs w:val="24"/>
        </w:rPr>
      </w:pPr>
      <w:r>
        <w:rPr>
          <w:rFonts w:ascii="Times New Roman" w:hAnsi="Times New Roman" w:cs="Times New Roman"/>
          <w:sz w:val="24"/>
          <w:szCs w:val="24"/>
        </w:rPr>
        <w:t>Da classificação e prioridade creditícias</w:t>
      </w:r>
      <w:r w:rsidR="001178D4">
        <w:rPr>
          <w:rFonts w:ascii="Times New Roman" w:hAnsi="Times New Roman" w:cs="Times New Roman"/>
          <w:sz w:val="24"/>
          <w:szCs w:val="24"/>
        </w:rPr>
        <w:t>;</w:t>
      </w:r>
    </w:p>
    <w:p w:rsidR="0039608F" w:rsidRDefault="0039608F" w:rsidP="0039608F">
      <w:pPr>
        <w:pStyle w:val="PargrafodaLista"/>
        <w:spacing w:after="0" w:line="240" w:lineRule="auto"/>
        <w:rPr>
          <w:rFonts w:ascii="Times New Roman" w:hAnsi="Times New Roman" w:cs="Times New Roman"/>
          <w:b/>
          <w:sz w:val="24"/>
          <w:szCs w:val="24"/>
        </w:rPr>
      </w:pPr>
    </w:p>
    <w:p w:rsidR="0039608F" w:rsidRPr="00046B0E" w:rsidRDefault="0039608F" w:rsidP="001178D4">
      <w:pPr>
        <w:pStyle w:val="SemEspaamento"/>
        <w:numPr>
          <w:ilvl w:val="0"/>
          <w:numId w:val="1"/>
        </w:numPr>
        <w:jc w:val="both"/>
        <w:rPr>
          <w:rFonts w:ascii="Times New Roman" w:hAnsi="Times New Roman" w:cs="Times New Roman"/>
          <w:b/>
          <w:sz w:val="24"/>
          <w:szCs w:val="24"/>
        </w:rPr>
      </w:pPr>
      <w:r>
        <w:rPr>
          <w:rFonts w:ascii="Times New Roman" w:hAnsi="Times New Roman" w:cs="Times New Roman"/>
          <w:sz w:val="24"/>
          <w:szCs w:val="24"/>
        </w:rPr>
        <w:t>Da possibilidade de alteração do quadro de credores</w:t>
      </w:r>
    </w:p>
    <w:p w:rsidR="00046B0E" w:rsidRDefault="00046B0E" w:rsidP="00046B0E">
      <w:pPr>
        <w:pStyle w:val="PargrafodaLista"/>
        <w:spacing w:after="0" w:line="240" w:lineRule="auto"/>
        <w:rPr>
          <w:rFonts w:ascii="Times New Roman" w:hAnsi="Times New Roman" w:cs="Times New Roman"/>
          <w:b/>
          <w:sz w:val="24"/>
          <w:szCs w:val="24"/>
        </w:rPr>
      </w:pPr>
    </w:p>
    <w:p w:rsidR="00046B0E" w:rsidRPr="00046B0E" w:rsidRDefault="00046B0E" w:rsidP="001178D4">
      <w:pPr>
        <w:pStyle w:val="SemEspaamento"/>
        <w:numPr>
          <w:ilvl w:val="0"/>
          <w:numId w:val="1"/>
        </w:numPr>
        <w:jc w:val="both"/>
        <w:rPr>
          <w:rFonts w:ascii="Times New Roman" w:hAnsi="Times New Roman" w:cs="Times New Roman"/>
          <w:sz w:val="24"/>
          <w:szCs w:val="24"/>
        </w:rPr>
      </w:pPr>
      <w:r w:rsidRPr="00046B0E">
        <w:rPr>
          <w:rFonts w:ascii="Times New Roman" w:hAnsi="Times New Roman" w:cs="Times New Roman"/>
          <w:sz w:val="24"/>
          <w:szCs w:val="24"/>
        </w:rPr>
        <w:lastRenderedPageBreak/>
        <w:t xml:space="preserve">O crédito de </w:t>
      </w:r>
      <w:proofErr w:type="spellStart"/>
      <w:r w:rsidRPr="00046B0E">
        <w:rPr>
          <w:rFonts w:ascii="Times New Roman" w:hAnsi="Times New Roman" w:cs="Times New Roman"/>
          <w:sz w:val="24"/>
          <w:szCs w:val="24"/>
        </w:rPr>
        <w:t>Zuñiga</w:t>
      </w:r>
      <w:proofErr w:type="spellEnd"/>
      <w:r w:rsidRPr="00046B0E">
        <w:rPr>
          <w:rFonts w:ascii="Times New Roman" w:hAnsi="Times New Roman" w:cs="Times New Roman"/>
          <w:sz w:val="24"/>
          <w:szCs w:val="24"/>
        </w:rPr>
        <w:t xml:space="preserve"> Advogados Associados deve ser classificado como prioritário;</w:t>
      </w:r>
    </w:p>
    <w:p w:rsidR="00046B0E" w:rsidRPr="00046B0E" w:rsidRDefault="00046B0E" w:rsidP="00046B0E">
      <w:pPr>
        <w:pStyle w:val="PargrafodaLista"/>
        <w:spacing w:after="0" w:line="240" w:lineRule="auto"/>
        <w:rPr>
          <w:rFonts w:ascii="Times New Roman" w:hAnsi="Times New Roman" w:cs="Times New Roman"/>
          <w:sz w:val="24"/>
          <w:szCs w:val="24"/>
        </w:rPr>
      </w:pPr>
    </w:p>
    <w:p w:rsidR="00046B0E" w:rsidRPr="00046B0E" w:rsidRDefault="00046B0E" w:rsidP="001178D4">
      <w:pPr>
        <w:pStyle w:val="SemEspaamento"/>
        <w:numPr>
          <w:ilvl w:val="0"/>
          <w:numId w:val="1"/>
        </w:numPr>
        <w:jc w:val="both"/>
        <w:rPr>
          <w:rFonts w:ascii="Times New Roman" w:hAnsi="Times New Roman" w:cs="Times New Roman"/>
          <w:sz w:val="24"/>
          <w:szCs w:val="24"/>
        </w:rPr>
      </w:pPr>
      <w:r w:rsidRPr="00046B0E">
        <w:rPr>
          <w:rFonts w:ascii="Times New Roman" w:hAnsi="Times New Roman" w:cs="Times New Roman"/>
          <w:sz w:val="24"/>
          <w:szCs w:val="24"/>
        </w:rPr>
        <w:t xml:space="preserve">O crédito de </w:t>
      </w:r>
      <w:proofErr w:type="spellStart"/>
      <w:r w:rsidRPr="00046B0E">
        <w:rPr>
          <w:rFonts w:ascii="Times New Roman" w:hAnsi="Times New Roman" w:cs="Times New Roman"/>
          <w:sz w:val="24"/>
          <w:szCs w:val="24"/>
        </w:rPr>
        <w:t>Zuñiga</w:t>
      </w:r>
      <w:proofErr w:type="spellEnd"/>
      <w:r w:rsidRPr="00046B0E">
        <w:rPr>
          <w:rFonts w:ascii="Times New Roman" w:hAnsi="Times New Roman" w:cs="Times New Roman"/>
          <w:sz w:val="24"/>
          <w:szCs w:val="24"/>
        </w:rPr>
        <w:t xml:space="preserve"> Advogados Associados não se</w:t>
      </w:r>
      <w:r>
        <w:rPr>
          <w:rFonts w:ascii="Times New Roman" w:hAnsi="Times New Roman" w:cs="Times New Roman"/>
          <w:sz w:val="24"/>
          <w:szCs w:val="24"/>
        </w:rPr>
        <w:t>r classificado como prioritário;</w:t>
      </w:r>
    </w:p>
    <w:p w:rsidR="001178D4" w:rsidRDefault="001178D4" w:rsidP="001178D4">
      <w:pPr>
        <w:pStyle w:val="SemEspaamento"/>
        <w:spacing w:line="360" w:lineRule="auto"/>
        <w:ind w:left="357"/>
        <w:jc w:val="both"/>
        <w:rPr>
          <w:rFonts w:ascii="Times New Roman" w:hAnsi="Times New Roman" w:cs="Times New Roman"/>
          <w:b/>
          <w:sz w:val="24"/>
          <w:szCs w:val="24"/>
        </w:rPr>
      </w:pPr>
    </w:p>
    <w:p w:rsidR="001178D4" w:rsidRDefault="001178D4" w:rsidP="001178D4">
      <w:pPr>
        <w:pStyle w:val="SemEspaamento"/>
        <w:rPr>
          <w:rFonts w:ascii="Times New Roman" w:hAnsi="Times New Roman" w:cs="Times New Roman"/>
          <w:b/>
          <w:sz w:val="24"/>
          <w:szCs w:val="24"/>
        </w:rPr>
      </w:pPr>
      <w:r>
        <w:rPr>
          <w:rFonts w:ascii="Times New Roman" w:hAnsi="Times New Roman" w:cs="Times New Roman"/>
          <w:b/>
          <w:sz w:val="24"/>
          <w:szCs w:val="24"/>
        </w:rPr>
        <w:t>2.2 Argumentos Capazes de Fundamentar cada Decisão:</w:t>
      </w:r>
    </w:p>
    <w:p w:rsidR="001178D4" w:rsidRDefault="001178D4" w:rsidP="001178D4">
      <w:pPr>
        <w:pStyle w:val="SemEspaamento"/>
        <w:rPr>
          <w:rFonts w:ascii="Times New Roman" w:hAnsi="Times New Roman" w:cs="Times New Roman"/>
          <w:b/>
          <w:sz w:val="24"/>
          <w:szCs w:val="24"/>
        </w:rPr>
      </w:pPr>
    </w:p>
    <w:p w:rsidR="001178D4" w:rsidRDefault="00AC390B" w:rsidP="00AC390B">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É de plena relevância, de logo, apresentar as condições gerais para a de</w:t>
      </w:r>
      <w:r w:rsidR="00B6303E">
        <w:rPr>
          <w:rFonts w:ascii="Times New Roman" w:hAnsi="Times New Roman" w:cs="Times New Roman"/>
          <w:sz w:val="24"/>
          <w:szCs w:val="24"/>
        </w:rPr>
        <w:t>cretação da falência do devedor, vez que tal análise trás luz a própria compreensão do instituto falimentar.</w:t>
      </w:r>
      <w:r w:rsidR="00170ABA">
        <w:rPr>
          <w:rFonts w:ascii="Times New Roman" w:hAnsi="Times New Roman" w:cs="Times New Roman"/>
          <w:sz w:val="24"/>
          <w:szCs w:val="24"/>
        </w:rPr>
        <w:t xml:space="preserve"> Ricardo Negrão (2013, p.247-248), no tocante à falência, </w:t>
      </w:r>
      <w:proofErr w:type="spellStart"/>
      <w:r w:rsidR="00170ABA">
        <w:rPr>
          <w:rFonts w:ascii="Times New Roman" w:hAnsi="Times New Roman" w:cs="Times New Roman"/>
          <w:sz w:val="24"/>
          <w:szCs w:val="24"/>
        </w:rPr>
        <w:t>asserta</w:t>
      </w:r>
      <w:proofErr w:type="spellEnd"/>
      <w:r w:rsidR="00170ABA">
        <w:rPr>
          <w:rFonts w:ascii="Times New Roman" w:hAnsi="Times New Roman" w:cs="Times New Roman"/>
          <w:sz w:val="24"/>
          <w:szCs w:val="24"/>
        </w:rPr>
        <w:t xml:space="preserve"> que:</w:t>
      </w:r>
    </w:p>
    <w:p w:rsidR="00D170F4" w:rsidRDefault="00D170F4" w:rsidP="0075431F">
      <w:pPr>
        <w:pStyle w:val="SemEspaamento"/>
        <w:spacing w:line="360" w:lineRule="auto"/>
        <w:ind w:firstLine="1134"/>
        <w:jc w:val="both"/>
        <w:rPr>
          <w:rFonts w:ascii="Times New Roman" w:hAnsi="Times New Roman" w:cs="Times New Roman"/>
          <w:sz w:val="24"/>
          <w:szCs w:val="24"/>
        </w:rPr>
      </w:pPr>
    </w:p>
    <w:p w:rsidR="00D170F4" w:rsidRPr="00AD0465" w:rsidRDefault="00170ABA" w:rsidP="00AD0465">
      <w:pPr>
        <w:pStyle w:val="SemEspaamento"/>
        <w:ind w:left="2268"/>
        <w:jc w:val="both"/>
        <w:rPr>
          <w:rFonts w:ascii="Times New Roman" w:hAnsi="Times New Roman" w:cs="Times New Roman"/>
          <w:sz w:val="20"/>
          <w:szCs w:val="20"/>
        </w:rPr>
      </w:pPr>
      <w:proofErr w:type="gramStart"/>
      <w:r w:rsidRPr="00AD0465">
        <w:rPr>
          <w:rFonts w:ascii="Times New Roman" w:hAnsi="Times New Roman" w:cs="Times New Roman"/>
          <w:sz w:val="20"/>
          <w:szCs w:val="20"/>
        </w:rPr>
        <w:t>em</w:t>
      </w:r>
      <w:proofErr w:type="gramEnd"/>
      <w:r w:rsidRPr="00AD0465">
        <w:rPr>
          <w:rFonts w:ascii="Times New Roman" w:hAnsi="Times New Roman" w:cs="Times New Roman"/>
          <w:sz w:val="20"/>
          <w:szCs w:val="20"/>
        </w:rPr>
        <w:t xml:space="preserve"> primeiro lugar, ela somente é reservada ao devedor empresário- regular o irregular [...] Em segundo lugar, há algumas situações previstas em lei que caracterizariam o estado falimentar: essas não pressupõem a insolvabilidade ou a simples inadimplência, mas tão somente a impontualidade ou atos e situações fáticas definidas na própria lei (art.94) Em terceiro lugar, não se exige que os créditos que dão origem ao pedido falimentar tenham origem mercantil; </w:t>
      </w:r>
      <w:r w:rsidRPr="00AD0465">
        <w:rPr>
          <w:rFonts w:ascii="Times New Roman" w:hAnsi="Times New Roman" w:cs="Times New Roman"/>
          <w:b/>
          <w:sz w:val="20"/>
          <w:szCs w:val="20"/>
        </w:rPr>
        <w:t>o pedido falimentar pode decorrer de qualquer coisa obrigacional</w:t>
      </w:r>
      <w:r w:rsidR="00AD0465" w:rsidRPr="00AD0465">
        <w:rPr>
          <w:rFonts w:ascii="Times New Roman" w:hAnsi="Times New Roman" w:cs="Times New Roman"/>
          <w:b/>
          <w:sz w:val="20"/>
          <w:szCs w:val="20"/>
        </w:rPr>
        <w:t>, havendo, contudo, restrições a determinados tipos de credores, no que se refere à iniciativa para o requerimento ou para a habilitação no concurso universal.</w:t>
      </w:r>
      <w:r w:rsidR="00AD0465" w:rsidRPr="00AD0465">
        <w:rPr>
          <w:rFonts w:ascii="Times New Roman" w:hAnsi="Times New Roman" w:cs="Times New Roman"/>
          <w:sz w:val="20"/>
          <w:szCs w:val="20"/>
        </w:rPr>
        <w:t xml:space="preserve"> Em quarto lugar, o título executivo que acompanha o pedido da inicial, na hipótese da falência requerida com fundamento no art. 94, I, ao contrário do que ocorria no sistema de 1945, precisa estar vencido e protestado, devendo, ainda, corresponder a mais de quarenta salários mínimos na data do pedido de falência. Por fim, a qualidade de empresário não é essencial para legitimar o autor de pedido de falência, salvo no procedimento de autofalência.</w:t>
      </w:r>
    </w:p>
    <w:p w:rsidR="00D170F4" w:rsidRDefault="00D170F4" w:rsidP="0075431F">
      <w:pPr>
        <w:pStyle w:val="SemEspaamento"/>
        <w:ind w:firstLine="1134"/>
        <w:jc w:val="both"/>
        <w:rPr>
          <w:rFonts w:ascii="Times New Roman" w:hAnsi="Times New Roman" w:cs="Times New Roman"/>
          <w:sz w:val="24"/>
          <w:szCs w:val="24"/>
        </w:rPr>
      </w:pPr>
    </w:p>
    <w:p w:rsidR="006A7100" w:rsidRDefault="00AD0465" w:rsidP="00D170F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seja possível a decretação da falência do devedor é necessário, em </w:t>
      </w:r>
      <w:proofErr w:type="gramStart"/>
      <w:r>
        <w:rPr>
          <w:rFonts w:ascii="Times New Roman" w:hAnsi="Times New Roman" w:cs="Times New Roman"/>
          <w:sz w:val="24"/>
          <w:szCs w:val="24"/>
        </w:rPr>
        <w:t>suma,</w:t>
      </w:r>
      <w:proofErr w:type="gramEnd"/>
      <w:r>
        <w:rPr>
          <w:rFonts w:ascii="Times New Roman" w:hAnsi="Times New Roman" w:cs="Times New Roman"/>
          <w:sz w:val="24"/>
          <w:szCs w:val="24"/>
        </w:rPr>
        <w:t xml:space="preserve">- além de um devedor, por óbvio- </w:t>
      </w:r>
      <w:r w:rsidR="001A7129">
        <w:rPr>
          <w:rFonts w:ascii="Times New Roman" w:hAnsi="Times New Roman" w:cs="Times New Roman"/>
          <w:sz w:val="24"/>
          <w:szCs w:val="24"/>
        </w:rPr>
        <w:t xml:space="preserve">1) </w:t>
      </w:r>
      <w:r>
        <w:rPr>
          <w:rFonts w:ascii="Times New Roman" w:hAnsi="Times New Roman" w:cs="Times New Roman"/>
          <w:sz w:val="24"/>
          <w:szCs w:val="24"/>
        </w:rPr>
        <w:t>uma situação tipificada em lei- Lei 11.101/2005</w:t>
      </w:r>
      <w:r w:rsidR="001A7129">
        <w:rPr>
          <w:rFonts w:ascii="Times New Roman" w:hAnsi="Times New Roman" w:cs="Times New Roman"/>
          <w:sz w:val="24"/>
          <w:szCs w:val="24"/>
        </w:rPr>
        <w:t>, e não simplesmente uma insolvência ou inadimplência; 2) que o pedido e falência seja oriundo de qualquer obrigação-salvo as vedadas por lei, não unicamente um crédito de origem mercantil; 3) que o título que se executa</w:t>
      </w:r>
      <w:r w:rsidR="00203C15">
        <w:rPr>
          <w:rFonts w:ascii="Times New Roman" w:hAnsi="Times New Roman" w:cs="Times New Roman"/>
          <w:sz w:val="24"/>
          <w:szCs w:val="24"/>
        </w:rPr>
        <w:t xml:space="preserve"> esteja devidamente vencido, bem como tenha sido protestado no órgão </w:t>
      </w:r>
      <w:r w:rsidR="008008FE">
        <w:rPr>
          <w:rFonts w:ascii="Times New Roman" w:hAnsi="Times New Roman" w:cs="Times New Roman"/>
          <w:sz w:val="24"/>
          <w:szCs w:val="24"/>
        </w:rPr>
        <w:t>competente, e que este valor seja superior a quarenta salários mínimos.</w:t>
      </w:r>
    </w:p>
    <w:p w:rsidR="00D170F4" w:rsidRDefault="006A7100" w:rsidP="00D170F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w:t>
      </w:r>
      <w:r w:rsidR="00203C15">
        <w:rPr>
          <w:rFonts w:ascii="Times New Roman" w:hAnsi="Times New Roman" w:cs="Times New Roman"/>
          <w:sz w:val="24"/>
          <w:szCs w:val="24"/>
        </w:rPr>
        <w:t xml:space="preserve">omente </w:t>
      </w:r>
      <w:r>
        <w:rPr>
          <w:rFonts w:ascii="Times New Roman" w:hAnsi="Times New Roman" w:cs="Times New Roman"/>
          <w:sz w:val="24"/>
          <w:szCs w:val="24"/>
        </w:rPr>
        <w:t>em se fazendo presentes</w:t>
      </w:r>
      <w:r w:rsidR="00203C15">
        <w:rPr>
          <w:rFonts w:ascii="Times New Roman" w:hAnsi="Times New Roman" w:cs="Times New Roman"/>
          <w:sz w:val="24"/>
          <w:szCs w:val="24"/>
        </w:rPr>
        <w:t xml:space="preserve"> </w:t>
      </w:r>
      <w:r>
        <w:rPr>
          <w:rFonts w:ascii="Times New Roman" w:hAnsi="Times New Roman" w:cs="Times New Roman"/>
          <w:sz w:val="24"/>
          <w:szCs w:val="24"/>
        </w:rPr>
        <w:t xml:space="preserve">os requisitos supracitados (condições) é que o processo está apto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uma posterior decretação da falência do devedor, de modo a se produzir efeitos específicos se o assim o fizer.</w:t>
      </w:r>
    </w:p>
    <w:p w:rsidR="00D170F4" w:rsidRPr="005C17A3" w:rsidRDefault="00D170F4" w:rsidP="00D170F4">
      <w:pPr>
        <w:pStyle w:val="SemEspaamento"/>
        <w:spacing w:line="360" w:lineRule="auto"/>
        <w:ind w:firstLine="1134"/>
        <w:jc w:val="both"/>
        <w:rPr>
          <w:rFonts w:ascii="Times New Roman" w:hAnsi="Times New Roman" w:cs="Times New Roman"/>
          <w:sz w:val="24"/>
          <w:szCs w:val="24"/>
        </w:rPr>
      </w:pPr>
    </w:p>
    <w:p w:rsidR="001178D4" w:rsidRDefault="008008FE" w:rsidP="006A7100">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 xml:space="preserve">Caso seja decretada a falência, esta, </w:t>
      </w:r>
      <w:r w:rsidRPr="00991781">
        <w:rPr>
          <w:rFonts w:ascii="Times New Roman" w:hAnsi="Times New Roman" w:cs="Times New Roman"/>
          <w:i/>
          <w:sz w:val="24"/>
          <w:szCs w:val="24"/>
        </w:rPr>
        <w:t>a priori</w:t>
      </w:r>
      <w:r>
        <w:rPr>
          <w:rFonts w:ascii="Times New Roman" w:hAnsi="Times New Roman" w:cs="Times New Roman"/>
          <w:sz w:val="24"/>
          <w:szCs w:val="24"/>
        </w:rPr>
        <w:t>, está apta a produzir determinados efeitos previsto</w:t>
      </w:r>
      <w:r w:rsidR="00991781">
        <w:rPr>
          <w:rFonts w:ascii="Times New Roman" w:hAnsi="Times New Roman" w:cs="Times New Roman"/>
          <w:sz w:val="24"/>
          <w:szCs w:val="24"/>
        </w:rPr>
        <w:t>s</w:t>
      </w:r>
      <w:r>
        <w:rPr>
          <w:rFonts w:ascii="Times New Roman" w:hAnsi="Times New Roman" w:cs="Times New Roman"/>
          <w:sz w:val="24"/>
          <w:szCs w:val="24"/>
        </w:rPr>
        <w:t xml:space="preserve"> pela Lei 11.101/2005</w:t>
      </w:r>
      <w:r w:rsidR="00991781">
        <w:rPr>
          <w:rFonts w:ascii="Times New Roman" w:hAnsi="Times New Roman" w:cs="Times New Roman"/>
          <w:sz w:val="24"/>
          <w:szCs w:val="24"/>
        </w:rPr>
        <w:t xml:space="preserve">, que se desdobram especificamente </w:t>
      </w:r>
      <w:r w:rsidR="009A174A">
        <w:rPr>
          <w:rFonts w:ascii="Times New Roman" w:hAnsi="Times New Roman" w:cs="Times New Roman"/>
          <w:sz w:val="24"/>
          <w:szCs w:val="24"/>
        </w:rPr>
        <w:lastRenderedPageBreak/>
        <w:t xml:space="preserve">no que se refere </w:t>
      </w:r>
      <w:r w:rsidR="00991781">
        <w:rPr>
          <w:rFonts w:ascii="Times New Roman" w:hAnsi="Times New Roman" w:cs="Times New Roman"/>
          <w:sz w:val="24"/>
          <w:szCs w:val="24"/>
        </w:rPr>
        <w:t xml:space="preserve">à pessoa do falido e </w:t>
      </w:r>
      <w:r w:rsidR="009A174A">
        <w:rPr>
          <w:rFonts w:ascii="Times New Roman" w:hAnsi="Times New Roman" w:cs="Times New Roman"/>
          <w:sz w:val="24"/>
          <w:szCs w:val="24"/>
        </w:rPr>
        <w:t>os seus respectivos</w:t>
      </w:r>
      <w:r w:rsidR="00991781">
        <w:rPr>
          <w:rFonts w:ascii="Times New Roman" w:hAnsi="Times New Roman" w:cs="Times New Roman"/>
          <w:sz w:val="24"/>
          <w:szCs w:val="24"/>
        </w:rPr>
        <w:t xml:space="preserve"> bens</w:t>
      </w:r>
      <w:r w:rsidR="009A174A">
        <w:rPr>
          <w:rFonts w:ascii="Times New Roman" w:hAnsi="Times New Roman" w:cs="Times New Roman"/>
          <w:sz w:val="24"/>
          <w:szCs w:val="24"/>
        </w:rPr>
        <w:t>,</w:t>
      </w:r>
      <w:r w:rsidR="00991781">
        <w:rPr>
          <w:rFonts w:ascii="Times New Roman" w:hAnsi="Times New Roman" w:cs="Times New Roman"/>
          <w:sz w:val="24"/>
          <w:szCs w:val="24"/>
        </w:rPr>
        <w:t xml:space="preserve"> </w:t>
      </w:r>
      <w:r w:rsidR="009A174A">
        <w:rPr>
          <w:rFonts w:ascii="Times New Roman" w:hAnsi="Times New Roman" w:cs="Times New Roman"/>
          <w:sz w:val="24"/>
          <w:szCs w:val="24"/>
        </w:rPr>
        <w:t>bem como</w:t>
      </w:r>
      <w:r w:rsidR="00991781">
        <w:rPr>
          <w:rFonts w:ascii="Times New Roman" w:hAnsi="Times New Roman" w:cs="Times New Roman"/>
          <w:sz w:val="24"/>
          <w:szCs w:val="24"/>
        </w:rPr>
        <w:t xml:space="preserve"> </w:t>
      </w:r>
      <w:r w:rsidR="009A174A">
        <w:rPr>
          <w:rFonts w:ascii="Times New Roman" w:hAnsi="Times New Roman" w:cs="Times New Roman"/>
          <w:sz w:val="24"/>
          <w:szCs w:val="24"/>
        </w:rPr>
        <w:t>no que diz respeito</w:t>
      </w:r>
      <w:r w:rsidR="00770970">
        <w:rPr>
          <w:rFonts w:ascii="Times New Roman" w:hAnsi="Times New Roman" w:cs="Times New Roman"/>
          <w:sz w:val="24"/>
          <w:szCs w:val="24"/>
        </w:rPr>
        <w:t xml:space="preserve"> ao</w:t>
      </w:r>
      <w:r w:rsidR="009A174A">
        <w:rPr>
          <w:rFonts w:ascii="Times New Roman" w:hAnsi="Times New Roman" w:cs="Times New Roman"/>
          <w:sz w:val="24"/>
          <w:szCs w:val="24"/>
        </w:rPr>
        <w:t>s</w:t>
      </w:r>
      <w:r w:rsidR="00770970">
        <w:rPr>
          <w:rFonts w:ascii="Times New Roman" w:hAnsi="Times New Roman" w:cs="Times New Roman"/>
          <w:sz w:val="24"/>
          <w:szCs w:val="24"/>
        </w:rPr>
        <w:t xml:space="preserve"> contratos firmados pelo devedor falido.</w:t>
      </w:r>
    </w:p>
    <w:p w:rsidR="005B6676" w:rsidRDefault="005B6676" w:rsidP="005B667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w:t>
      </w:r>
      <w:r w:rsidR="0079706F">
        <w:rPr>
          <w:rFonts w:ascii="Times New Roman" w:hAnsi="Times New Roman" w:cs="Times New Roman"/>
          <w:sz w:val="24"/>
          <w:szCs w:val="24"/>
        </w:rPr>
        <w:t>à</w:t>
      </w:r>
      <w:r>
        <w:rPr>
          <w:rFonts w:ascii="Times New Roman" w:hAnsi="Times New Roman" w:cs="Times New Roman"/>
          <w:sz w:val="24"/>
          <w:szCs w:val="24"/>
        </w:rPr>
        <w:t xml:space="preserve"> pessoa do devedor os efeitos podem incidir acerca das restrições à capacidade jurídica-processual do falido e à sua liberdade de locomoção, das obrigações que lhe são impostas, do exercício da atividade empresarial, a manutenção do negócio exercido pelo devedor falido e da possibilidade de prisão. Sobre isso</w:t>
      </w:r>
      <w:r w:rsidR="002C7E44">
        <w:rPr>
          <w:rFonts w:ascii="Times New Roman" w:hAnsi="Times New Roman" w:cs="Times New Roman"/>
          <w:sz w:val="24"/>
          <w:szCs w:val="24"/>
        </w:rPr>
        <w:t>,</w:t>
      </w:r>
      <w:r>
        <w:rPr>
          <w:rFonts w:ascii="Times New Roman" w:hAnsi="Times New Roman" w:cs="Times New Roman"/>
          <w:sz w:val="24"/>
          <w:szCs w:val="24"/>
        </w:rPr>
        <w:t xml:space="preserve"> Amador Paes de Almeida (2012, p. 166-170)</w:t>
      </w:r>
      <w:r w:rsidR="002C7E44">
        <w:rPr>
          <w:rFonts w:ascii="Times New Roman" w:hAnsi="Times New Roman" w:cs="Times New Roman"/>
          <w:sz w:val="24"/>
          <w:szCs w:val="24"/>
        </w:rPr>
        <w:t xml:space="preserve"> profere:</w:t>
      </w:r>
    </w:p>
    <w:p w:rsidR="005B6676" w:rsidRDefault="005B6676" w:rsidP="0075431F">
      <w:pPr>
        <w:pStyle w:val="SemEspaamento"/>
        <w:spacing w:line="360" w:lineRule="auto"/>
        <w:ind w:firstLine="1134"/>
        <w:jc w:val="both"/>
        <w:rPr>
          <w:rFonts w:ascii="Times New Roman" w:hAnsi="Times New Roman" w:cs="Times New Roman"/>
          <w:sz w:val="24"/>
          <w:szCs w:val="24"/>
        </w:rPr>
      </w:pPr>
    </w:p>
    <w:p w:rsidR="005B6676" w:rsidRPr="0079706F" w:rsidRDefault="002C7E44" w:rsidP="0079706F">
      <w:pPr>
        <w:pStyle w:val="SemEspaamento"/>
        <w:ind w:left="2268"/>
        <w:jc w:val="both"/>
        <w:rPr>
          <w:rFonts w:ascii="Times New Roman" w:hAnsi="Times New Roman" w:cs="Times New Roman"/>
          <w:sz w:val="20"/>
          <w:szCs w:val="20"/>
        </w:rPr>
      </w:pPr>
      <w:proofErr w:type="gramStart"/>
      <w:r w:rsidRPr="0079706F">
        <w:rPr>
          <w:rFonts w:ascii="Times New Roman" w:hAnsi="Times New Roman" w:cs="Times New Roman"/>
          <w:sz w:val="20"/>
          <w:szCs w:val="20"/>
        </w:rPr>
        <w:t>sofre</w:t>
      </w:r>
      <w:proofErr w:type="gramEnd"/>
      <w:r w:rsidRPr="0079706F">
        <w:rPr>
          <w:rFonts w:ascii="Times New Roman" w:hAnsi="Times New Roman" w:cs="Times New Roman"/>
          <w:sz w:val="20"/>
          <w:szCs w:val="20"/>
        </w:rPr>
        <w:t xml:space="preserve"> o falido séria restrições à sua capacidade processual, não podendo, por via de consequência, figurar como autor ou réu em ações patrimoniais de interesse da massa, ficando impedido, inclusive, de praticar qualquer ato que se refira, direta ou indiretamente, aos bens, interesses, direitos e obrigações compreendidos na falência, sob pena de nulidade, a ser declarada </w:t>
      </w:r>
      <w:proofErr w:type="spellStart"/>
      <w:r w:rsidRPr="0079706F">
        <w:rPr>
          <w:rFonts w:ascii="Times New Roman" w:hAnsi="Times New Roman" w:cs="Times New Roman"/>
          <w:sz w:val="20"/>
          <w:szCs w:val="20"/>
        </w:rPr>
        <w:t>ex</w:t>
      </w:r>
      <w:proofErr w:type="spellEnd"/>
      <w:r w:rsidRPr="0079706F">
        <w:rPr>
          <w:rFonts w:ascii="Times New Roman" w:hAnsi="Times New Roman" w:cs="Times New Roman"/>
          <w:sz w:val="20"/>
          <w:szCs w:val="20"/>
        </w:rPr>
        <w:t xml:space="preserve"> </w:t>
      </w:r>
      <w:proofErr w:type="spellStart"/>
      <w:r w:rsidRPr="0079706F">
        <w:rPr>
          <w:rFonts w:ascii="Times New Roman" w:hAnsi="Times New Roman" w:cs="Times New Roman"/>
          <w:sz w:val="20"/>
          <w:szCs w:val="20"/>
        </w:rPr>
        <w:t>officio</w:t>
      </w:r>
      <w:proofErr w:type="spellEnd"/>
      <w:r w:rsidRPr="0079706F">
        <w:rPr>
          <w:rFonts w:ascii="Times New Roman" w:hAnsi="Times New Roman" w:cs="Times New Roman"/>
          <w:sz w:val="20"/>
          <w:szCs w:val="20"/>
        </w:rPr>
        <w:t>, independentemente de prova de prejuízo. Outra restrição que decorre da declaração da falência é a que impõe ao falido a obrigação de não se ausentar do lugar da falência sem a devida autorização judicial [...] A declaração da falência impõe ao falido inúmera</w:t>
      </w:r>
      <w:r w:rsidR="0079706F">
        <w:rPr>
          <w:rFonts w:ascii="Times New Roman" w:hAnsi="Times New Roman" w:cs="Times New Roman"/>
          <w:sz w:val="20"/>
          <w:szCs w:val="20"/>
        </w:rPr>
        <w:t>s</w:t>
      </w:r>
      <w:r w:rsidRPr="0079706F">
        <w:rPr>
          <w:rFonts w:ascii="Times New Roman" w:hAnsi="Times New Roman" w:cs="Times New Roman"/>
          <w:sz w:val="20"/>
          <w:szCs w:val="20"/>
        </w:rPr>
        <w:t xml:space="preserve"> obrigações que, se não cumpridas fielmente, podem redundar na sua prisão [...] Ora, uma das consequências da declaração da falência, é exatamente, a de privar o falido da administração de seus bens [...] </w:t>
      </w:r>
      <w:r w:rsidR="0079706F" w:rsidRPr="0079706F">
        <w:rPr>
          <w:rFonts w:ascii="Times New Roman" w:hAnsi="Times New Roman" w:cs="Times New Roman"/>
          <w:sz w:val="20"/>
          <w:szCs w:val="20"/>
        </w:rPr>
        <w:t xml:space="preserve">Objetivando a preservação da empresa, a Lei de Falências, no seu art. 99, XI, faculta ao juiz decidir pela continuação </w:t>
      </w:r>
      <w:proofErr w:type="gramStart"/>
      <w:r w:rsidR="0079706F" w:rsidRPr="0079706F">
        <w:rPr>
          <w:rFonts w:ascii="Times New Roman" w:hAnsi="Times New Roman" w:cs="Times New Roman"/>
          <w:sz w:val="20"/>
          <w:szCs w:val="20"/>
        </w:rPr>
        <w:t>das atividade</w:t>
      </w:r>
      <w:proofErr w:type="gramEnd"/>
      <w:r w:rsidR="0079706F" w:rsidRPr="0079706F">
        <w:rPr>
          <w:rFonts w:ascii="Times New Roman" w:hAnsi="Times New Roman" w:cs="Times New Roman"/>
          <w:sz w:val="20"/>
          <w:szCs w:val="20"/>
        </w:rPr>
        <w:t xml:space="preserve"> do falido, com o administrador judicial [...] No decorrer de todo o processo está o falido sujeito à prisão, o que pode ocorre de início, com a declaração, constatada pelo juiz prova de crime falimentar.</w:t>
      </w:r>
    </w:p>
    <w:p w:rsidR="005B6676" w:rsidRDefault="005B6676" w:rsidP="0075431F">
      <w:pPr>
        <w:pStyle w:val="SemEspaamento"/>
        <w:ind w:firstLine="1134"/>
        <w:jc w:val="both"/>
        <w:rPr>
          <w:rFonts w:ascii="Times New Roman" w:hAnsi="Times New Roman" w:cs="Times New Roman"/>
          <w:sz w:val="24"/>
          <w:szCs w:val="24"/>
        </w:rPr>
      </w:pPr>
    </w:p>
    <w:p w:rsidR="005B6676" w:rsidRDefault="0079706F" w:rsidP="005B667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devedor falido, portanto, quanto a sua pessoa, perde determinadas capacidades processuais, não pode ausentar-se do local de onde foi decretada a falência, salvo prévia autorização judicial; impõe-lhe determinas obrigações para com a justiça, não podendo administrar seus próprios bens, podendo, ainda, incidir-lhe a pena de prisão quando existentes, e percebidas pelo magistrado, contundentes provas da prática de crime falimentar.</w:t>
      </w:r>
    </w:p>
    <w:p w:rsidR="001178D4" w:rsidRDefault="005766F6" w:rsidP="001178D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falido, como já dito alhures, também sofre efeitos quanto aos seu</w:t>
      </w:r>
      <w:r w:rsidR="0039608F">
        <w:rPr>
          <w:rFonts w:ascii="Times New Roman" w:hAnsi="Times New Roman" w:cs="Times New Roman"/>
          <w:sz w:val="24"/>
          <w:szCs w:val="24"/>
        </w:rPr>
        <w:t>s</w:t>
      </w:r>
      <w:r>
        <w:rPr>
          <w:rFonts w:ascii="Times New Roman" w:hAnsi="Times New Roman" w:cs="Times New Roman"/>
          <w:sz w:val="24"/>
          <w:szCs w:val="24"/>
        </w:rPr>
        <w:t xml:space="preserve"> bens, de tal forma a concretizar caráter de coletividade da falência, já que nesta espécie de processos todos os credores do falido pode</w:t>
      </w:r>
      <w:r w:rsidR="0039608F">
        <w:rPr>
          <w:rFonts w:ascii="Times New Roman" w:hAnsi="Times New Roman" w:cs="Times New Roman"/>
          <w:sz w:val="24"/>
          <w:szCs w:val="24"/>
        </w:rPr>
        <w:t>m</w:t>
      </w:r>
      <w:r>
        <w:rPr>
          <w:rFonts w:ascii="Times New Roman" w:hAnsi="Times New Roman" w:cs="Times New Roman"/>
          <w:sz w:val="24"/>
          <w:szCs w:val="24"/>
        </w:rPr>
        <w:t xml:space="preserve"> participar do processo. Marlon </w:t>
      </w:r>
      <w:proofErr w:type="spellStart"/>
      <w:r>
        <w:rPr>
          <w:rFonts w:ascii="Times New Roman" w:hAnsi="Times New Roman" w:cs="Times New Roman"/>
          <w:sz w:val="24"/>
          <w:szCs w:val="24"/>
        </w:rPr>
        <w:t>Tomazette</w:t>
      </w:r>
      <w:proofErr w:type="spellEnd"/>
      <w:r>
        <w:rPr>
          <w:rFonts w:ascii="Times New Roman" w:hAnsi="Times New Roman" w:cs="Times New Roman"/>
          <w:sz w:val="24"/>
          <w:szCs w:val="24"/>
        </w:rPr>
        <w:t xml:space="preserve"> (2011, p. 432-436) elucida que:</w:t>
      </w:r>
    </w:p>
    <w:p w:rsidR="005766F6" w:rsidRDefault="005766F6" w:rsidP="0075431F">
      <w:pPr>
        <w:pStyle w:val="SemEspaamento"/>
        <w:spacing w:line="360" w:lineRule="auto"/>
        <w:ind w:firstLine="1134"/>
        <w:jc w:val="both"/>
        <w:rPr>
          <w:rFonts w:ascii="Times New Roman" w:hAnsi="Times New Roman" w:cs="Times New Roman"/>
          <w:sz w:val="24"/>
          <w:szCs w:val="24"/>
        </w:rPr>
      </w:pPr>
    </w:p>
    <w:p w:rsidR="005766F6" w:rsidRPr="00A659C9" w:rsidRDefault="00A659C9" w:rsidP="00A659C9">
      <w:pPr>
        <w:pStyle w:val="SemEspaamento"/>
        <w:ind w:left="2268"/>
        <w:jc w:val="both"/>
        <w:rPr>
          <w:rFonts w:ascii="Times New Roman" w:hAnsi="Times New Roman" w:cs="Times New Roman"/>
          <w:sz w:val="20"/>
          <w:szCs w:val="20"/>
        </w:rPr>
      </w:pPr>
      <w:proofErr w:type="gramStart"/>
      <w:r>
        <w:rPr>
          <w:rFonts w:ascii="Times New Roman" w:hAnsi="Times New Roman" w:cs="Times New Roman"/>
          <w:sz w:val="20"/>
          <w:szCs w:val="20"/>
        </w:rPr>
        <w:t>c</w:t>
      </w:r>
      <w:r w:rsidR="005766F6" w:rsidRPr="00A659C9">
        <w:rPr>
          <w:rFonts w:ascii="Times New Roman" w:hAnsi="Times New Roman" w:cs="Times New Roman"/>
          <w:sz w:val="20"/>
          <w:szCs w:val="20"/>
        </w:rPr>
        <w:t>omo</w:t>
      </w:r>
      <w:proofErr w:type="gramEnd"/>
      <w:r w:rsidR="005766F6" w:rsidRPr="00A659C9">
        <w:rPr>
          <w:rFonts w:ascii="Times New Roman" w:hAnsi="Times New Roman" w:cs="Times New Roman"/>
          <w:sz w:val="20"/>
          <w:szCs w:val="20"/>
        </w:rPr>
        <w:t xml:space="preserve"> o patrimônio do devedor responde por suas obrigações (CPC- art. 591) e na falência deverá se tentar pagar todas as obrigações do falido, a consequência natural é que todo o seu patrimônio deverá ser submetido ao processo de falência. Contudo, a referida regra admite que a lei estabeleça restrições, isto é, determinados bens podem ser excluídos</w:t>
      </w:r>
      <w:r w:rsidRPr="00A659C9">
        <w:rPr>
          <w:rFonts w:ascii="Times New Roman" w:hAnsi="Times New Roman" w:cs="Times New Roman"/>
          <w:sz w:val="20"/>
          <w:szCs w:val="20"/>
        </w:rPr>
        <w:t xml:space="preserve"> do alcance dos credores. Nesse sentido o artigo 648 do CPC estabelece que “não estão sujeitos à execução os bens que a lei considera impenhoráveis ou inalienáveis” [...] Dentro dessa ideia, devem ser entendidos aqueles bens que não podem responder por dívidas do falido, salvo em condições excepcionais </w:t>
      </w:r>
      <w:r w:rsidRPr="00A659C9">
        <w:rPr>
          <w:rFonts w:ascii="Times New Roman" w:hAnsi="Times New Roman" w:cs="Times New Roman"/>
          <w:sz w:val="20"/>
          <w:szCs w:val="20"/>
        </w:rPr>
        <w:lastRenderedPageBreak/>
        <w:t>[</w:t>
      </w:r>
      <w:proofErr w:type="gramStart"/>
      <w:r w:rsidRPr="00A659C9">
        <w:rPr>
          <w:rFonts w:ascii="Times New Roman" w:hAnsi="Times New Roman" w:cs="Times New Roman"/>
          <w:sz w:val="20"/>
          <w:szCs w:val="20"/>
        </w:rPr>
        <w:t>..</w:t>
      </w:r>
      <w:proofErr w:type="gramEnd"/>
      <w:r w:rsidRPr="00A659C9">
        <w:rPr>
          <w:rFonts w:ascii="Times New Roman" w:hAnsi="Times New Roman" w:cs="Times New Roman"/>
          <w:sz w:val="20"/>
          <w:szCs w:val="20"/>
        </w:rPr>
        <w:t>] O patrimônio de afetação nada mais é do que uma segregação patrimonial. Ele representa</w:t>
      </w:r>
      <w:proofErr w:type="gramStart"/>
      <w:r w:rsidRPr="00A659C9">
        <w:rPr>
          <w:rFonts w:ascii="Times New Roman" w:hAnsi="Times New Roman" w:cs="Times New Roman"/>
          <w:sz w:val="20"/>
          <w:szCs w:val="20"/>
        </w:rPr>
        <w:t xml:space="preserve">  </w:t>
      </w:r>
      <w:proofErr w:type="gramEnd"/>
      <w:r w:rsidRPr="00A659C9">
        <w:rPr>
          <w:rFonts w:ascii="Times New Roman" w:hAnsi="Times New Roman" w:cs="Times New Roman"/>
          <w:sz w:val="20"/>
          <w:szCs w:val="20"/>
        </w:rPr>
        <w:t>o conjunto de bens segregados do patrimônio de um sujeito para o cumprimento de finalidade específicas, com direitos e obrigações próprios, o qual não se comunica com o patrimônio geral daquele sujeito.</w:t>
      </w:r>
    </w:p>
    <w:p w:rsidR="005766F6" w:rsidRDefault="005766F6" w:rsidP="0075431F">
      <w:pPr>
        <w:pStyle w:val="SemEspaamento"/>
        <w:ind w:firstLine="1134"/>
        <w:jc w:val="both"/>
        <w:rPr>
          <w:rFonts w:ascii="Times New Roman" w:hAnsi="Times New Roman" w:cs="Times New Roman"/>
          <w:sz w:val="24"/>
          <w:szCs w:val="24"/>
        </w:rPr>
      </w:pPr>
    </w:p>
    <w:p w:rsidR="005766F6" w:rsidRDefault="0020633C" w:rsidP="001178D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bens do devedor falido, desta feita, podem ser passíveis de restrição, salvo aqueles previstos como bem impenhoráveis ou considerados patrimônios de afetação, que se constituem</w:t>
      </w:r>
      <w:r w:rsidR="000D7F9C">
        <w:rPr>
          <w:rFonts w:ascii="Times New Roman" w:hAnsi="Times New Roman" w:cs="Times New Roman"/>
          <w:sz w:val="24"/>
          <w:szCs w:val="24"/>
        </w:rPr>
        <w:t xml:space="preserve"> um conjuntos de bens a parte do patrimônio do devedor falido sobre o qual pode i</w:t>
      </w:r>
      <w:r w:rsidR="00427596">
        <w:rPr>
          <w:rFonts w:ascii="Times New Roman" w:hAnsi="Times New Roman" w:cs="Times New Roman"/>
          <w:sz w:val="24"/>
          <w:szCs w:val="24"/>
        </w:rPr>
        <w:t>ncidir uma específica restrição, esta, decerto, decorrente da decretação da falência.</w:t>
      </w:r>
    </w:p>
    <w:p w:rsidR="005766F6" w:rsidRDefault="001817A5" w:rsidP="001178D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no que se refere aos efeitos sobre os contratos firmados pelo devedor falido há que frisar algumas peculiaridades.</w:t>
      </w:r>
      <w:r w:rsidR="000F14E4">
        <w:rPr>
          <w:rFonts w:ascii="Times New Roman" w:hAnsi="Times New Roman" w:cs="Times New Roman"/>
          <w:sz w:val="24"/>
          <w:szCs w:val="24"/>
        </w:rPr>
        <w:t xml:space="preserve"> Os contratos bilaterais não são resolvidos quando da decretação da falência, facultando-se a quem exerce o cargo de administrador judicial, se, assim o fazendo, haverá benefício à massa. No tocante aos contratos unilaterais, há que sublinhar, que nesse tipo de contrato, sendo credor o falido, não ocorre o seu vencimento, podendo o administrador judicial cumpri-los se tal ato aumentar o ativo ou preservar o passivo (PERIN, JUNIOR, 2011).</w:t>
      </w:r>
    </w:p>
    <w:p w:rsidR="005F3CB6" w:rsidRDefault="005F3CB6" w:rsidP="001178D4">
      <w:pPr>
        <w:pStyle w:val="SemEspaamento"/>
        <w:spacing w:line="360" w:lineRule="auto"/>
        <w:ind w:firstLine="1134"/>
        <w:jc w:val="both"/>
        <w:rPr>
          <w:rFonts w:ascii="Times New Roman" w:hAnsi="Times New Roman" w:cs="Times New Roman"/>
          <w:sz w:val="24"/>
          <w:szCs w:val="24"/>
        </w:rPr>
      </w:pPr>
    </w:p>
    <w:p w:rsidR="0039608F" w:rsidRDefault="00ED40F0" w:rsidP="0039608F">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Os créditos derivados da falência podem ser analisados a partir de suas classificações e de seu</w:t>
      </w:r>
      <w:r w:rsidR="00181115">
        <w:rPr>
          <w:rFonts w:ascii="Times New Roman" w:hAnsi="Times New Roman" w:cs="Times New Roman"/>
          <w:sz w:val="24"/>
          <w:szCs w:val="24"/>
        </w:rPr>
        <w:t>s</w:t>
      </w:r>
      <w:r>
        <w:rPr>
          <w:rFonts w:ascii="Times New Roman" w:hAnsi="Times New Roman" w:cs="Times New Roman"/>
          <w:sz w:val="24"/>
          <w:szCs w:val="24"/>
        </w:rPr>
        <w:t xml:space="preserve"> respectivo</w:t>
      </w:r>
      <w:r w:rsidR="00074407">
        <w:rPr>
          <w:rFonts w:ascii="Times New Roman" w:hAnsi="Times New Roman" w:cs="Times New Roman"/>
          <w:sz w:val="24"/>
          <w:szCs w:val="24"/>
        </w:rPr>
        <w:t>s</w:t>
      </w:r>
      <w:r>
        <w:rPr>
          <w:rFonts w:ascii="Times New Roman" w:hAnsi="Times New Roman" w:cs="Times New Roman"/>
          <w:sz w:val="24"/>
          <w:szCs w:val="24"/>
        </w:rPr>
        <w:t xml:space="preserve"> (não) enquadramento</w:t>
      </w:r>
      <w:r w:rsidR="00181115">
        <w:rPr>
          <w:rFonts w:ascii="Times New Roman" w:hAnsi="Times New Roman" w:cs="Times New Roman"/>
          <w:sz w:val="24"/>
          <w:szCs w:val="24"/>
        </w:rPr>
        <w:t>s</w:t>
      </w:r>
      <w:r>
        <w:rPr>
          <w:rFonts w:ascii="Times New Roman" w:hAnsi="Times New Roman" w:cs="Times New Roman"/>
          <w:sz w:val="24"/>
          <w:szCs w:val="24"/>
        </w:rPr>
        <w:t xml:space="preserve"> </w:t>
      </w:r>
      <w:r w:rsidR="00181115">
        <w:rPr>
          <w:rFonts w:ascii="Times New Roman" w:hAnsi="Times New Roman" w:cs="Times New Roman"/>
          <w:sz w:val="24"/>
          <w:szCs w:val="24"/>
        </w:rPr>
        <w:t xml:space="preserve">como </w:t>
      </w:r>
      <w:r w:rsidR="00074407">
        <w:rPr>
          <w:rFonts w:ascii="Times New Roman" w:hAnsi="Times New Roman" w:cs="Times New Roman"/>
          <w:sz w:val="24"/>
          <w:szCs w:val="24"/>
        </w:rPr>
        <w:t xml:space="preserve">créditos prioritários, bem como em créditos concursais ou </w:t>
      </w:r>
      <w:proofErr w:type="spellStart"/>
      <w:r w:rsidR="00074407">
        <w:rPr>
          <w:rFonts w:ascii="Times New Roman" w:hAnsi="Times New Roman" w:cs="Times New Roman"/>
          <w:sz w:val="24"/>
          <w:szCs w:val="24"/>
        </w:rPr>
        <w:t>extraconcursais</w:t>
      </w:r>
      <w:proofErr w:type="spellEnd"/>
      <w:r w:rsidR="00074407">
        <w:rPr>
          <w:rFonts w:ascii="Times New Roman" w:hAnsi="Times New Roman" w:cs="Times New Roman"/>
          <w:sz w:val="24"/>
          <w:szCs w:val="24"/>
        </w:rPr>
        <w:t>. Tal análise deve ser vista em consonância como as disposições da Lei de Falência e Recuperação de Empresas, especificadamente em seu artigo 84.</w:t>
      </w:r>
    </w:p>
    <w:p w:rsidR="00074407" w:rsidRDefault="00074407" w:rsidP="0007440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feita, excetuando os crédito que derivam das relações trabalhista, até o limite de 150 (cinto e cinquenta salários mínimos)</w:t>
      </w:r>
      <w:r w:rsidR="00DA21C0">
        <w:rPr>
          <w:rFonts w:ascii="Times New Roman" w:hAnsi="Times New Roman" w:cs="Times New Roman"/>
          <w:sz w:val="24"/>
          <w:szCs w:val="24"/>
        </w:rPr>
        <w:t xml:space="preserve"> individualmente aos credores e o decorrentes de acidentes a classificação dos créditos e suas devidas prioridades seguem a ordem de </w:t>
      </w:r>
      <w:proofErr w:type="gramStart"/>
      <w:r w:rsidR="00DA21C0">
        <w:rPr>
          <w:rFonts w:ascii="Times New Roman" w:hAnsi="Times New Roman" w:cs="Times New Roman"/>
          <w:sz w:val="24"/>
          <w:szCs w:val="24"/>
        </w:rPr>
        <w:t>1</w:t>
      </w:r>
      <w:proofErr w:type="gramEnd"/>
      <w:r w:rsidR="00DA21C0">
        <w:rPr>
          <w:rFonts w:ascii="Times New Roman" w:hAnsi="Times New Roman" w:cs="Times New Roman"/>
          <w:sz w:val="24"/>
          <w:szCs w:val="24"/>
        </w:rPr>
        <w:t>)créditos com garantia real até o limite do valor do bem gravado; 2) créditos tributários; 3) créditos com privilégio especial; 4) créditos com privilégio geral e 5) os créditos quirografários. (FAZZIO JÚNIOR, 2006)</w:t>
      </w:r>
    </w:p>
    <w:p w:rsidR="005F3CB6" w:rsidRDefault="005F3CB6" w:rsidP="00074407">
      <w:pPr>
        <w:pStyle w:val="SemEspaamento"/>
        <w:spacing w:line="360" w:lineRule="auto"/>
        <w:ind w:firstLine="1134"/>
        <w:jc w:val="both"/>
        <w:rPr>
          <w:rFonts w:ascii="Times New Roman" w:hAnsi="Times New Roman" w:cs="Times New Roman"/>
          <w:sz w:val="24"/>
          <w:szCs w:val="24"/>
        </w:rPr>
      </w:pPr>
    </w:p>
    <w:p w:rsidR="005766F6" w:rsidRDefault="003B399A" w:rsidP="00DA21C0">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A alteração do quadro de credores pode ocorrer a partir da impugnação do crédito, que pode se dar quando questionado o valor, a legitimidade e a classificação do crédito</w:t>
      </w:r>
      <w:r w:rsidR="004D1316">
        <w:rPr>
          <w:rFonts w:ascii="Times New Roman" w:hAnsi="Times New Roman" w:cs="Times New Roman"/>
          <w:sz w:val="24"/>
          <w:szCs w:val="24"/>
        </w:rPr>
        <w:t>. A partir disso, sendo procedente, a impugnação haverá a necessária alteração. Em verdade, trata-se de impugnações que objetivam acréscimo do passivo ou sua reclassificação</w:t>
      </w:r>
      <w:r w:rsidR="004A72D9">
        <w:rPr>
          <w:rFonts w:ascii="Times New Roman" w:hAnsi="Times New Roman" w:cs="Times New Roman"/>
          <w:sz w:val="24"/>
          <w:szCs w:val="24"/>
        </w:rPr>
        <w:t xml:space="preserve">, acrescentar um crédito, retirar ou diminuir se valor; alterar sua </w:t>
      </w:r>
      <w:r w:rsidR="004A72D9">
        <w:rPr>
          <w:rFonts w:ascii="Times New Roman" w:hAnsi="Times New Roman" w:cs="Times New Roman"/>
          <w:sz w:val="24"/>
          <w:szCs w:val="24"/>
        </w:rPr>
        <w:lastRenderedPageBreak/>
        <w:t>classificação, incidindo-se alguns ônus que, até antes das impugnações não constavam, na relação jurídica falimentar. (MAMEDE, 2012)</w:t>
      </w:r>
    </w:p>
    <w:p w:rsidR="009D7413" w:rsidRDefault="004A72D9" w:rsidP="009D7413">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procedência da impugnação- que pode partir, </w:t>
      </w:r>
      <w:r w:rsidR="00FA0BF0">
        <w:rPr>
          <w:rFonts w:ascii="Times New Roman" w:hAnsi="Times New Roman" w:cs="Times New Roman"/>
          <w:sz w:val="24"/>
          <w:szCs w:val="24"/>
        </w:rPr>
        <w:t xml:space="preserve">em regra, pelo credor ou pelo </w:t>
      </w:r>
      <w:r>
        <w:rPr>
          <w:rFonts w:ascii="Times New Roman" w:hAnsi="Times New Roman" w:cs="Times New Roman"/>
          <w:sz w:val="24"/>
          <w:szCs w:val="24"/>
        </w:rPr>
        <w:t>falido-</w:t>
      </w:r>
      <w:r w:rsidR="00FA0BF0">
        <w:rPr>
          <w:rFonts w:ascii="Times New Roman" w:hAnsi="Times New Roman" w:cs="Times New Roman"/>
          <w:sz w:val="24"/>
          <w:szCs w:val="24"/>
        </w:rPr>
        <w:t xml:space="preserve"> acarretará a respectiva alteração. Conforme a Lei 11.101/2005, especificadamente os artigos 11 e 12, preveem que o credores que tiverem seus créditos impugnados podem contestar no prazo de </w:t>
      </w:r>
      <w:proofErr w:type="gramStart"/>
      <w:r w:rsidR="00FA0BF0">
        <w:rPr>
          <w:rFonts w:ascii="Times New Roman" w:hAnsi="Times New Roman" w:cs="Times New Roman"/>
          <w:sz w:val="24"/>
          <w:szCs w:val="24"/>
        </w:rPr>
        <w:t>5</w:t>
      </w:r>
      <w:proofErr w:type="gramEnd"/>
      <w:r w:rsidR="00FA0BF0">
        <w:rPr>
          <w:rFonts w:ascii="Times New Roman" w:hAnsi="Times New Roman" w:cs="Times New Roman"/>
          <w:sz w:val="24"/>
          <w:szCs w:val="24"/>
        </w:rPr>
        <w:t xml:space="preserve"> (cinco) dias, bem como que, decorrido o referido prazo, o devedor e o Comitê de Credores será intimado para se manifestar, também no prazo de cinco dias.</w:t>
      </w:r>
    </w:p>
    <w:p w:rsidR="005F3CB6" w:rsidRDefault="005F3CB6" w:rsidP="009D7413">
      <w:pPr>
        <w:pStyle w:val="SemEspaamento"/>
        <w:spacing w:line="360" w:lineRule="auto"/>
        <w:ind w:firstLine="1134"/>
        <w:jc w:val="both"/>
        <w:rPr>
          <w:rFonts w:ascii="Times New Roman" w:hAnsi="Times New Roman" w:cs="Times New Roman"/>
          <w:sz w:val="24"/>
          <w:szCs w:val="24"/>
        </w:rPr>
      </w:pPr>
    </w:p>
    <w:p w:rsidR="009D7413" w:rsidRDefault="00DF2CB2" w:rsidP="00DA21C0">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 xml:space="preserve">A decisão de </w:t>
      </w:r>
      <w:r w:rsidR="00EB61E9">
        <w:rPr>
          <w:rFonts w:ascii="Times New Roman" w:hAnsi="Times New Roman" w:cs="Times New Roman"/>
          <w:sz w:val="24"/>
          <w:szCs w:val="24"/>
        </w:rPr>
        <w:t xml:space="preserve">priorizar os créditos de </w:t>
      </w:r>
      <w:proofErr w:type="spellStart"/>
      <w:r w:rsidR="00EB61E9">
        <w:rPr>
          <w:rFonts w:ascii="Times New Roman" w:hAnsi="Times New Roman" w:cs="Times New Roman"/>
          <w:sz w:val="24"/>
          <w:szCs w:val="24"/>
        </w:rPr>
        <w:t>Zuñiga</w:t>
      </w:r>
      <w:proofErr w:type="spellEnd"/>
      <w:r w:rsidR="00EB61E9">
        <w:rPr>
          <w:rFonts w:ascii="Times New Roman" w:hAnsi="Times New Roman" w:cs="Times New Roman"/>
          <w:sz w:val="24"/>
          <w:szCs w:val="24"/>
        </w:rPr>
        <w:t xml:space="preserve"> Advogados Associados, provenientes dos honorários advocatícios dec</w:t>
      </w:r>
      <w:r w:rsidR="00B9335D">
        <w:rPr>
          <w:rFonts w:ascii="Times New Roman" w:hAnsi="Times New Roman" w:cs="Times New Roman"/>
          <w:sz w:val="24"/>
          <w:szCs w:val="24"/>
        </w:rPr>
        <w:t>orrentes do processo falimentar, é fundamentada</w:t>
      </w:r>
      <w:proofErr w:type="gramStart"/>
      <w:r w:rsidR="00B9335D">
        <w:rPr>
          <w:rFonts w:ascii="Times New Roman" w:hAnsi="Times New Roman" w:cs="Times New Roman"/>
          <w:sz w:val="24"/>
          <w:szCs w:val="24"/>
        </w:rPr>
        <w:t xml:space="preserve"> sobretudo</w:t>
      </w:r>
      <w:proofErr w:type="gramEnd"/>
      <w:r w:rsidR="00B9335D">
        <w:rPr>
          <w:rFonts w:ascii="Times New Roman" w:hAnsi="Times New Roman" w:cs="Times New Roman"/>
          <w:sz w:val="24"/>
          <w:szCs w:val="24"/>
        </w:rPr>
        <w:t xml:space="preserve"> no fato de tais honorários constituírem-se  uma natureza alimentar. Este foi entendimento formado pela Ministra Nancy </w:t>
      </w:r>
      <w:proofErr w:type="spellStart"/>
      <w:r w:rsidR="00B9335D">
        <w:rPr>
          <w:rFonts w:ascii="Times New Roman" w:hAnsi="Times New Roman" w:cs="Times New Roman"/>
          <w:sz w:val="24"/>
          <w:szCs w:val="24"/>
        </w:rPr>
        <w:t>Andrighi</w:t>
      </w:r>
      <w:proofErr w:type="spellEnd"/>
      <w:r w:rsidR="00B9335D">
        <w:rPr>
          <w:rFonts w:ascii="Times New Roman" w:hAnsi="Times New Roman" w:cs="Times New Roman"/>
          <w:sz w:val="24"/>
          <w:szCs w:val="24"/>
        </w:rPr>
        <w:t xml:space="preserve"> do Superior Tribunal de Justiça, quem compõe a terceira turma do respectivo Tribunal:</w:t>
      </w:r>
    </w:p>
    <w:p w:rsidR="004279C1" w:rsidRDefault="004279C1" w:rsidP="004279C1">
      <w:pPr>
        <w:pStyle w:val="SemEspaamento"/>
        <w:spacing w:line="360" w:lineRule="auto"/>
        <w:ind w:left="992"/>
        <w:jc w:val="both"/>
        <w:rPr>
          <w:rFonts w:ascii="Times New Roman" w:hAnsi="Times New Roman" w:cs="Times New Roman"/>
          <w:sz w:val="24"/>
          <w:szCs w:val="24"/>
        </w:rPr>
      </w:pPr>
    </w:p>
    <w:p w:rsidR="001133A9" w:rsidRDefault="00DF2CB2" w:rsidP="00DF2CB2">
      <w:pPr>
        <w:spacing w:after="0" w:line="240" w:lineRule="auto"/>
        <w:ind w:left="2268"/>
        <w:jc w:val="both"/>
        <w:rPr>
          <w:rFonts w:ascii="Times New Roman" w:hAnsi="Times New Roman" w:cs="Times New Roman"/>
          <w:sz w:val="20"/>
          <w:szCs w:val="20"/>
        </w:rPr>
      </w:pPr>
      <w:r w:rsidRPr="000C3C90">
        <w:rPr>
          <w:rFonts w:ascii="Times New Roman" w:hAnsi="Times New Roman" w:cs="Times New Roman"/>
          <w:sz w:val="20"/>
          <w:szCs w:val="20"/>
        </w:rPr>
        <w:t>RESP 201300970410 RESP - RECURSO ESPECIAL - 1377764</w:t>
      </w:r>
      <w:proofErr w:type="gramStart"/>
      <w:r w:rsidRPr="000C3C90">
        <w:rPr>
          <w:rFonts w:ascii="Times New Roman" w:hAnsi="Times New Roman" w:cs="Times New Roman"/>
          <w:sz w:val="20"/>
          <w:szCs w:val="20"/>
        </w:rPr>
        <w:t>..</w:t>
      </w:r>
      <w:proofErr w:type="gramEnd"/>
      <w:r w:rsidRPr="000C3C90">
        <w:rPr>
          <w:rFonts w:ascii="Times New Roman" w:hAnsi="Times New Roman" w:cs="Times New Roman"/>
          <w:sz w:val="20"/>
          <w:szCs w:val="20"/>
        </w:rPr>
        <w:t xml:space="preserve"> RECURSO ESPECIAL. AÇÃO DE DESPEJO E COBRANÇA DE ALUGUEIS. CUMPRIMENTO DE SENTENÇA. HONORÁRIOS ADVOCATÍCIOS SUCUMBENCIAIS. NATUREZA ALIMENTAR. EQUIPARAÇÃO A CRÉDITOS TRABALHISTAS. SUJEIÇÃO À RECUPERAÇÃO JUDICIAL. 1- Os honorários advocatícios cobrados na presente ação não podem ser considerados créditos existentes à data do pedido de recuperação judicial, visto que nasceram de sentença prolatada em momento posterior. Essa circunstância, todavia, não é suficiente para exclui-los, automaticamente, das consequências da recuperação judicial. 2</w:t>
      </w:r>
      <w:r w:rsidRPr="00B9335D">
        <w:rPr>
          <w:rFonts w:ascii="Times New Roman" w:hAnsi="Times New Roman" w:cs="Times New Roman"/>
          <w:b/>
          <w:sz w:val="20"/>
          <w:szCs w:val="20"/>
        </w:rPr>
        <w:t xml:space="preserve">- O tratamento dispensado aos honorários advocatícios - no que refere à sujeição aos efeitos da recuperação judicial - deve ser o mesmo conferido aos créditos de origem trabalhista, em virtude de ambos </w:t>
      </w:r>
      <w:proofErr w:type="gramStart"/>
      <w:r w:rsidRPr="00B9335D">
        <w:rPr>
          <w:rFonts w:ascii="Times New Roman" w:hAnsi="Times New Roman" w:cs="Times New Roman"/>
          <w:b/>
          <w:sz w:val="20"/>
          <w:szCs w:val="20"/>
        </w:rPr>
        <w:t>ostentarem</w:t>
      </w:r>
      <w:proofErr w:type="gramEnd"/>
      <w:r w:rsidRPr="00B9335D">
        <w:rPr>
          <w:rFonts w:ascii="Times New Roman" w:hAnsi="Times New Roman" w:cs="Times New Roman"/>
          <w:b/>
          <w:sz w:val="20"/>
          <w:szCs w:val="20"/>
        </w:rPr>
        <w:t xml:space="preserve"> natureza alimentar.</w:t>
      </w:r>
      <w:r w:rsidRPr="000C3C90">
        <w:rPr>
          <w:rFonts w:ascii="Times New Roman" w:hAnsi="Times New Roman" w:cs="Times New Roman"/>
          <w:sz w:val="20"/>
          <w:szCs w:val="20"/>
        </w:rPr>
        <w:t xml:space="preserve"> 3- O Estatuto da Advocacia, diploma legal anterior à atual Lei de Falência e Recuperação de Empresas, em seu art. 24, prevê a necessidade de habilitação dos créditos decorrentes de honorários advocatícios quando se tratar de processos de execução </w:t>
      </w:r>
      <w:proofErr w:type="spellStart"/>
      <w:r w:rsidRPr="000C3C90">
        <w:rPr>
          <w:rFonts w:ascii="Times New Roman" w:hAnsi="Times New Roman" w:cs="Times New Roman"/>
          <w:sz w:val="20"/>
          <w:szCs w:val="20"/>
        </w:rPr>
        <w:t>concursal</w:t>
      </w:r>
      <w:proofErr w:type="spellEnd"/>
      <w:r w:rsidRPr="000C3C90">
        <w:rPr>
          <w:rFonts w:ascii="Times New Roman" w:hAnsi="Times New Roman" w:cs="Times New Roman"/>
          <w:sz w:val="20"/>
          <w:szCs w:val="20"/>
        </w:rPr>
        <w:t xml:space="preserve">. 4- Recurso </w:t>
      </w:r>
      <w:r w:rsidR="001133A9">
        <w:rPr>
          <w:rFonts w:ascii="Times New Roman" w:hAnsi="Times New Roman" w:cs="Times New Roman"/>
          <w:sz w:val="20"/>
          <w:szCs w:val="20"/>
        </w:rPr>
        <w:t>especial conhecido e provido.</w:t>
      </w:r>
    </w:p>
    <w:p w:rsidR="00DF2CB2" w:rsidRDefault="001133A9" w:rsidP="00DF2CB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p>
    <w:p w:rsidR="001133A9" w:rsidRDefault="00B9335D" w:rsidP="00B9335D">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mesmo sentido, </w:t>
      </w:r>
      <w:r w:rsidR="001133A9">
        <w:rPr>
          <w:rFonts w:ascii="Times New Roman" w:hAnsi="Times New Roman" w:cs="Times New Roman"/>
          <w:sz w:val="24"/>
          <w:szCs w:val="24"/>
        </w:rPr>
        <w:t>também decidiu a terceira turma:</w:t>
      </w:r>
    </w:p>
    <w:p w:rsidR="00DF2CB2" w:rsidRDefault="001133A9" w:rsidP="00B9335D">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DF2CB2" w:rsidRPr="00855623" w:rsidRDefault="00DF2CB2" w:rsidP="00DF2CB2">
      <w:pPr>
        <w:spacing w:after="0" w:line="240" w:lineRule="auto"/>
        <w:ind w:left="2268"/>
        <w:jc w:val="both"/>
        <w:rPr>
          <w:rFonts w:ascii="Times New Roman" w:hAnsi="Times New Roman" w:cs="Times New Roman"/>
          <w:sz w:val="20"/>
          <w:szCs w:val="20"/>
        </w:rPr>
      </w:pPr>
      <w:r w:rsidRPr="00855623">
        <w:rPr>
          <w:rFonts w:ascii="Times New Roman" w:hAnsi="Times New Roman" w:cs="Times New Roman"/>
          <w:sz w:val="20"/>
          <w:szCs w:val="20"/>
        </w:rPr>
        <w:t>EDAGRESP - EMBARGOS DE DECLARAÇÃO NO AGRAVO REGIMENTAL NO RECURSO ESPECIAL - 1204096</w:t>
      </w:r>
      <w:proofErr w:type="gramStart"/>
      <w:r w:rsidRPr="00855623">
        <w:rPr>
          <w:rFonts w:ascii="Times New Roman" w:hAnsi="Times New Roman" w:cs="Times New Roman"/>
          <w:sz w:val="20"/>
          <w:szCs w:val="20"/>
        </w:rPr>
        <w:t>..</w:t>
      </w:r>
      <w:proofErr w:type="gramEnd"/>
      <w:r w:rsidRPr="00855623">
        <w:rPr>
          <w:rFonts w:ascii="Times New Roman" w:hAnsi="Times New Roman" w:cs="Times New Roman"/>
          <w:sz w:val="20"/>
          <w:szCs w:val="20"/>
        </w:rPr>
        <w:t xml:space="preserve">EMEN: PROCESSUAL CIVIL. EMBARGOS DE DECLARAÇÃO NO AGRAVO REGIMENTAL NO RECURSO ESPECIAL. OMISSÃO. RECONHECIMENTO. HONORÁRIOS ADVOCATÍCIOS. NATUREZA ALIMENTAR. HABILITAÇÃO EM FALÊNCIA. EQUIPARAÇÃO A CRÉDITOS TRABALHISTAS. EMBARGOS ACOLHIDOS. EFEITOS INFRINGENTES. RECURSO ESPECIAL PROVIDO. 1. Constatada a ocorrência de omissão que, uma vez sanada, tem o condão de alterar o resultado do julgamento, é necessária a concessão de efeitos infringentes aos embargos de declaração. </w:t>
      </w:r>
      <w:r w:rsidRPr="00B9335D">
        <w:rPr>
          <w:rFonts w:ascii="Times New Roman" w:hAnsi="Times New Roman" w:cs="Times New Roman"/>
          <w:b/>
          <w:sz w:val="20"/>
          <w:szCs w:val="20"/>
        </w:rPr>
        <w:t xml:space="preserve">2. O crédito decorrente de honorários advocatícios, por ostentar natureza alimentar, equipara-se a créditos </w:t>
      </w:r>
      <w:r w:rsidRPr="00B9335D">
        <w:rPr>
          <w:rFonts w:ascii="Times New Roman" w:hAnsi="Times New Roman" w:cs="Times New Roman"/>
          <w:b/>
          <w:sz w:val="20"/>
          <w:szCs w:val="20"/>
        </w:rPr>
        <w:lastRenderedPageBreak/>
        <w:t>trabalhistas para efeito de habilitação em falência</w:t>
      </w:r>
      <w:r w:rsidRPr="00855623">
        <w:rPr>
          <w:rFonts w:ascii="Times New Roman" w:hAnsi="Times New Roman" w:cs="Times New Roman"/>
          <w:sz w:val="20"/>
          <w:szCs w:val="20"/>
        </w:rPr>
        <w:t xml:space="preserve"> (Recurso Especial repetitivo n. 1.152.218/RS). 3. Embargos declaratórios acolhidos com efeitos infringentes para, provendo o agravo regimental, conhecer do recurso esp</w:t>
      </w:r>
      <w:r w:rsidR="001133A9">
        <w:rPr>
          <w:rFonts w:ascii="Times New Roman" w:hAnsi="Times New Roman" w:cs="Times New Roman"/>
          <w:sz w:val="20"/>
          <w:szCs w:val="20"/>
        </w:rPr>
        <w:t xml:space="preserve">ecial e dar- lhe provimento. </w:t>
      </w:r>
    </w:p>
    <w:p w:rsidR="00DF2CB2" w:rsidRDefault="00DF2CB2" w:rsidP="000E56AD">
      <w:pPr>
        <w:pStyle w:val="PargrafodaLista"/>
        <w:spacing w:after="0" w:line="240" w:lineRule="auto"/>
        <w:ind w:left="0" w:firstLine="1134"/>
        <w:contextualSpacing w:val="0"/>
        <w:rPr>
          <w:rFonts w:ascii="Times New Roman" w:hAnsi="Times New Roman" w:cs="Times New Roman"/>
          <w:sz w:val="24"/>
          <w:szCs w:val="24"/>
        </w:rPr>
      </w:pPr>
    </w:p>
    <w:p w:rsidR="00DF2CB2" w:rsidRDefault="00753657" w:rsidP="00880014">
      <w:pPr>
        <w:pStyle w:val="PargrafodaLista"/>
        <w:spacing w:after="0" w:line="360" w:lineRule="auto"/>
        <w:ind w:left="0" w:firstLine="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Além dos honorários advocatícios terem natureza falimentar, tem que se enfatizar a função do advogado no tocante a falência. Este indubitavelmente é essencial ao processo- e a própria prestação jurisdicional, vez que com sua atuação são concretizados as garantias fundamentais, destacando-se o exercício da </w:t>
      </w:r>
      <w:r w:rsidR="00880014">
        <w:rPr>
          <w:rFonts w:ascii="Times New Roman" w:hAnsi="Times New Roman" w:cs="Times New Roman"/>
          <w:sz w:val="24"/>
          <w:szCs w:val="24"/>
        </w:rPr>
        <w:t>garantia do contraditório e da ampla defesa.</w:t>
      </w:r>
    </w:p>
    <w:p w:rsidR="00DF2CB2" w:rsidRDefault="00DF2CB2" w:rsidP="009D7413">
      <w:pPr>
        <w:pStyle w:val="PargrafodaLista"/>
        <w:spacing w:after="0" w:line="360" w:lineRule="auto"/>
        <w:ind w:left="0" w:firstLine="1134"/>
        <w:contextualSpacing w:val="0"/>
        <w:rPr>
          <w:rFonts w:ascii="Times New Roman" w:hAnsi="Times New Roman" w:cs="Times New Roman"/>
          <w:sz w:val="24"/>
          <w:szCs w:val="24"/>
        </w:rPr>
      </w:pPr>
    </w:p>
    <w:p w:rsidR="009D7413" w:rsidRDefault="00C5311F" w:rsidP="00DA21C0">
      <w:pPr>
        <w:pStyle w:val="SemEspaamento"/>
        <w:numPr>
          <w:ilvl w:val="0"/>
          <w:numId w:val="2"/>
        </w:numPr>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 xml:space="preserve">Não se pode desconsiderar, entretanto, </w:t>
      </w:r>
      <w:proofErr w:type="gramStart"/>
      <w:r>
        <w:rPr>
          <w:rFonts w:ascii="Times New Roman" w:hAnsi="Times New Roman" w:cs="Times New Roman"/>
          <w:sz w:val="24"/>
          <w:szCs w:val="24"/>
        </w:rPr>
        <w:t xml:space="preserve">o texto da lei </w:t>
      </w:r>
      <w:r w:rsidR="00B93F50">
        <w:rPr>
          <w:rFonts w:ascii="Times New Roman" w:hAnsi="Times New Roman" w:cs="Times New Roman"/>
          <w:sz w:val="24"/>
          <w:szCs w:val="24"/>
        </w:rPr>
        <w:t>e a vontade de quem assim o fez</w:t>
      </w:r>
      <w:proofErr w:type="gramEnd"/>
      <w:r w:rsidR="00B93F50">
        <w:rPr>
          <w:rFonts w:ascii="Times New Roman" w:hAnsi="Times New Roman" w:cs="Times New Roman"/>
          <w:sz w:val="24"/>
          <w:szCs w:val="24"/>
        </w:rPr>
        <w:t>. Éder Ferreira (2004, p.1)</w:t>
      </w:r>
      <w:r w:rsidR="005A6AA3">
        <w:rPr>
          <w:rFonts w:ascii="Times New Roman" w:hAnsi="Times New Roman" w:cs="Times New Roman"/>
          <w:sz w:val="24"/>
          <w:szCs w:val="24"/>
        </w:rPr>
        <w:t xml:space="preserve"> </w:t>
      </w:r>
      <w:bookmarkStart w:id="0" w:name="_GoBack"/>
      <w:bookmarkEnd w:id="0"/>
      <w:r w:rsidR="00B93F50">
        <w:rPr>
          <w:rFonts w:ascii="Times New Roman" w:hAnsi="Times New Roman" w:cs="Times New Roman"/>
          <w:sz w:val="24"/>
          <w:szCs w:val="24"/>
        </w:rPr>
        <w:t>aduz que:</w:t>
      </w:r>
    </w:p>
    <w:p w:rsidR="00074407" w:rsidRDefault="00074407" w:rsidP="00074407">
      <w:pPr>
        <w:pStyle w:val="SemEspaamento"/>
        <w:spacing w:line="360" w:lineRule="auto"/>
        <w:ind w:firstLine="1134"/>
        <w:jc w:val="both"/>
        <w:rPr>
          <w:rFonts w:ascii="Times New Roman" w:hAnsi="Times New Roman" w:cs="Times New Roman"/>
          <w:sz w:val="24"/>
          <w:szCs w:val="24"/>
        </w:rPr>
      </w:pPr>
    </w:p>
    <w:p w:rsidR="00B93F50" w:rsidRPr="00B93F50" w:rsidRDefault="00B93F50" w:rsidP="00B93F50">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sidRPr="00B93F50">
        <w:rPr>
          <w:rFonts w:ascii="Times New Roman" w:hAnsi="Times New Roman" w:cs="Times New Roman"/>
          <w:sz w:val="20"/>
          <w:szCs w:val="20"/>
        </w:rPr>
        <w:t xml:space="preserve"> lei exprime a vontade do legislador por meio de palavras, que constituem a letra da lei, ou seja, a lei está para a alma como as palavras – letra da lei – estão para o corpo. A lei é, pois, muito mais profunda que seu texto, e, portanto, o aplicador do direito deve apreciar a vontade da lei, não o que as palavras que a con</w:t>
      </w:r>
      <w:r>
        <w:rPr>
          <w:rFonts w:ascii="Times New Roman" w:hAnsi="Times New Roman" w:cs="Times New Roman"/>
          <w:sz w:val="20"/>
          <w:szCs w:val="20"/>
        </w:rPr>
        <w:t xml:space="preserve">stitui representam estritamente. </w:t>
      </w:r>
      <w:r w:rsidRPr="00B93F50">
        <w:rPr>
          <w:rFonts w:ascii="Times New Roman" w:hAnsi="Times New Roman" w:cs="Times New Roman"/>
          <w:sz w:val="20"/>
          <w:szCs w:val="20"/>
        </w:rPr>
        <w:t xml:space="preserve">Daí surge </w:t>
      </w:r>
      <w:proofErr w:type="gramStart"/>
      <w:r w:rsidRPr="00B93F50">
        <w:rPr>
          <w:rFonts w:ascii="Times New Roman" w:hAnsi="Times New Roman" w:cs="Times New Roman"/>
          <w:sz w:val="20"/>
          <w:szCs w:val="20"/>
        </w:rPr>
        <w:t>a</w:t>
      </w:r>
      <w:proofErr w:type="gramEnd"/>
      <w:r w:rsidRPr="00B93F50">
        <w:rPr>
          <w:rFonts w:ascii="Times New Roman" w:hAnsi="Times New Roman" w:cs="Times New Roman"/>
          <w:sz w:val="20"/>
          <w:szCs w:val="20"/>
        </w:rPr>
        <w:t xml:space="preserve"> classificação da aplicação das leis em sentido amplo e em sentido estrito, sendo esta a interpretação que "consiste em determinar a significação da lei e desenvolver seu conteúdo em todas as direções" e aquela, a que "compreende também a analogia, isto é, a elaboração de normas novas para casos não contemplados, induzidos de casos afins regulados pela lei".</w:t>
      </w:r>
    </w:p>
    <w:p w:rsidR="00B93F50" w:rsidRPr="00B93F50" w:rsidRDefault="00B93F50" w:rsidP="00B93F50">
      <w:pPr>
        <w:spacing w:after="0" w:line="240" w:lineRule="auto"/>
        <w:ind w:left="2268"/>
        <w:jc w:val="both"/>
        <w:rPr>
          <w:rFonts w:ascii="Times New Roman" w:hAnsi="Times New Roman" w:cs="Times New Roman"/>
          <w:sz w:val="20"/>
          <w:szCs w:val="20"/>
        </w:rPr>
      </w:pPr>
    </w:p>
    <w:p w:rsidR="00074407" w:rsidRDefault="00074407" w:rsidP="00B93F50">
      <w:pPr>
        <w:pStyle w:val="SemEspaamento"/>
        <w:ind w:firstLine="1134"/>
        <w:jc w:val="both"/>
        <w:rPr>
          <w:rFonts w:ascii="Times New Roman" w:hAnsi="Times New Roman" w:cs="Times New Roman"/>
          <w:sz w:val="24"/>
          <w:szCs w:val="24"/>
        </w:rPr>
      </w:pPr>
    </w:p>
    <w:p w:rsidR="00074407" w:rsidRDefault="00B93F50" w:rsidP="0007440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é notório, a Lei de Falência- Lei n° 11.101/ 2005, não prevê prioridade creditícia aos honorários dos advogados</w:t>
      </w:r>
      <w:r w:rsidR="008E268A">
        <w:rPr>
          <w:rFonts w:ascii="Times New Roman" w:hAnsi="Times New Roman" w:cs="Times New Roman"/>
          <w:sz w:val="24"/>
          <w:szCs w:val="24"/>
        </w:rPr>
        <w:t xml:space="preserve">, não podendo estes </w:t>
      </w:r>
      <w:proofErr w:type="gramStart"/>
      <w:r w:rsidR="008E268A">
        <w:rPr>
          <w:rFonts w:ascii="Times New Roman" w:hAnsi="Times New Roman" w:cs="Times New Roman"/>
          <w:sz w:val="24"/>
          <w:szCs w:val="24"/>
        </w:rPr>
        <w:t>receberem</w:t>
      </w:r>
      <w:proofErr w:type="gramEnd"/>
      <w:r w:rsidR="008E268A">
        <w:rPr>
          <w:rFonts w:ascii="Times New Roman" w:hAnsi="Times New Roman" w:cs="Times New Roman"/>
          <w:sz w:val="24"/>
          <w:szCs w:val="24"/>
        </w:rPr>
        <w:t xml:space="preserve"> privilégios na classificação creditícia, ingressando na classificação em equiparação aos créditos trabalhistas.</w:t>
      </w:r>
    </w:p>
    <w:p w:rsidR="00074407" w:rsidRDefault="00E10AAC" w:rsidP="0007440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Pode-se observar, portanto, que interpretar de forma diferente é verdadeiramente ofende o texto da lei. Não se pode, pois, prioriza na relação falimentar os créditos, não devendo dotá-los de privilégio.</w:t>
      </w:r>
    </w:p>
    <w:p w:rsidR="00074407" w:rsidRDefault="00074407" w:rsidP="00074407">
      <w:pPr>
        <w:pStyle w:val="SemEspaamento"/>
        <w:spacing w:line="360" w:lineRule="auto"/>
        <w:ind w:firstLine="1134"/>
        <w:jc w:val="both"/>
        <w:rPr>
          <w:rFonts w:ascii="Times New Roman" w:hAnsi="Times New Roman" w:cs="Times New Roman"/>
          <w:sz w:val="24"/>
          <w:szCs w:val="24"/>
        </w:rPr>
      </w:pPr>
    </w:p>
    <w:p w:rsidR="001178D4" w:rsidRDefault="001178D4" w:rsidP="001178D4">
      <w:pPr>
        <w:pStyle w:val="SemEspaamento"/>
        <w:rPr>
          <w:rFonts w:ascii="Times New Roman" w:hAnsi="Times New Roman" w:cs="Times New Roman"/>
          <w:b/>
          <w:sz w:val="24"/>
          <w:szCs w:val="24"/>
        </w:rPr>
      </w:pPr>
      <w:proofErr w:type="gramStart"/>
      <w:r>
        <w:rPr>
          <w:rFonts w:ascii="Times New Roman" w:hAnsi="Times New Roman" w:cs="Times New Roman"/>
          <w:b/>
          <w:sz w:val="24"/>
          <w:szCs w:val="24"/>
        </w:rPr>
        <w:t>2.3 Descrição</w:t>
      </w:r>
      <w:proofErr w:type="gramEnd"/>
      <w:r>
        <w:rPr>
          <w:rFonts w:ascii="Times New Roman" w:hAnsi="Times New Roman" w:cs="Times New Roman"/>
          <w:b/>
          <w:sz w:val="24"/>
          <w:szCs w:val="24"/>
        </w:rPr>
        <w:t xml:space="preserve"> dos Critérios e Valores:</w:t>
      </w:r>
    </w:p>
    <w:p w:rsidR="001178D4" w:rsidRDefault="001178D4" w:rsidP="001178D4">
      <w:pPr>
        <w:pStyle w:val="SemEspaamento"/>
        <w:rPr>
          <w:rFonts w:ascii="Times New Roman" w:hAnsi="Times New Roman" w:cs="Times New Roman"/>
          <w:b/>
          <w:sz w:val="24"/>
          <w:szCs w:val="24"/>
        </w:rPr>
      </w:pPr>
    </w:p>
    <w:p w:rsidR="001178D4" w:rsidRDefault="0039608F" w:rsidP="001178D4">
      <w:pPr>
        <w:pStyle w:val="SemEspaamento"/>
        <w:numPr>
          <w:ilvl w:val="0"/>
          <w:numId w:val="3"/>
        </w:numPr>
        <w:spacing w:line="360" w:lineRule="auto"/>
        <w:ind w:left="357" w:firstLine="425"/>
        <w:jc w:val="both"/>
        <w:rPr>
          <w:rFonts w:ascii="Times New Roman" w:hAnsi="Times New Roman" w:cs="Times New Roman"/>
          <w:b/>
          <w:sz w:val="24"/>
          <w:szCs w:val="24"/>
        </w:rPr>
      </w:pPr>
      <w:r>
        <w:rPr>
          <w:rFonts w:ascii="Times New Roman" w:hAnsi="Times New Roman" w:cs="Times New Roman"/>
          <w:b/>
          <w:sz w:val="24"/>
          <w:szCs w:val="24"/>
        </w:rPr>
        <w:t>Efeitos da falência</w:t>
      </w:r>
      <w:r w:rsidR="001178D4">
        <w:rPr>
          <w:rFonts w:ascii="Times New Roman" w:hAnsi="Times New Roman" w:cs="Times New Roman"/>
          <w:sz w:val="24"/>
          <w:szCs w:val="24"/>
        </w:rPr>
        <w:t xml:space="preserve">: diz respeito </w:t>
      </w:r>
      <w:r w:rsidR="005352FB">
        <w:rPr>
          <w:rFonts w:ascii="Times New Roman" w:hAnsi="Times New Roman" w:cs="Times New Roman"/>
          <w:sz w:val="24"/>
          <w:szCs w:val="24"/>
        </w:rPr>
        <w:t>aos efeitos que falência produz em relação ao deved</w:t>
      </w:r>
      <w:r w:rsidR="00F64B02">
        <w:rPr>
          <w:rFonts w:ascii="Times New Roman" w:hAnsi="Times New Roman" w:cs="Times New Roman"/>
          <w:sz w:val="24"/>
          <w:szCs w:val="24"/>
        </w:rPr>
        <w:t xml:space="preserve">or falido e seus bens, e aos contratos por ele </w:t>
      </w:r>
      <w:proofErr w:type="gramStart"/>
      <w:r w:rsidR="00F64B02">
        <w:rPr>
          <w:rFonts w:ascii="Times New Roman" w:hAnsi="Times New Roman" w:cs="Times New Roman"/>
          <w:sz w:val="24"/>
          <w:szCs w:val="24"/>
        </w:rPr>
        <w:t>firmados</w:t>
      </w:r>
      <w:proofErr w:type="gramEnd"/>
    </w:p>
    <w:p w:rsidR="001178D4" w:rsidRDefault="00902E82" w:rsidP="001178D4">
      <w:pPr>
        <w:pStyle w:val="SemEspaamento"/>
        <w:numPr>
          <w:ilvl w:val="0"/>
          <w:numId w:val="3"/>
        </w:numPr>
        <w:spacing w:line="360" w:lineRule="auto"/>
        <w:ind w:left="357" w:firstLine="425"/>
        <w:jc w:val="both"/>
        <w:rPr>
          <w:rFonts w:ascii="Times New Roman" w:hAnsi="Times New Roman" w:cs="Times New Roman"/>
          <w:b/>
          <w:sz w:val="24"/>
          <w:szCs w:val="24"/>
        </w:rPr>
      </w:pPr>
      <w:r>
        <w:rPr>
          <w:rFonts w:ascii="Times New Roman" w:hAnsi="Times New Roman" w:cs="Times New Roman"/>
          <w:b/>
          <w:sz w:val="24"/>
          <w:szCs w:val="24"/>
        </w:rPr>
        <w:t>Prioridade creditícia</w:t>
      </w:r>
      <w:r w:rsidR="001178D4">
        <w:rPr>
          <w:rFonts w:ascii="Times New Roman" w:hAnsi="Times New Roman" w:cs="Times New Roman"/>
          <w:sz w:val="24"/>
          <w:szCs w:val="24"/>
        </w:rPr>
        <w:t xml:space="preserve">: </w:t>
      </w:r>
      <w:r>
        <w:rPr>
          <w:rFonts w:ascii="Times New Roman" w:hAnsi="Times New Roman" w:cs="Times New Roman"/>
          <w:sz w:val="24"/>
          <w:szCs w:val="24"/>
        </w:rPr>
        <w:t>refe</w:t>
      </w:r>
      <w:r w:rsidR="0081013A">
        <w:rPr>
          <w:rFonts w:ascii="Times New Roman" w:hAnsi="Times New Roman" w:cs="Times New Roman"/>
          <w:sz w:val="24"/>
          <w:szCs w:val="24"/>
        </w:rPr>
        <w:t xml:space="preserve">re-se </w:t>
      </w:r>
      <w:proofErr w:type="gramStart"/>
      <w:r w:rsidR="00E039CD">
        <w:rPr>
          <w:rFonts w:ascii="Times New Roman" w:hAnsi="Times New Roman" w:cs="Times New Roman"/>
          <w:sz w:val="24"/>
          <w:szCs w:val="24"/>
        </w:rPr>
        <w:t>a</w:t>
      </w:r>
      <w:proofErr w:type="gramEnd"/>
      <w:r w:rsidR="00E039CD">
        <w:rPr>
          <w:rFonts w:ascii="Times New Roman" w:hAnsi="Times New Roman" w:cs="Times New Roman"/>
          <w:sz w:val="24"/>
          <w:szCs w:val="24"/>
        </w:rPr>
        <w:t xml:space="preserve"> relação entre os</w:t>
      </w:r>
      <w:r>
        <w:rPr>
          <w:rFonts w:ascii="Times New Roman" w:hAnsi="Times New Roman" w:cs="Times New Roman"/>
          <w:sz w:val="24"/>
          <w:szCs w:val="24"/>
        </w:rPr>
        <w:t xml:space="preserve"> credores</w:t>
      </w:r>
      <w:r w:rsidR="00E039CD">
        <w:rPr>
          <w:rFonts w:ascii="Times New Roman" w:hAnsi="Times New Roman" w:cs="Times New Roman"/>
          <w:sz w:val="24"/>
          <w:szCs w:val="24"/>
        </w:rPr>
        <w:t xml:space="preserve"> da falência,</w:t>
      </w:r>
      <w:r>
        <w:rPr>
          <w:rFonts w:ascii="Times New Roman" w:hAnsi="Times New Roman" w:cs="Times New Roman"/>
          <w:sz w:val="24"/>
          <w:szCs w:val="24"/>
        </w:rPr>
        <w:t xml:space="preserve"> </w:t>
      </w:r>
      <w:r w:rsidR="00E039CD">
        <w:rPr>
          <w:rFonts w:ascii="Times New Roman" w:hAnsi="Times New Roman" w:cs="Times New Roman"/>
          <w:sz w:val="24"/>
          <w:szCs w:val="24"/>
        </w:rPr>
        <w:t>determinando-se quem tem preferência para o recebimento do respectivo crédito</w:t>
      </w:r>
      <w:r w:rsidR="001178D4">
        <w:rPr>
          <w:rFonts w:ascii="Times New Roman" w:hAnsi="Times New Roman" w:cs="Times New Roman"/>
          <w:sz w:val="24"/>
          <w:szCs w:val="24"/>
        </w:rPr>
        <w:t>;</w:t>
      </w:r>
    </w:p>
    <w:p w:rsidR="001178D4" w:rsidRPr="00D50BFA" w:rsidRDefault="007D7976" w:rsidP="001178D4">
      <w:pPr>
        <w:pStyle w:val="SemEspaamento"/>
        <w:numPr>
          <w:ilvl w:val="0"/>
          <w:numId w:val="3"/>
        </w:numPr>
        <w:spacing w:line="360" w:lineRule="auto"/>
        <w:ind w:left="357" w:firstLine="425"/>
        <w:jc w:val="both"/>
        <w:rPr>
          <w:rFonts w:ascii="Times New Roman" w:hAnsi="Times New Roman" w:cs="Times New Roman"/>
          <w:b/>
          <w:sz w:val="24"/>
          <w:szCs w:val="24"/>
        </w:rPr>
      </w:pPr>
      <w:r>
        <w:rPr>
          <w:rFonts w:ascii="Times New Roman" w:hAnsi="Times New Roman" w:cs="Times New Roman"/>
          <w:b/>
          <w:sz w:val="24"/>
          <w:szCs w:val="24"/>
        </w:rPr>
        <w:lastRenderedPageBreak/>
        <w:t>Condições gerais de falência</w:t>
      </w:r>
      <w:r w:rsidR="001178D4">
        <w:rPr>
          <w:rFonts w:ascii="Times New Roman" w:hAnsi="Times New Roman" w:cs="Times New Roman"/>
          <w:sz w:val="24"/>
          <w:szCs w:val="24"/>
        </w:rPr>
        <w:t xml:space="preserve">: </w:t>
      </w:r>
      <w:r>
        <w:rPr>
          <w:rFonts w:ascii="Times New Roman" w:hAnsi="Times New Roman" w:cs="Times New Roman"/>
          <w:sz w:val="24"/>
          <w:szCs w:val="24"/>
        </w:rPr>
        <w:t>elementos necessários à decretação da falência</w:t>
      </w:r>
      <w:r w:rsidR="001178D4">
        <w:rPr>
          <w:rFonts w:ascii="Times New Roman" w:hAnsi="Times New Roman" w:cs="Times New Roman"/>
          <w:sz w:val="24"/>
          <w:szCs w:val="24"/>
        </w:rPr>
        <w:t>;</w:t>
      </w:r>
    </w:p>
    <w:p w:rsidR="001178D4" w:rsidRPr="00D50BFA" w:rsidRDefault="000E56AD" w:rsidP="001178D4">
      <w:pPr>
        <w:pStyle w:val="SemEspaamento"/>
        <w:numPr>
          <w:ilvl w:val="0"/>
          <w:numId w:val="3"/>
        </w:numPr>
        <w:spacing w:line="360" w:lineRule="auto"/>
        <w:ind w:left="357" w:firstLine="425"/>
        <w:jc w:val="both"/>
        <w:rPr>
          <w:rFonts w:ascii="Times New Roman" w:hAnsi="Times New Roman" w:cs="Times New Roman"/>
          <w:b/>
          <w:sz w:val="24"/>
          <w:szCs w:val="24"/>
        </w:rPr>
      </w:pPr>
      <w:r>
        <w:rPr>
          <w:rFonts w:ascii="Times New Roman" w:hAnsi="Times New Roman" w:cs="Times New Roman"/>
          <w:b/>
          <w:sz w:val="24"/>
          <w:szCs w:val="24"/>
        </w:rPr>
        <w:t>Impenhorabilidade</w:t>
      </w:r>
      <w:r w:rsidR="001178D4" w:rsidRPr="00D50BFA">
        <w:rPr>
          <w:rFonts w:ascii="Times New Roman" w:hAnsi="Times New Roman" w:cs="Times New Roman"/>
          <w:b/>
          <w:sz w:val="24"/>
          <w:szCs w:val="24"/>
        </w:rPr>
        <w:t>:</w:t>
      </w:r>
      <w:r w:rsidR="001178D4">
        <w:rPr>
          <w:rFonts w:ascii="Times New Roman" w:hAnsi="Times New Roman" w:cs="Times New Roman"/>
          <w:b/>
          <w:sz w:val="24"/>
          <w:szCs w:val="24"/>
        </w:rPr>
        <w:t xml:space="preserve"> </w:t>
      </w:r>
      <w:r>
        <w:rPr>
          <w:rFonts w:ascii="Times New Roman" w:hAnsi="Times New Roman" w:cs="Times New Roman"/>
          <w:sz w:val="24"/>
          <w:szCs w:val="24"/>
        </w:rPr>
        <w:t>refere-se aos bens q</w:t>
      </w:r>
      <w:r w:rsidR="008E268A">
        <w:rPr>
          <w:rFonts w:ascii="Times New Roman" w:hAnsi="Times New Roman" w:cs="Times New Roman"/>
          <w:sz w:val="24"/>
          <w:szCs w:val="24"/>
        </w:rPr>
        <w:t>ue não são passíveis de penhora</w:t>
      </w:r>
      <w:r w:rsidR="001178D4">
        <w:rPr>
          <w:rFonts w:ascii="Times New Roman" w:hAnsi="Times New Roman" w:cs="Times New Roman"/>
          <w:sz w:val="24"/>
          <w:szCs w:val="24"/>
        </w:rPr>
        <w:t>.</w:t>
      </w:r>
    </w:p>
    <w:p w:rsidR="001178D4" w:rsidRDefault="001178D4" w:rsidP="001178D4">
      <w:pPr>
        <w:spacing w:after="0" w:line="360" w:lineRule="auto"/>
        <w:rPr>
          <w:rFonts w:ascii="Times New Roman" w:hAnsi="Times New Roman" w:cs="Times New Roman"/>
          <w:sz w:val="24"/>
          <w:szCs w:val="24"/>
        </w:rPr>
      </w:pPr>
    </w:p>
    <w:p w:rsidR="001178D4" w:rsidRDefault="001178D4" w:rsidP="001178D4">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t>3</w:t>
      </w:r>
      <w:proofErr w:type="gramEnd"/>
      <w:r>
        <w:rPr>
          <w:rFonts w:ascii="Times New Roman" w:hAnsi="Times New Roman" w:cs="Times New Roman"/>
          <w:b/>
          <w:sz w:val="24"/>
          <w:szCs w:val="24"/>
        </w:rPr>
        <w:t xml:space="preserve"> </w:t>
      </w:r>
      <w:r w:rsidR="00AE0A70">
        <w:rPr>
          <w:rFonts w:ascii="Times New Roman" w:hAnsi="Times New Roman" w:cs="Times New Roman"/>
          <w:b/>
          <w:sz w:val="28"/>
          <w:szCs w:val="28"/>
        </w:rPr>
        <w:t>REFERÊNCIAS</w:t>
      </w:r>
    </w:p>
    <w:p w:rsidR="001178D4" w:rsidRDefault="001178D4" w:rsidP="00C5311F">
      <w:pPr>
        <w:spacing w:after="0" w:line="360" w:lineRule="auto"/>
        <w:jc w:val="both"/>
        <w:rPr>
          <w:rFonts w:ascii="Times New Roman" w:hAnsi="Times New Roman" w:cs="Times New Roman"/>
          <w:b/>
          <w:sz w:val="24"/>
          <w:szCs w:val="24"/>
        </w:rPr>
      </w:pPr>
    </w:p>
    <w:p w:rsidR="001178D4" w:rsidRPr="00A87AF7" w:rsidRDefault="00A87AF7" w:rsidP="001178D4">
      <w:pPr>
        <w:spacing w:after="0" w:line="240" w:lineRule="auto"/>
        <w:jc w:val="both"/>
        <w:rPr>
          <w:rFonts w:ascii="Times New Roman" w:hAnsi="Times New Roman" w:cs="Times New Roman"/>
          <w:sz w:val="24"/>
          <w:szCs w:val="24"/>
        </w:rPr>
      </w:pPr>
      <w:r w:rsidRPr="00A87AF7">
        <w:rPr>
          <w:rFonts w:ascii="Times New Roman" w:hAnsi="Times New Roman" w:cs="Times New Roman"/>
          <w:sz w:val="24"/>
          <w:szCs w:val="24"/>
        </w:rPr>
        <w:t>ALMEIDA</w:t>
      </w:r>
      <w:r w:rsidR="001178D4" w:rsidRPr="00A87AF7">
        <w:rPr>
          <w:rFonts w:ascii="Times New Roman" w:hAnsi="Times New Roman" w:cs="Times New Roman"/>
          <w:sz w:val="24"/>
          <w:szCs w:val="24"/>
        </w:rPr>
        <w:t xml:space="preserve">, </w:t>
      </w:r>
      <w:r w:rsidRPr="00A87AF7">
        <w:rPr>
          <w:rFonts w:ascii="Times New Roman" w:hAnsi="Times New Roman" w:cs="Times New Roman"/>
          <w:sz w:val="24"/>
          <w:szCs w:val="24"/>
        </w:rPr>
        <w:t>Amador Paes</w:t>
      </w:r>
      <w:r w:rsidR="001178D4" w:rsidRPr="00A87AF7">
        <w:rPr>
          <w:rFonts w:ascii="Times New Roman" w:hAnsi="Times New Roman" w:cs="Times New Roman"/>
          <w:sz w:val="24"/>
          <w:szCs w:val="24"/>
        </w:rPr>
        <w:t xml:space="preserve">. </w:t>
      </w:r>
      <w:r w:rsidRPr="00A87AF7">
        <w:rPr>
          <w:rFonts w:ascii="Times New Roman" w:hAnsi="Times New Roman" w:cs="Times New Roman"/>
          <w:b/>
          <w:sz w:val="24"/>
          <w:szCs w:val="24"/>
        </w:rPr>
        <w:t xml:space="preserve">Curso de Falência e Recuperação de Empresa. </w:t>
      </w:r>
      <w:r w:rsidRPr="00A87AF7">
        <w:rPr>
          <w:rFonts w:ascii="Times New Roman" w:hAnsi="Times New Roman" w:cs="Times New Roman"/>
          <w:sz w:val="24"/>
          <w:szCs w:val="24"/>
        </w:rPr>
        <w:t xml:space="preserve">26ª ed. São Paulo: </w:t>
      </w:r>
      <w:proofErr w:type="gramStart"/>
      <w:r w:rsidRPr="00A87AF7">
        <w:rPr>
          <w:rFonts w:ascii="Times New Roman" w:hAnsi="Times New Roman" w:cs="Times New Roman"/>
          <w:sz w:val="24"/>
          <w:szCs w:val="24"/>
        </w:rPr>
        <w:t>Saraiva,</w:t>
      </w:r>
      <w:proofErr w:type="gramEnd"/>
      <w:r w:rsidRPr="00A87AF7">
        <w:rPr>
          <w:rFonts w:ascii="Times New Roman" w:hAnsi="Times New Roman" w:cs="Times New Roman"/>
          <w:sz w:val="24"/>
          <w:szCs w:val="24"/>
        </w:rPr>
        <w:t xml:space="preserve"> 2012.</w:t>
      </w:r>
    </w:p>
    <w:p w:rsidR="001178D4" w:rsidRPr="0069418F" w:rsidRDefault="001178D4" w:rsidP="0069418F">
      <w:pPr>
        <w:spacing w:after="0" w:line="360" w:lineRule="auto"/>
        <w:jc w:val="both"/>
        <w:rPr>
          <w:rFonts w:ascii="Times New Roman" w:hAnsi="Times New Roman" w:cs="Times New Roman"/>
          <w:sz w:val="24"/>
          <w:szCs w:val="24"/>
        </w:rPr>
      </w:pPr>
    </w:p>
    <w:p w:rsidR="006F477D" w:rsidRDefault="006F477D" w:rsidP="006F477D">
      <w:pPr>
        <w:spacing w:after="0" w:line="240" w:lineRule="auto"/>
        <w:jc w:val="both"/>
        <w:rPr>
          <w:rStyle w:val="Hyperlink"/>
          <w:rFonts w:ascii="Times New Roman" w:hAnsi="Times New Roman" w:cs="Times New Roman"/>
          <w:color w:val="000000" w:themeColor="text1"/>
          <w:sz w:val="24"/>
          <w:szCs w:val="24"/>
        </w:rPr>
      </w:pPr>
      <w:r w:rsidRPr="0053279C">
        <w:rPr>
          <w:rFonts w:ascii="Times New Roman" w:hAnsi="Times New Roman" w:cs="Times New Roman"/>
          <w:b/>
          <w:sz w:val="24"/>
          <w:szCs w:val="24"/>
        </w:rPr>
        <w:t>EDAGRESP 201001317381</w:t>
      </w:r>
      <w:r w:rsidRPr="006756A1">
        <w:rPr>
          <w:rFonts w:ascii="Times New Roman" w:hAnsi="Times New Roman" w:cs="Times New Roman"/>
          <w:b/>
          <w:color w:val="000000" w:themeColor="text1"/>
          <w:sz w:val="24"/>
          <w:szCs w:val="24"/>
        </w:rPr>
        <w:t>.</w:t>
      </w:r>
      <w:r w:rsidRPr="00AB56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Voto do Relator</w:t>
      </w:r>
      <w:r w:rsidRPr="00AB5696">
        <w:rPr>
          <w:rFonts w:ascii="Times New Roman" w:hAnsi="Times New Roman" w:cs="Times New Roman"/>
          <w:color w:val="000000" w:themeColor="text1"/>
          <w:sz w:val="24"/>
          <w:szCs w:val="24"/>
        </w:rPr>
        <w:t xml:space="preserve">. </w:t>
      </w:r>
      <w:r>
        <w:rPr>
          <w:rFonts w:ascii="Times New Roman" w:hAnsi="Times New Roman" w:cs="Times New Roman"/>
        </w:rPr>
        <w:t>João Otávio de Noronha</w:t>
      </w:r>
      <w:r>
        <w:rPr>
          <w:rFonts w:ascii="Times New Roman" w:hAnsi="Times New Roman" w:cs="Times New Roman"/>
          <w:color w:val="000000" w:themeColor="text1"/>
          <w:sz w:val="24"/>
          <w:szCs w:val="24"/>
        </w:rPr>
        <w:t xml:space="preserve">. Distrito Federal. Disponível em:&lt; </w:t>
      </w:r>
      <w:r w:rsidRPr="0053279C">
        <w:rPr>
          <w:rFonts w:ascii="Times New Roman" w:hAnsi="Times New Roman" w:cs="Times New Roman"/>
          <w:sz w:val="24"/>
          <w:szCs w:val="24"/>
          <w:u w:val="single"/>
        </w:rPr>
        <w:t>http://columbo2.cjf.jus.br/juris/unificada/</w:t>
      </w:r>
      <w:r w:rsidRPr="0053279C">
        <w:rPr>
          <w:rStyle w:val="Hyperlink"/>
          <w:rFonts w:ascii="Times New Roman" w:hAnsi="Times New Roman" w:cs="Times New Roman"/>
          <w:color w:val="auto"/>
          <w:sz w:val="24"/>
          <w:szCs w:val="24"/>
        </w:rPr>
        <w:t xml:space="preserve"> </w:t>
      </w:r>
      <w:r w:rsidRPr="00AB5696">
        <w:rPr>
          <w:rStyle w:val="Hyperlink"/>
          <w:rFonts w:ascii="Times New Roman" w:hAnsi="Times New Roman" w:cs="Times New Roman"/>
          <w:color w:val="000000" w:themeColor="text1"/>
          <w:sz w:val="24"/>
          <w:szCs w:val="24"/>
        </w:rPr>
        <w:t xml:space="preserve">&gt; Acesso em: </w:t>
      </w:r>
      <w:proofErr w:type="gramStart"/>
      <w:r>
        <w:rPr>
          <w:rStyle w:val="Hyperlink"/>
          <w:rFonts w:ascii="Times New Roman" w:hAnsi="Times New Roman" w:cs="Times New Roman"/>
          <w:color w:val="000000" w:themeColor="text1"/>
          <w:sz w:val="24"/>
          <w:szCs w:val="24"/>
        </w:rPr>
        <w:t>8</w:t>
      </w:r>
      <w:proofErr w:type="gramEnd"/>
      <w:r>
        <w:rPr>
          <w:rStyle w:val="Hyperlink"/>
          <w:rFonts w:ascii="Times New Roman" w:hAnsi="Times New Roman" w:cs="Times New Roman"/>
          <w:color w:val="000000" w:themeColor="text1"/>
          <w:sz w:val="24"/>
          <w:szCs w:val="24"/>
        </w:rPr>
        <w:t xml:space="preserve"> Out</w:t>
      </w:r>
      <w:r w:rsidRPr="00AB5696">
        <w:rPr>
          <w:rStyle w:val="Hyperlink"/>
          <w:rFonts w:ascii="Times New Roman" w:hAnsi="Times New Roman" w:cs="Times New Roman"/>
          <w:color w:val="000000" w:themeColor="text1"/>
          <w:sz w:val="24"/>
          <w:szCs w:val="24"/>
        </w:rPr>
        <w:t xml:space="preserve"> 2014</w:t>
      </w:r>
    </w:p>
    <w:p w:rsidR="006F477D" w:rsidRDefault="006F477D" w:rsidP="006F477D">
      <w:pPr>
        <w:spacing w:after="0" w:line="240" w:lineRule="auto"/>
        <w:jc w:val="both"/>
        <w:rPr>
          <w:rFonts w:ascii="Times New Roman" w:hAnsi="Times New Roman" w:cs="Times New Roman"/>
        </w:rPr>
      </w:pPr>
    </w:p>
    <w:p w:rsidR="00C41C33" w:rsidRDefault="00DA21C0" w:rsidP="006F477D">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FAZZIO JÚNIOR</w:t>
      </w:r>
      <w:r w:rsidR="001178D4" w:rsidRPr="009E5B9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Waldo</w:t>
      </w:r>
      <w:r w:rsidR="001178D4" w:rsidRPr="009E5B9E">
        <w:rPr>
          <w:rFonts w:ascii="Times New Roman" w:hAnsi="Times New Roman" w:cs="Times New Roman"/>
          <w:color w:val="000000" w:themeColor="text1"/>
          <w:sz w:val="24"/>
        </w:rPr>
        <w:t xml:space="preserve">. </w:t>
      </w:r>
      <w:r>
        <w:rPr>
          <w:rFonts w:ascii="Times New Roman" w:hAnsi="Times New Roman" w:cs="Times New Roman"/>
          <w:b/>
          <w:color w:val="000000" w:themeColor="text1"/>
          <w:sz w:val="24"/>
        </w:rPr>
        <w:t>Nova Lei de Falência e Recuperação de Empresas</w:t>
      </w:r>
      <w:r w:rsidR="001178D4" w:rsidRPr="009E5B9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3ª ed. São Paulo: Atlas, </w:t>
      </w:r>
      <w:proofErr w:type="gramStart"/>
      <w:r>
        <w:rPr>
          <w:rFonts w:ascii="Times New Roman" w:hAnsi="Times New Roman" w:cs="Times New Roman"/>
          <w:color w:val="000000" w:themeColor="text1"/>
          <w:sz w:val="24"/>
        </w:rPr>
        <w:t>2006</w:t>
      </w:r>
      <w:proofErr w:type="gramEnd"/>
    </w:p>
    <w:p w:rsidR="008E268A" w:rsidRDefault="008E268A" w:rsidP="00933200">
      <w:pPr>
        <w:spacing w:after="0" w:line="360" w:lineRule="auto"/>
        <w:jc w:val="both"/>
        <w:rPr>
          <w:rFonts w:ascii="Times New Roman" w:hAnsi="Times New Roman" w:cs="Times New Roman"/>
          <w:color w:val="000000" w:themeColor="text1"/>
          <w:sz w:val="24"/>
        </w:rPr>
      </w:pPr>
    </w:p>
    <w:p w:rsidR="008E268A" w:rsidRPr="008E268A" w:rsidRDefault="008E268A" w:rsidP="00933200">
      <w:pPr>
        <w:spacing w:after="0" w:line="240" w:lineRule="auto"/>
        <w:jc w:val="both"/>
        <w:rPr>
          <w:rFonts w:ascii="Times New Roman" w:hAnsi="Times New Roman" w:cs="Times New Roman"/>
          <w:color w:val="000000" w:themeColor="text1"/>
          <w:sz w:val="24"/>
        </w:rPr>
      </w:pPr>
      <w:r w:rsidRPr="008E268A">
        <w:rPr>
          <w:rFonts w:ascii="Times New Roman" w:hAnsi="Times New Roman" w:cs="Times New Roman"/>
          <w:color w:val="000000" w:themeColor="text1"/>
          <w:sz w:val="24"/>
        </w:rPr>
        <w:t>FERREIRA, Éder. A Hermenêutica Jurídica na obra de Francesco Ferrara: uma (</w:t>
      </w:r>
      <w:proofErr w:type="spellStart"/>
      <w:r w:rsidRPr="008E268A">
        <w:rPr>
          <w:rFonts w:ascii="Times New Roman" w:hAnsi="Times New Roman" w:cs="Times New Roman"/>
          <w:color w:val="000000" w:themeColor="text1"/>
          <w:sz w:val="24"/>
        </w:rPr>
        <w:t>re</w:t>
      </w:r>
      <w:proofErr w:type="spellEnd"/>
      <w:proofErr w:type="gramStart"/>
      <w:r w:rsidRPr="008E268A">
        <w:rPr>
          <w:rFonts w:ascii="Times New Roman" w:hAnsi="Times New Roman" w:cs="Times New Roman"/>
          <w:color w:val="000000" w:themeColor="text1"/>
          <w:sz w:val="24"/>
        </w:rPr>
        <w:t>)leitura</w:t>
      </w:r>
      <w:proofErr w:type="gramEnd"/>
      <w:r w:rsidRPr="008E268A">
        <w:rPr>
          <w:rFonts w:ascii="Times New Roman" w:hAnsi="Times New Roman" w:cs="Times New Roman"/>
          <w:color w:val="000000" w:themeColor="text1"/>
          <w:sz w:val="24"/>
        </w:rPr>
        <w:t xml:space="preserve"> do "</w:t>
      </w:r>
      <w:proofErr w:type="spellStart"/>
      <w:r w:rsidRPr="008E268A">
        <w:rPr>
          <w:rFonts w:ascii="Times New Roman" w:hAnsi="Times New Roman" w:cs="Times New Roman"/>
          <w:color w:val="000000" w:themeColor="text1"/>
          <w:sz w:val="24"/>
        </w:rPr>
        <w:t>traTTato</w:t>
      </w:r>
      <w:proofErr w:type="spellEnd"/>
      <w:r w:rsidRPr="008E268A">
        <w:rPr>
          <w:rFonts w:ascii="Times New Roman" w:hAnsi="Times New Roman" w:cs="Times New Roman"/>
          <w:color w:val="000000" w:themeColor="text1"/>
          <w:sz w:val="24"/>
        </w:rPr>
        <w:t xml:space="preserve"> </w:t>
      </w:r>
      <w:proofErr w:type="spellStart"/>
      <w:r w:rsidRPr="008E268A">
        <w:rPr>
          <w:rFonts w:ascii="Times New Roman" w:hAnsi="Times New Roman" w:cs="Times New Roman"/>
          <w:color w:val="000000" w:themeColor="text1"/>
          <w:sz w:val="24"/>
        </w:rPr>
        <w:t>dI</w:t>
      </w:r>
      <w:proofErr w:type="spellEnd"/>
      <w:r w:rsidRPr="008E268A">
        <w:rPr>
          <w:rFonts w:ascii="Times New Roman" w:hAnsi="Times New Roman" w:cs="Times New Roman"/>
          <w:color w:val="000000" w:themeColor="text1"/>
          <w:sz w:val="24"/>
        </w:rPr>
        <w:t xml:space="preserve"> </w:t>
      </w:r>
      <w:proofErr w:type="spellStart"/>
      <w:r w:rsidRPr="008E268A">
        <w:rPr>
          <w:rFonts w:ascii="Times New Roman" w:hAnsi="Times New Roman" w:cs="Times New Roman"/>
          <w:color w:val="000000" w:themeColor="text1"/>
          <w:sz w:val="24"/>
        </w:rPr>
        <w:t>diritto</w:t>
      </w:r>
      <w:proofErr w:type="spellEnd"/>
      <w:r w:rsidRPr="008E268A">
        <w:rPr>
          <w:rFonts w:ascii="Times New Roman" w:hAnsi="Times New Roman" w:cs="Times New Roman"/>
          <w:color w:val="000000" w:themeColor="text1"/>
          <w:sz w:val="24"/>
        </w:rPr>
        <w:t xml:space="preserve"> </w:t>
      </w:r>
      <w:proofErr w:type="spellStart"/>
      <w:r w:rsidRPr="008E268A">
        <w:rPr>
          <w:rFonts w:ascii="Times New Roman" w:hAnsi="Times New Roman" w:cs="Times New Roman"/>
          <w:color w:val="000000" w:themeColor="text1"/>
          <w:sz w:val="24"/>
        </w:rPr>
        <w:t>civiLe</w:t>
      </w:r>
      <w:proofErr w:type="spellEnd"/>
      <w:r w:rsidRPr="008E268A">
        <w:rPr>
          <w:rFonts w:ascii="Times New Roman" w:hAnsi="Times New Roman" w:cs="Times New Roman"/>
          <w:color w:val="000000" w:themeColor="text1"/>
          <w:sz w:val="24"/>
        </w:rPr>
        <w:t xml:space="preserve"> italiano". </w:t>
      </w:r>
      <w:r w:rsidRPr="008E268A">
        <w:rPr>
          <w:rFonts w:ascii="Times New Roman" w:hAnsi="Times New Roman" w:cs="Times New Roman"/>
          <w:b/>
          <w:color w:val="000000" w:themeColor="text1"/>
          <w:sz w:val="24"/>
        </w:rPr>
        <w:t xml:space="preserve">Jus </w:t>
      </w:r>
      <w:proofErr w:type="spellStart"/>
      <w:r w:rsidRPr="008E268A">
        <w:rPr>
          <w:rFonts w:ascii="Times New Roman" w:hAnsi="Times New Roman" w:cs="Times New Roman"/>
          <w:b/>
          <w:color w:val="000000" w:themeColor="text1"/>
          <w:sz w:val="24"/>
        </w:rPr>
        <w:t>Navigandi</w:t>
      </w:r>
      <w:proofErr w:type="spellEnd"/>
      <w:r w:rsidRPr="008E268A">
        <w:rPr>
          <w:rFonts w:ascii="Times New Roman" w:hAnsi="Times New Roman" w:cs="Times New Roman"/>
          <w:color w:val="000000" w:themeColor="text1"/>
          <w:sz w:val="24"/>
        </w:rPr>
        <w:t xml:space="preserve">, Teresina, ano </w:t>
      </w:r>
      <w:proofErr w:type="gramStart"/>
      <w:r w:rsidRPr="008E268A">
        <w:rPr>
          <w:rFonts w:ascii="Times New Roman" w:hAnsi="Times New Roman" w:cs="Times New Roman"/>
          <w:color w:val="000000" w:themeColor="text1"/>
          <w:sz w:val="24"/>
        </w:rPr>
        <w:t>9</w:t>
      </w:r>
      <w:proofErr w:type="gramEnd"/>
      <w:r w:rsidRPr="008E268A">
        <w:rPr>
          <w:rFonts w:ascii="Times New Roman" w:hAnsi="Times New Roman" w:cs="Times New Roman"/>
          <w:color w:val="000000" w:themeColor="text1"/>
          <w:sz w:val="24"/>
        </w:rPr>
        <w:t xml:space="preserve">, n. 458, 8 out. 2004. Disponível em: &lt;http://jus.com.br/artigos/5786&gt;. Acesso em: </w:t>
      </w:r>
      <w:proofErr w:type="gramStart"/>
      <w:r w:rsidRPr="008E268A">
        <w:rPr>
          <w:rFonts w:ascii="Times New Roman" w:hAnsi="Times New Roman" w:cs="Times New Roman"/>
          <w:color w:val="000000" w:themeColor="text1"/>
          <w:sz w:val="24"/>
        </w:rPr>
        <w:t>8</w:t>
      </w:r>
      <w:proofErr w:type="gramEnd"/>
      <w:r w:rsidRPr="008E268A">
        <w:rPr>
          <w:rFonts w:ascii="Times New Roman" w:hAnsi="Times New Roman" w:cs="Times New Roman"/>
          <w:color w:val="000000" w:themeColor="text1"/>
          <w:sz w:val="24"/>
        </w:rPr>
        <w:t xml:space="preserve"> out. 2014</w:t>
      </w:r>
    </w:p>
    <w:p w:rsidR="008E268A" w:rsidRPr="008E268A" w:rsidRDefault="008E268A" w:rsidP="008E268A">
      <w:pPr>
        <w:jc w:val="both"/>
        <w:rPr>
          <w:rFonts w:ascii="Times New Roman" w:hAnsi="Times New Roman" w:cs="Times New Roman"/>
          <w:color w:val="000000" w:themeColor="text1"/>
          <w:sz w:val="24"/>
        </w:rPr>
      </w:pPr>
    </w:p>
    <w:p w:rsidR="0069418F" w:rsidRDefault="0069418F" w:rsidP="006F477D">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MAMEDE, </w:t>
      </w:r>
      <w:proofErr w:type="spellStart"/>
      <w:r>
        <w:rPr>
          <w:rFonts w:ascii="Times New Roman" w:hAnsi="Times New Roman" w:cs="Times New Roman"/>
          <w:color w:val="000000" w:themeColor="text1"/>
          <w:sz w:val="24"/>
        </w:rPr>
        <w:t>Gladston</w:t>
      </w:r>
      <w:proofErr w:type="spellEnd"/>
      <w:r>
        <w:rPr>
          <w:rFonts w:ascii="Times New Roman" w:hAnsi="Times New Roman" w:cs="Times New Roman"/>
          <w:color w:val="000000" w:themeColor="text1"/>
          <w:sz w:val="24"/>
        </w:rPr>
        <w:t xml:space="preserve">. </w:t>
      </w:r>
      <w:r w:rsidRPr="0069418F">
        <w:rPr>
          <w:rFonts w:ascii="Times New Roman" w:hAnsi="Times New Roman" w:cs="Times New Roman"/>
          <w:b/>
          <w:color w:val="000000" w:themeColor="text1"/>
          <w:sz w:val="24"/>
        </w:rPr>
        <w:t>Direito Empresarial Brasileiro:</w:t>
      </w:r>
      <w:r>
        <w:rPr>
          <w:rFonts w:ascii="Times New Roman" w:hAnsi="Times New Roman" w:cs="Times New Roman"/>
          <w:color w:val="000000" w:themeColor="text1"/>
          <w:sz w:val="24"/>
        </w:rPr>
        <w:t xml:space="preserve"> Falência e Recuperação de Empresas. 5ª ed. São Paulo: Atlas, 2012.</w:t>
      </w:r>
    </w:p>
    <w:p w:rsidR="0069418F" w:rsidRPr="0069418F" w:rsidRDefault="0069418F" w:rsidP="0069418F">
      <w:pPr>
        <w:spacing w:after="0" w:line="360" w:lineRule="auto"/>
        <w:jc w:val="both"/>
        <w:rPr>
          <w:rFonts w:ascii="Times New Roman" w:hAnsi="Times New Roman" w:cs="Times New Roman"/>
          <w:color w:val="000000" w:themeColor="text1"/>
          <w:sz w:val="24"/>
          <w:szCs w:val="24"/>
        </w:rPr>
      </w:pPr>
    </w:p>
    <w:p w:rsidR="001178D4" w:rsidRDefault="008008FE" w:rsidP="001178D4">
      <w:pPr>
        <w:spacing w:after="0" w:line="240" w:lineRule="auto"/>
        <w:jc w:val="both"/>
        <w:rPr>
          <w:rFonts w:ascii="Times New Roman" w:hAnsi="Times New Roman" w:cs="Times New Roman"/>
        </w:rPr>
      </w:pPr>
      <w:r>
        <w:rPr>
          <w:rFonts w:ascii="Times New Roman" w:hAnsi="Times New Roman" w:cs="Times New Roman"/>
          <w:sz w:val="24"/>
        </w:rPr>
        <w:t>NEGRÃO</w:t>
      </w:r>
      <w:r w:rsidR="001178D4" w:rsidRPr="009E5B9E">
        <w:rPr>
          <w:rFonts w:ascii="Times New Roman" w:hAnsi="Times New Roman" w:cs="Times New Roman"/>
          <w:sz w:val="24"/>
        </w:rPr>
        <w:t xml:space="preserve">, </w:t>
      </w:r>
      <w:r>
        <w:rPr>
          <w:rFonts w:ascii="Times New Roman" w:hAnsi="Times New Roman" w:cs="Times New Roman"/>
          <w:sz w:val="24"/>
        </w:rPr>
        <w:t>Ricardo</w:t>
      </w:r>
      <w:r w:rsidR="001178D4" w:rsidRPr="009E5B9E">
        <w:rPr>
          <w:rFonts w:ascii="Times New Roman" w:hAnsi="Times New Roman" w:cs="Times New Roman"/>
          <w:sz w:val="24"/>
        </w:rPr>
        <w:t xml:space="preserve">. </w:t>
      </w:r>
      <w:r>
        <w:rPr>
          <w:rFonts w:ascii="Times New Roman" w:hAnsi="Times New Roman" w:cs="Times New Roman"/>
          <w:b/>
          <w:sz w:val="24"/>
        </w:rPr>
        <w:t xml:space="preserve">Manual de Direito Comercial e de Empresa: </w:t>
      </w:r>
      <w:r w:rsidRPr="00C5311F">
        <w:rPr>
          <w:rFonts w:ascii="Times New Roman" w:hAnsi="Times New Roman" w:cs="Times New Roman"/>
          <w:sz w:val="24"/>
        </w:rPr>
        <w:t>recuperação de Empresa e Falência</w:t>
      </w:r>
      <w:r w:rsidR="001178D4" w:rsidRPr="009E5B9E">
        <w:rPr>
          <w:rFonts w:ascii="Times New Roman" w:hAnsi="Times New Roman" w:cs="Times New Roman"/>
          <w:sz w:val="24"/>
        </w:rPr>
        <w:t xml:space="preserve">. </w:t>
      </w:r>
      <w:r>
        <w:rPr>
          <w:rFonts w:ascii="Times New Roman" w:hAnsi="Times New Roman" w:cs="Times New Roman"/>
          <w:sz w:val="24"/>
        </w:rPr>
        <w:t xml:space="preserve">8. Ed. V.3 </w:t>
      </w:r>
      <w:r w:rsidR="001178D4">
        <w:rPr>
          <w:rFonts w:ascii="Times New Roman" w:hAnsi="Times New Roman" w:cs="Times New Roman"/>
          <w:sz w:val="24"/>
        </w:rPr>
        <w:t xml:space="preserve">São Paulo: </w:t>
      </w:r>
      <w:proofErr w:type="gramStart"/>
      <w:r w:rsidR="001178D4">
        <w:rPr>
          <w:rFonts w:ascii="Times New Roman" w:hAnsi="Times New Roman" w:cs="Times New Roman"/>
          <w:sz w:val="24"/>
        </w:rPr>
        <w:t>Saraiva,</w:t>
      </w:r>
      <w:proofErr w:type="gramEnd"/>
      <w:r w:rsidR="001178D4">
        <w:rPr>
          <w:rFonts w:ascii="Times New Roman" w:hAnsi="Times New Roman" w:cs="Times New Roman"/>
          <w:sz w:val="24"/>
        </w:rPr>
        <w:t xml:space="preserve"> 201</w:t>
      </w:r>
      <w:r>
        <w:rPr>
          <w:rFonts w:ascii="Times New Roman" w:hAnsi="Times New Roman" w:cs="Times New Roman"/>
          <w:sz w:val="24"/>
        </w:rPr>
        <w:t>3.</w:t>
      </w:r>
    </w:p>
    <w:p w:rsidR="001178D4" w:rsidRPr="0069418F" w:rsidRDefault="001178D4" w:rsidP="0069418F">
      <w:pPr>
        <w:spacing w:after="0" w:line="360" w:lineRule="auto"/>
        <w:jc w:val="both"/>
        <w:rPr>
          <w:rFonts w:ascii="Times New Roman" w:hAnsi="Times New Roman" w:cs="Times New Roman"/>
          <w:sz w:val="24"/>
          <w:szCs w:val="24"/>
        </w:rPr>
      </w:pPr>
    </w:p>
    <w:p w:rsidR="006F477D" w:rsidRDefault="006F477D" w:rsidP="006F477D">
      <w:pPr>
        <w:spacing w:after="0" w:line="240" w:lineRule="auto"/>
        <w:jc w:val="both"/>
        <w:rPr>
          <w:rFonts w:ascii="Times New Roman" w:hAnsi="Times New Roman" w:cs="Times New Roman"/>
          <w:sz w:val="24"/>
        </w:rPr>
      </w:pPr>
      <w:r>
        <w:rPr>
          <w:rFonts w:ascii="Times New Roman" w:hAnsi="Times New Roman" w:cs="Times New Roman"/>
          <w:sz w:val="24"/>
        </w:rPr>
        <w:t xml:space="preserve">PERIN JUNIOR, </w:t>
      </w:r>
      <w:proofErr w:type="spellStart"/>
      <w:r>
        <w:rPr>
          <w:rFonts w:ascii="Times New Roman" w:hAnsi="Times New Roman" w:cs="Times New Roman"/>
          <w:sz w:val="24"/>
        </w:rPr>
        <w:t>Ecio</w:t>
      </w:r>
      <w:proofErr w:type="spellEnd"/>
      <w:r>
        <w:rPr>
          <w:rFonts w:ascii="Times New Roman" w:hAnsi="Times New Roman" w:cs="Times New Roman"/>
          <w:sz w:val="24"/>
        </w:rPr>
        <w:t>.</w:t>
      </w:r>
      <w:r w:rsidRPr="00D56EEF">
        <w:rPr>
          <w:rFonts w:ascii="Times New Roman" w:hAnsi="Times New Roman" w:cs="Times New Roman"/>
          <w:sz w:val="24"/>
        </w:rPr>
        <w:t xml:space="preserve"> </w:t>
      </w:r>
      <w:r>
        <w:rPr>
          <w:rFonts w:ascii="Times New Roman" w:hAnsi="Times New Roman" w:cs="Times New Roman"/>
          <w:b/>
          <w:sz w:val="24"/>
        </w:rPr>
        <w:t xml:space="preserve">Curso de Direito Falimentar e Recuperação de Empresas. </w:t>
      </w:r>
      <w:proofErr w:type="gramStart"/>
      <w:r>
        <w:rPr>
          <w:rFonts w:ascii="Times New Roman" w:hAnsi="Times New Roman" w:cs="Times New Roman"/>
          <w:sz w:val="24"/>
        </w:rPr>
        <w:t>4</w:t>
      </w:r>
      <w:proofErr w:type="gramEnd"/>
      <w:r>
        <w:rPr>
          <w:rFonts w:ascii="Times New Roman" w:hAnsi="Times New Roman" w:cs="Times New Roman"/>
          <w:sz w:val="24"/>
        </w:rPr>
        <w:t xml:space="preserve"> ed. São Paulo: Saraiva, 2011.</w:t>
      </w:r>
    </w:p>
    <w:p w:rsidR="006F477D" w:rsidRPr="0069418F" w:rsidRDefault="006F477D" w:rsidP="0069418F">
      <w:pPr>
        <w:spacing w:after="0" w:line="360" w:lineRule="auto"/>
        <w:jc w:val="both"/>
        <w:rPr>
          <w:rFonts w:ascii="Times New Roman" w:hAnsi="Times New Roman" w:cs="Times New Roman"/>
          <w:sz w:val="24"/>
          <w:szCs w:val="24"/>
        </w:rPr>
      </w:pPr>
    </w:p>
    <w:p w:rsidR="006F477D" w:rsidRPr="006F477D" w:rsidRDefault="006F477D" w:rsidP="006F477D">
      <w:pPr>
        <w:spacing w:after="0" w:line="240" w:lineRule="auto"/>
        <w:jc w:val="both"/>
        <w:rPr>
          <w:rFonts w:ascii="Times New Roman" w:hAnsi="Times New Roman" w:cs="Times New Roman"/>
          <w:color w:val="000000" w:themeColor="text1"/>
          <w:sz w:val="24"/>
          <w:szCs w:val="24"/>
          <w:u w:val="single"/>
        </w:rPr>
      </w:pPr>
      <w:r w:rsidRPr="006756A1">
        <w:rPr>
          <w:rFonts w:ascii="Times New Roman" w:hAnsi="Times New Roman" w:cs="Times New Roman"/>
          <w:b/>
          <w:sz w:val="24"/>
          <w:szCs w:val="24"/>
        </w:rPr>
        <w:t>RESP 1377764</w:t>
      </w:r>
      <w:r w:rsidRPr="006756A1">
        <w:rPr>
          <w:rFonts w:ascii="Times New Roman" w:hAnsi="Times New Roman" w:cs="Times New Roman"/>
          <w:b/>
          <w:color w:val="000000" w:themeColor="text1"/>
          <w:sz w:val="24"/>
          <w:szCs w:val="24"/>
        </w:rPr>
        <w:t>.</w:t>
      </w:r>
      <w:r w:rsidRPr="00AB56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Voto da Relatora</w:t>
      </w:r>
      <w:r w:rsidRPr="00AB5696">
        <w:rPr>
          <w:rFonts w:ascii="Times New Roman" w:hAnsi="Times New Roman" w:cs="Times New Roman"/>
          <w:color w:val="000000" w:themeColor="text1"/>
          <w:sz w:val="24"/>
          <w:szCs w:val="24"/>
        </w:rPr>
        <w:t xml:space="preserve">. </w:t>
      </w:r>
      <w:r>
        <w:rPr>
          <w:rFonts w:ascii="Times New Roman" w:hAnsi="Times New Roman" w:cs="Times New Roman"/>
        </w:rPr>
        <w:t xml:space="preserve">Nancy </w:t>
      </w:r>
      <w:proofErr w:type="spellStart"/>
      <w:r>
        <w:rPr>
          <w:rFonts w:ascii="Times New Roman" w:hAnsi="Times New Roman" w:cs="Times New Roman"/>
        </w:rPr>
        <w:t>A</w:t>
      </w:r>
      <w:r w:rsidRPr="000C3C90">
        <w:rPr>
          <w:rFonts w:ascii="Times New Roman" w:hAnsi="Times New Roman" w:cs="Times New Roman"/>
        </w:rPr>
        <w:t>ndrighi</w:t>
      </w:r>
      <w:proofErr w:type="spellEnd"/>
      <w:r>
        <w:rPr>
          <w:rFonts w:ascii="Times New Roman" w:hAnsi="Times New Roman" w:cs="Times New Roman"/>
          <w:color w:val="000000" w:themeColor="text1"/>
          <w:sz w:val="24"/>
          <w:szCs w:val="24"/>
        </w:rPr>
        <w:t xml:space="preserve">. Distrito Federal. Disponível em:&lt; </w:t>
      </w:r>
      <w:r w:rsidRPr="0053279C">
        <w:rPr>
          <w:rFonts w:ascii="Times New Roman" w:hAnsi="Times New Roman" w:cs="Times New Roman"/>
          <w:sz w:val="24"/>
          <w:szCs w:val="24"/>
          <w:u w:val="single"/>
        </w:rPr>
        <w:t>http://columbo2.cjf.jus.br/juris/unificada/</w:t>
      </w:r>
      <w:r w:rsidRPr="0053279C">
        <w:rPr>
          <w:rStyle w:val="Hyperlink"/>
          <w:rFonts w:ascii="Times New Roman" w:hAnsi="Times New Roman" w:cs="Times New Roman"/>
          <w:color w:val="auto"/>
          <w:sz w:val="24"/>
          <w:szCs w:val="24"/>
        </w:rPr>
        <w:t xml:space="preserve"> </w:t>
      </w:r>
      <w:r w:rsidRPr="00AB5696">
        <w:rPr>
          <w:rStyle w:val="Hyperlink"/>
          <w:rFonts w:ascii="Times New Roman" w:hAnsi="Times New Roman" w:cs="Times New Roman"/>
          <w:color w:val="000000" w:themeColor="text1"/>
          <w:sz w:val="24"/>
          <w:szCs w:val="24"/>
        </w:rPr>
        <w:t xml:space="preserve">&gt; Acesso em: </w:t>
      </w:r>
      <w:proofErr w:type="gramStart"/>
      <w:r>
        <w:rPr>
          <w:rStyle w:val="Hyperlink"/>
          <w:rFonts w:ascii="Times New Roman" w:hAnsi="Times New Roman" w:cs="Times New Roman"/>
          <w:color w:val="000000" w:themeColor="text1"/>
          <w:sz w:val="24"/>
          <w:szCs w:val="24"/>
        </w:rPr>
        <w:t>8</w:t>
      </w:r>
      <w:proofErr w:type="gramEnd"/>
      <w:r>
        <w:rPr>
          <w:rStyle w:val="Hyperlink"/>
          <w:rFonts w:ascii="Times New Roman" w:hAnsi="Times New Roman" w:cs="Times New Roman"/>
          <w:color w:val="000000" w:themeColor="text1"/>
          <w:sz w:val="24"/>
          <w:szCs w:val="24"/>
        </w:rPr>
        <w:t xml:space="preserve"> Out</w:t>
      </w:r>
      <w:r w:rsidRPr="00AB5696">
        <w:rPr>
          <w:rStyle w:val="Hyperlink"/>
          <w:rFonts w:ascii="Times New Roman" w:hAnsi="Times New Roman" w:cs="Times New Roman"/>
          <w:color w:val="000000" w:themeColor="text1"/>
          <w:sz w:val="24"/>
          <w:szCs w:val="24"/>
        </w:rPr>
        <w:t xml:space="preserve"> 2014</w:t>
      </w:r>
    </w:p>
    <w:p w:rsidR="006F477D" w:rsidRPr="0069418F" w:rsidRDefault="006F477D" w:rsidP="0069418F">
      <w:pPr>
        <w:spacing w:after="0" w:line="360" w:lineRule="auto"/>
        <w:jc w:val="both"/>
        <w:rPr>
          <w:rFonts w:ascii="Times New Roman" w:hAnsi="Times New Roman" w:cs="Times New Roman"/>
          <w:sz w:val="24"/>
          <w:szCs w:val="24"/>
        </w:rPr>
      </w:pPr>
    </w:p>
    <w:p w:rsidR="001178D4" w:rsidRDefault="000D7F9C" w:rsidP="000D7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TOMAZETTE</w:t>
      </w:r>
      <w:r w:rsidR="001178D4" w:rsidRPr="0000052B">
        <w:rPr>
          <w:rFonts w:ascii="Times New Roman" w:hAnsi="Times New Roman" w:cs="Times New Roman"/>
          <w:sz w:val="24"/>
          <w:szCs w:val="24"/>
        </w:rPr>
        <w:t xml:space="preserve">, </w:t>
      </w:r>
      <w:r>
        <w:rPr>
          <w:rFonts w:ascii="Times New Roman" w:hAnsi="Times New Roman" w:cs="Times New Roman"/>
          <w:b/>
          <w:sz w:val="24"/>
          <w:szCs w:val="24"/>
        </w:rPr>
        <w:t>Curso de Direito Empresarial: falência e recuperação de empresas</w:t>
      </w:r>
      <w:r w:rsidR="001178D4" w:rsidRPr="0000052B">
        <w:rPr>
          <w:rFonts w:ascii="Times New Roman" w:hAnsi="Times New Roman" w:cs="Times New Roman"/>
          <w:sz w:val="24"/>
          <w:szCs w:val="24"/>
        </w:rPr>
        <w:t xml:space="preserve">. </w:t>
      </w:r>
      <w:r>
        <w:rPr>
          <w:rFonts w:ascii="Times New Roman" w:hAnsi="Times New Roman" w:cs="Times New Roman"/>
          <w:sz w:val="24"/>
          <w:szCs w:val="24"/>
        </w:rPr>
        <w:t>V3 São Paulo: Atlas S.A, 2011</w:t>
      </w:r>
      <w:r w:rsidR="001178D4">
        <w:rPr>
          <w:rFonts w:ascii="Times New Roman" w:hAnsi="Times New Roman" w:cs="Times New Roman"/>
          <w:sz w:val="24"/>
          <w:szCs w:val="24"/>
        </w:rPr>
        <w:t>.</w:t>
      </w:r>
    </w:p>
    <w:p w:rsidR="00F64B02" w:rsidRPr="0069418F" w:rsidRDefault="00F64B02" w:rsidP="0069418F">
      <w:pPr>
        <w:spacing w:after="0" w:line="360" w:lineRule="auto"/>
        <w:jc w:val="both"/>
        <w:rPr>
          <w:rFonts w:ascii="Times New Roman" w:hAnsi="Times New Roman" w:cs="Times New Roman"/>
          <w:sz w:val="24"/>
          <w:szCs w:val="24"/>
        </w:rPr>
      </w:pPr>
    </w:p>
    <w:p w:rsidR="00F64B02" w:rsidRDefault="00F64B02" w:rsidP="000D7F9C">
      <w:pPr>
        <w:spacing w:after="0" w:line="240" w:lineRule="auto"/>
        <w:jc w:val="both"/>
        <w:rPr>
          <w:rFonts w:ascii="Times New Roman" w:hAnsi="Times New Roman" w:cs="Times New Roman"/>
          <w:sz w:val="24"/>
          <w:szCs w:val="24"/>
        </w:rPr>
      </w:pPr>
      <w:r w:rsidRPr="00597D67">
        <w:rPr>
          <w:rFonts w:ascii="Times New Roman" w:hAnsi="Times New Roman" w:cs="Times New Roman"/>
          <w:b/>
          <w:sz w:val="24"/>
          <w:szCs w:val="24"/>
        </w:rPr>
        <w:t xml:space="preserve">VADE MECUM UNIVERSITÁRIO </w:t>
      </w:r>
      <w:r w:rsidRPr="00597D67">
        <w:rPr>
          <w:rFonts w:ascii="Times New Roman" w:hAnsi="Times New Roman" w:cs="Times New Roman"/>
          <w:sz w:val="24"/>
          <w:szCs w:val="24"/>
        </w:rPr>
        <w:t xml:space="preserve">RT / [Equipe RT]. – 5. Ed. rev., </w:t>
      </w:r>
      <w:proofErr w:type="spellStart"/>
      <w:r w:rsidRPr="00597D67">
        <w:rPr>
          <w:rFonts w:ascii="Times New Roman" w:hAnsi="Times New Roman" w:cs="Times New Roman"/>
          <w:sz w:val="24"/>
          <w:szCs w:val="24"/>
        </w:rPr>
        <w:t>ampl</w:t>
      </w:r>
      <w:proofErr w:type="spellEnd"/>
      <w:r w:rsidRPr="00597D67">
        <w:rPr>
          <w:rFonts w:ascii="Times New Roman" w:hAnsi="Times New Roman" w:cs="Times New Roman"/>
          <w:sz w:val="24"/>
          <w:szCs w:val="24"/>
        </w:rPr>
        <w:t xml:space="preserve">. </w:t>
      </w:r>
      <w:proofErr w:type="gramStart"/>
      <w:r w:rsidRPr="00597D67">
        <w:rPr>
          <w:rFonts w:ascii="Times New Roman" w:hAnsi="Times New Roman" w:cs="Times New Roman"/>
          <w:sz w:val="24"/>
          <w:szCs w:val="24"/>
        </w:rPr>
        <w:t>e</w:t>
      </w:r>
      <w:proofErr w:type="gramEnd"/>
      <w:r w:rsidRPr="00597D67">
        <w:rPr>
          <w:rFonts w:ascii="Times New Roman" w:hAnsi="Times New Roman" w:cs="Times New Roman"/>
          <w:sz w:val="24"/>
          <w:szCs w:val="24"/>
        </w:rPr>
        <w:t xml:space="preserve"> atual. – São Paulo: Editora Revista dos Tribunais, 2013. – (RT códigos)</w:t>
      </w:r>
    </w:p>
    <w:p w:rsidR="00F64B02" w:rsidRPr="0069418F" w:rsidRDefault="00F64B02" w:rsidP="0069418F">
      <w:pPr>
        <w:spacing w:after="0" w:line="360" w:lineRule="auto"/>
        <w:jc w:val="both"/>
        <w:rPr>
          <w:rFonts w:ascii="Times New Roman" w:hAnsi="Times New Roman" w:cs="Times New Roman"/>
          <w:sz w:val="24"/>
          <w:szCs w:val="24"/>
        </w:rPr>
      </w:pPr>
    </w:p>
    <w:sectPr w:rsidR="00F64B02" w:rsidRPr="006941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FB" w:rsidRDefault="005840FB" w:rsidP="001178D4">
      <w:pPr>
        <w:spacing w:after="0" w:line="240" w:lineRule="auto"/>
      </w:pPr>
      <w:r>
        <w:separator/>
      </w:r>
    </w:p>
  </w:endnote>
  <w:endnote w:type="continuationSeparator" w:id="0">
    <w:p w:rsidR="005840FB" w:rsidRDefault="005840FB" w:rsidP="0011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FB" w:rsidRDefault="005840FB" w:rsidP="001178D4">
      <w:pPr>
        <w:spacing w:after="0" w:line="240" w:lineRule="auto"/>
      </w:pPr>
      <w:r>
        <w:separator/>
      </w:r>
    </w:p>
  </w:footnote>
  <w:footnote w:type="continuationSeparator" w:id="0">
    <w:p w:rsidR="005840FB" w:rsidRDefault="005840FB" w:rsidP="001178D4">
      <w:pPr>
        <w:spacing w:after="0" w:line="240" w:lineRule="auto"/>
      </w:pPr>
      <w:r>
        <w:continuationSeparator/>
      </w:r>
    </w:p>
  </w:footnote>
  <w:footnote w:id="1">
    <w:p w:rsidR="001178D4" w:rsidRDefault="001178D4" w:rsidP="001178D4">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Case apresentado à disciplina </w:t>
      </w:r>
      <w:r w:rsidR="00EF4893">
        <w:rPr>
          <w:rFonts w:ascii="Times New Roman" w:hAnsi="Times New Roman" w:cs="Times New Roman"/>
        </w:rPr>
        <w:t>Recuperação de Empresas</w:t>
      </w:r>
      <w:r>
        <w:rPr>
          <w:rFonts w:ascii="Times New Roman" w:hAnsi="Times New Roman" w:cs="Times New Roman"/>
        </w:rPr>
        <w:t>, da Unidade de Ensino Superior Dom Bosco;</w:t>
      </w:r>
    </w:p>
  </w:footnote>
  <w:footnote w:id="2">
    <w:p w:rsidR="001178D4" w:rsidRDefault="001178D4" w:rsidP="001178D4">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Aluno do </w:t>
      </w:r>
      <w:r w:rsidR="00E541BB">
        <w:rPr>
          <w:rFonts w:ascii="Times New Roman" w:hAnsi="Times New Roman" w:cs="Times New Roman"/>
        </w:rPr>
        <w:t>6</w:t>
      </w:r>
      <w:r>
        <w:rPr>
          <w:rFonts w:ascii="Times New Roman" w:hAnsi="Times New Roman" w:cs="Times New Roman"/>
        </w:rPr>
        <w:t>º período, do curso de Direito da UNDB;</w:t>
      </w:r>
    </w:p>
  </w:footnote>
  <w:footnote w:id="3">
    <w:p w:rsidR="001178D4" w:rsidRDefault="001178D4" w:rsidP="001178D4">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Professor da disciplina </w:t>
      </w:r>
      <w:r w:rsidR="00E541BB">
        <w:rPr>
          <w:rFonts w:ascii="Times New Roman" w:hAnsi="Times New Roman" w:cs="Times New Roman"/>
        </w:rPr>
        <w:t>Recuperação de Empresas</w:t>
      </w:r>
      <w:r>
        <w:rPr>
          <w:rFonts w:ascii="Times New Roman" w:hAnsi="Times New Roman" w:cs="Times New Roman"/>
        </w:rPr>
        <w:t>, da Unidade de Ensino Superior Dom Bosco;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C3B99"/>
    <w:multiLevelType w:val="hybridMultilevel"/>
    <w:tmpl w:val="CB0632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BFA7FFA"/>
    <w:multiLevelType w:val="hybridMultilevel"/>
    <w:tmpl w:val="C24EC4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66AD467E"/>
    <w:multiLevelType w:val="hybridMultilevel"/>
    <w:tmpl w:val="D3E6CA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D4"/>
    <w:rsid w:val="00046B0E"/>
    <w:rsid w:val="00074407"/>
    <w:rsid w:val="000D7F9C"/>
    <w:rsid w:val="000E56AD"/>
    <w:rsid w:val="000F14E4"/>
    <w:rsid w:val="001133A9"/>
    <w:rsid w:val="001178D4"/>
    <w:rsid w:val="001614D3"/>
    <w:rsid w:val="00170ABA"/>
    <w:rsid w:val="00181115"/>
    <w:rsid w:val="001817A5"/>
    <w:rsid w:val="001A7129"/>
    <w:rsid w:val="001A7394"/>
    <w:rsid w:val="001D29D3"/>
    <w:rsid w:val="00203C15"/>
    <w:rsid w:val="0020633C"/>
    <w:rsid w:val="00267140"/>
    <w:rsid w:val="002923F5"/>
    <w:rsid w:val="002C7E44"/>
    <w:rsid w:val="0039608F"/>
    <w:rsid w:val="003A0FDB"/>
    <w:rsid w:val="003B399A"/>
    <w:rsid w:val="003F42C8"/>
    <w:rsid w:val="00427596"/>
    <w:rsid w:val="004279C1"/>
    <w:rsid w:val="0045750D"/>
    <w:rsid w:val="0046208F"/>
    <w:rsid w:val="004A72D9"/>
    <w:rsid w:val="004B40EE"/>
    <w:rsid w:val="004D1316"/>
    <w:rsid w:val="0053279C"/>
    <w:rsid w:val="005352FB"/>
    <w:rsid w:val="005766F6"/>
    <w:rsid w:val="005840FB"/>
    <w:rsid w:val="005A6AA3"/>
    <w:rsid w:val="005B6676"/>
    <w:rsid w:val="005F3CB6"/>
    <w:rsid w:val="0065425F"/>
    <w:rsid w:val="006756A1"/>
    <w:rsid w:val="0069418F"/>
    <w:rsid w:val="006A49DE"/>
    <w:rsid w:val="006A7100"/>
    <w:rsid w:val="006F477D"/>
    <w:rsid w:val="00753657"/>
    <w:rsid w:val="0075431F"/>
    <w:rsid w:val="00770970"/>
    <w:rsid w:val="0078257E"/>
    <w:rsid w:val="0079706F"/>
    <w:rsid w:val="007D7976"/>
    <w:rsid w:val="008008FE"/>
    <w:rsid w:val="0081013A"/>
    <w:rsid w:val="00880014"/>
    <w:rsid w:val="008E268A"/>
    <w:rsid w:val="00902E82"/>
    <w:rsid w:val="00933200"/>
    <w:rsid w:val="00991781"/>
    <w:rsid w:val="009A174A"/>
    <w:rsid w:val="009D7413"/>
    <w:rsid w:val="009F6486"/>
    <w:rsid w:val="00A659C9"/>
    <w:rsid w:val="00A81BA3"/>
    <w:rsid w:val="00A87AF7"/>
    <w:rsid w:val="00AC390B"/>
    <w:rsid w:val="00AD0465"/>
    <w:rsid w:val="00AE0A70"/>
    <w:rsid w:val="00B6303E"/>
    <w:rsid w:val="00B9335D"/>
    <w:rsid w:val="00B93F50"/>
    <w:rsid w:val="00C41C33"/>
    <w:rsid w:val="00C5311F"/>
    <w:rsid w:val="00D170F4"/>
    <w:rsid w:val="00D201C4"/>
    <w:rsid w:val="00D400DF"/>
    <w:rsid w:val="00D945D3"/>
    <w:rsid w:val="00DA21C0"/>
    <w:rsid w:val="00DF2CB2"/>
    <w:rsid w:val="00E039CD"/>
    <w:rsid w:val="00E10AAC"/>
    <w:rsid w:val="00E541BB"/>
    <w:rsid w:val="00E76135"/>
    <w:rsid w:val="00EB61E9"/>
    <w:rsid w:val="00ED40F0"/>
    <w:rsid w:val="00EF4893"/>
    <w:rsid w:val="00F637C6"/>
    <w:rsid w:val="00F64B02"/>
    <w:rsid w:val="00F8662A"/>
    <w:rsid w:val="00FA0BF0"/>
    <w:rsid w:val="00FF2C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178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78D4"/>
    <w:rPr>
      <w:sz w:val="20"/>
      <w:szCs w:val="20"/>
    </w:rPr>
  </w:style>
  <w:style w:type="paragraph" w:styleId="SemEspaamento">
    <w:name w:val="No Spacing"/>
    <w:uiPriority w:val="1"/>
    <w:qFormat/>
    <w:rsid w:val="001178D4"/>
    <w:pPr>
      <w:spacing w:after="0" w:line="240" w:lineRule="auto"/>
    </w:pPr>
  </w:style>
  <w:style w:type="character" w:styleId="Refdenotaderodap">
    <w:name w:val="footnote reference"/>
    <w:basedOn w:val="Fontepargpadro"/>
    <w:uiPriority w:val="99"/>
    <w:semiHidden/>
    <w:unhideWhenUsed/>
    <w:rsid w:val="001178D4"/>
    <w:rPr>
      <w:vertAlign w:val="superscript"/>
    </w:rPr>
  </w:style>
  <w:style w:type="character" w:customStyle="1" w:styleId="apple-converted-space">
    <w:name w:val="apple-converted-space"/>
    <w:basedOn w:val="Fontepargpadro"/>
    <w:rsid w:val="001178D4"/>
  </w:style>
  <w:style w:type="paragraph" w:styleId="PargrafodaLista">
    <w:name w:val="List Paragraph"/>
    <w:basedOn w:val="Normal"/>
    <w:uiPriority w:val="34"/>
    <w:qFormat/>
    <w:rsid w:val="00046B0E"/>
    <w:pPr>
      <w:ind w:left="720"/>
      <w:contextualSpacing/>
    </w:pPr>
  </w:style>
  <w:style w:type="character" w:styleId="Hyperlink">
    <w:name w:val="Hyperlink"/>
    <w:basedOn w:val="Fontepargpadro"/>
    <w:uiPriority w:val="99"/>
    <w:unhideWhenUsed/>
    <w:rsid w:val="00A81B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178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78D4"/>
    <w:rPr>
      <w:sz w:val="20"/>
      <w:szCs w:val="20"/>
    </w:rPr>
  </w:style>
  <w:style w:type="paragraph" w:styleId="SemEspaamento">
    <w:name w:val="No Spacing"/>
    <w:uiPriority w:val="1"/>
    <w:qFormat/>
    <w:rsid w:val="001178D4"/>
    <w:pPr>
      <w:spacing w:after="0" w:line="240" w:lineRule="auto"/>
    </w:pPr>
  </w:style>
  <w:style w:type="character" w:styleId="Refdenotaderodap">
    <w:name w:val="footnote reference"/>
    <w:basedOn w:val="Fontepargpadro"/>
    <w:uiPriority w:val="99"/>
    <w:semiHidden/>
    <w:unhideWhenUsed/>
    <w:rsid w:val="001178D4"/>
    <w:rPr>
      <w:vertAlign w:val="superscript"/>
    </w:rPr>
  </w:style>
  <w:style w:type="character" w:customStyle="1" w:styleId="apple-converted-space">
    <w:name w:val="apple-converted-space"/>
    <w:basedOn w:val="Fontepargpadro"/>
    <w:rsid w:val="001178D4"/>
  </w:style>
  <w:style w:type="paragraph" w:styleId="PargrafodaLista">
    <w:name w:val="List Paragraph"/>
    <w:basedOn w:val="Normal"/>
    <w:uiPriority w:val="34"/>
    <w:qFormat/>
    <w:rsid w:val="00046B0E"/>
    <w:pPr>
      <w:ind w:left="720"/>
      <w:contextualSpacing/>
    </w:pPr>
  </w:style>
  <w:style w:type="character" w:styleId="Hyperlink">
    <w:name w:val="Hyperlink"/>
    <w:basedOn w:val="Fontepargpadro"/>
    <w:uiPriority w:val="99"/>
    <w:unhideWhenUsed/>
    <w:rsid w:val="00A81B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7</Pages>
  <Words>2505</Words>
  <Characters>13529</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90</cp:revision>
  <dcterms:created xsi:type="dcterms:W3CDTF">2014-08-27T18:54:00Z</dcterms:created>
  <dcterms:modified xsi:type="dcterms:W3CDTF">2014-10-10T19:51:00Z</dcterms:modified>
</cp:coreProperties>
</file>