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EDF" w:rsidRPr="00316BF5" w:rsidRDefault="00E77EDF" w:rsidP="00316BF5">
      <w:pPr>
        <w:spacing w:after="0" w:line="360" w:lineRule="auto"/>
        <w:ind w:firstLine="1134"/>
        <w:jc w:val="both"/>
        <w:rPr>
          <w:rFonts w:ascii="Times New Roman" w:hAnsi="Times New Roman" w:cs="Times New Roman"/>
          <w:sz w:val="28"/>
          <w:szCs w:val="28"/>
        </w:rPr>
      </w:pPr>
      <w:r>
        <w:rPr>
          <w:rFonts w:ascii="Times New Roman" w:hAnsi="Times New Roman" w:cs="Times New Roman"/>
          <w:b/>
          <w:sz w:val="28"/>
          <w:szCs w:val="28"/>
        </w:rPr>
        <w:t>SINOPSE DO CASE</w:t>
      </w:r>
      <w:r w:rsidR="00316BF5">
        <w:rPr>
          <w:b/>
          <w:sz w:val="24"/>
        </w:rPr>
        <w:t>:</w:t>
      </w:r>
      <w:r w:rsidR="00316BF5">
        <w:rPr>
          <w:rFonts w:ascii="Times New Roman" w:hAnsi="Times New Roman" w:cs="Times New Roman"/>
          <w:sz w:val="28"/>
          <w:szCs w:val="28"/>
        </w:rPr>
        <w:t xml:space="preserve"> </w:t>
      </w:r>
      <w:r w:rsidR="00316BF5" w:rsidRPr="00316BF5">
        <w:rPr>
          <w:rFonts w:ascii="Times New Roman" w:hAnsi="Times New Roman" w:cs="Times New Roman"/>
          <w:sz w:val="28"/>
          <w:szCs w:val="28"/>
        </w:rPr>
        <w:t>INCIDE DE ITBI SOBRE A TRANSMISSÃO DE IMÓVEIS CUJOS VALOR</w:t>
      </w:r>
      <w:r w:rsidR="00316BF5">
        <w:rPr>
          <w:rFonts w:ascii="Times New Roman" w:hAnsi="Times New Roman" w:cs="Times New Roman"/>
          <w:sz w:val="28"/>
          <w:szCs w:val="28"/>
        </w:rPr>
        <w:t>ES ULTRAPASSEM O CAPITAL SOCIAL</w:t>
      </w:r>
      <w:r>
        <w:rPr>
          <w:rStyle w:val="Refdenotaderodap"/>
          <w:rFonts w:ascii="Times New Roman" w:hAnsi="Times New Roman" w:cs="Times New Roman"/>
          <w:sz w:val="28"/>
          <w:szCs w:val="28"/>
        </w:rPr>
        <w:footnoteReference w:id="1"/>
      </w:r>
      <w:r>
        <w:rPr>
          <w:rFonts w:ascii="Times New Roman" w:hAnsi="Times New Roman" w:cs="Times New Roman"/>
          <w:sz w:val="24"/>
          <w:szCs w:val="24"/>
        </w:rPr>
        <w:t xml:space="preserve"> </w:t>
      </w:r>
    </w:p>
    <w:p w:rsidR="00E77EDF" w:rsidRDefault="00E77EDF" w:rsidP="00E77EDF">
      <w:pPr>
        <w:spacing w:after="0" w:line="240" w:lineRule="auto"/>
        <w:ind w:firstLine="1134"/>
        <w:jc w:val="right"/>
        <w:rPr>
          <w:rFonts w:ascii="Times New Roman" w:hAnsi="Times New Roman" w:cs="Times New Roman"/>
          <w:sz w:val="24"/>
          <w:szCs w:val="24"/>
        </w:rPr>
      </w:pPr>
    </w:p>
    <w:p w:rsidR="00E77EDF" w:rsidRDefault="00E77EDF" w:rsidP="00E77EDF">
      <w:pPr>
        <w:spacing w:after="0" w:line="240" w:lineRule="auto"/>
        <w:ind w:firstLine="1134"/>
        <w:jc w:val="right"/>
        <w:rPr>
          <w:rFonts w:ascii="Times New Roman" w:hAnsi="Times New Roman" w:cs="Times New Roman"/>
          <w:sz w:val="24"/>
          <w:szCs w:val="24"/>
        </w:rPr>
      </w:pPr>
    </w:p>
    <w:p w:rsidR="00E77EDF" w:rsidRDefault="00E77EDF" w:rsidP="00E77EDF">
      <w:pPr>
        <w:spacing w:after="0" w:line="240" w:lineRule="auto"/>
        <w:ind w:firstLine="1134"/>
        <w:jc w:val="right"/>
        <w:rPr>
          <w:rFonts w:ascii="Times New Roman" w:hAnsi="Times New Roman" w:cs="Times New Roman"/>
          <w:sz w:val="24"/>
          <w:szCs w:val="24"/>
        </w:rPr>
      </w:pPr>
      <w:r>
        <w:rPr>
          <w:rFonts w:ascii="Times New Roman" w:hAnsi="Times New Roman" w:cs="Times New Roman"/>
          <w:sz w:val="24"/>
          <w:szCs w:val="24"/>
        </w:rPr>
        <w:t>George Cabral Cardoso</w:t>
      </w:r>
      <w:r>
        <w:rPr>
          <w:rStyle w:val="Refdenotaderodap"/>
          <w:rFonts w:ascii="Times New Roman" w:hAnsi="Times New Roman" w:cs="Times New Roman"/>
          <w:sz w:val="24"/>
          <w:szCs w:val="24"/>
        </w:rPr>
        <w:footnoteReference w:id="2"/>
      </w:r>
    </w:p>
    <w:p w:rsidR="00E77EDF" w:rsidRDefault="00E77EDF" w:rsidP="00E77EDF">
      <w:pPr>
        <w:spacing w:after="0" w:line="240" w:lineRule="auto"/>
        <w:ind w:firstLine="1134"/>
        <w:jc w:val="right"/>
        <w:rPr>
          <w:rFonts w:ascii="Times New Roman" w:hAnsi="Times New Roman" w:cs="Times New Roman"/>
          <w:sz w:val="24"/>
          <w:szCs w:val="24"/>
        </w:rPr>
      </w:pPr>
    </w:p>
    <w:p w:rsidR="00E77EDF" w:rsidRDefault="00F44785" w:rsidP="00E77EDF">
      <w:pPr>
        <w:spacing w:after="0" w:line="240" w:lineRule="auto"/>
        <w:ind w:left="282" w:firstLine="1134"/>
        <w:jc w:val="right"/>
        <w:rPr>
          <w:rFonts w:ascii="Times New Roman" w:hAnsi="Times New Roman" w:cs="Times New Roman"/>
          <w:sz w:val="24"/>
          <w:szCs w:val="24"/>
        </w:rPr>
      </w:pPr>
      <w:r>
        <w:rPr>
          <w:rFonts w:ascii="Times New Roman" w:hAnsi="Times New Roman" w:cs="Times New Roman"/>
          <w:sz w:val="24"/>
          <w:szCs w:val="24"/>
        </w:rPr>
        <w:t>Antônio de Moraes Rê</w:t>
      </w:r>
      <w:r w:rsidRPr="00F44785">
        <w:rPr>
          <w:rFonts w:ascii="Times New Roman" w:hAnsi="Times New Roman" w:cs="Times New Roman"/>
          <w:sz w:val="24"/>
          <w:szCs w:val="24"/>
        </w:rPr>
        <w:t>go Gaspar</w:t>
      </w:r>
      <w:r w:rsidR="00E77EDF">
        <w:rPr>
          <w:rStyle w:val="Refdenotaderodap"/>
          <w:rFonts w:ascii="Times New Roman" w:hAnsi="Times New Roman" w:cs="Times New Roman"/>
          <w:sz w:val="24"/>
          <w:szCs w:val="24"/>
        </w:rPr>
        <w:footnoteReference w:id="3"/>
      </w:r>
    </w:p>
    <w:p w:rsidR="00E77EDF" w:rsidRDefault="00E77EDF" w:rsidP="00E77EDF">
      <w:pPr>
        <w:tabs>
          <w:tab w:val="left" w:pos="3630"/>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p>
    <w:p w:rsidR="00E77EDF" w:rsidRDefault="00E77EDF" w:rsidP="00E77EDF">
      <w:pPr>
        <w:spacing w:after="0" w:line="240" w:lineRule="auto"/>
        <w:rPr>
          <w:rFonts w:ascii="Times New Roman" w:hAnsi="Times New Roman" w:cs="Times New Roman"/>
          <w:b/>
          <w:sz w:val="28"/>
          <w:szCs w:val="28"/>
        </w:rPr>
      </w:pPr>
    </w:p>
    <w:p w:rsidR="00E77EDF" w:rsidRDefault="00E77EDF" w:rsidP="00E77EDF">
      <w:pPr>
        <w:spacing w:after="0" w:line="240" w:lineRule="auto"/>
        <w:rPr>
          <w:rFonts w:ascii="Times New Roman" w:hAnsi="Times New Roman" w:cs="Times New Roman"/>
          <w:b/>
          <w:sz w:val="28"/>
          <w:szCs w:val="28"/>
        </w:rPr>
      </w:pPr>
      <w:proofErr w:type="gramStart"/>
      <w:r>
        <w:rPr>
          <w:rFonts w:ascii="Times New Roman" w:hAnsi="Times New Roman" w:cs="Times New Roman"/>
          <w:b/>
          <w:sz w:val="28"/>
          <w:szCs w:val="28"/>
        </w:rPr>
        <w:t>1</w:t>
      </w:r>
      <w:proofErr w:type="gramEnd"/>
      <w:r>
        <w:rPr>
          <w:rFonts w:ascii="Times New Roman" w:hAnsi="Times New Roman" w:cs="Times New Roman"/>
          <w:b/>
          <w:sz w:val="28"/>
          <w:szCs w:val="28"/>
        </w:rPr>
        <w:t xml:space="preserve"> DESCRIÇÃO DO CASO</w:t>
      </w:r>
    </w:p>
    <w:p w:rsidR="00E77EDF" w:rsidRDefault="00E77EDF" w:rsidP="00E77EDF">
      <w:pPr>
        <w:spacing w:after="0" w:line="360" w:lineRule="auto"/>
        <w:ind w:firstLine="1134"/>
        <w:jc w:val="both"/>
        <w:rPr>
          <w:rFonts w:ascii="Times New Roman" w:hAnsi="Times New Roman" w:cs="Times New Roman"/>
          <w:sz w:val="24"/>
          <w:szCs w:val="24"/>
        </w:rPr>
      </w:pPr>
    </w:p>
    <w:p w:rsidR="00E77EDF" w:rsidRDefault="00F144F0" w:rsidP="00E77EDF">
      <w:pPr>
        <w:spacing w:after="0" w:line="360" w:lineRule="auto"/>
        <w:ind w:firstLine="1134"/>
        <w:jc w:val="both"/>
        <w:rPr>
          <w:rFonts w:ascii="Times New Roman" w:hAnsi="Times New Roman" w:cs="Times New Roman"/>
          <w:sz w:val="24"/>
        </w:rPr>
      </w:pPr>
      <w:proofErr w:type="spellStart"/>
      <w:r>
        <w:rPr>
          <w:rFonts w:ascii="Times New Roman" w:hAnsi="Times New Roman" w:cs="Times New Roman"/>
          <w:sz w:val="24"/>
        </w:rPr>
        <w:t>Hetfield</w:t>
      </w:r>
      <w:proofErr w:type="spellEnd"/>
      <w:r>
        <w:rPr>
          <w:rFonts w:ascii="Times New Roman" w:hAnsi="Times New Roman" w:cs="Times New Roman"/>
          <w:sz w:val="24"/>
        </w:rPr>
        <w:t xml:space="preserve"> Participações S/A buscou integra</w:t>
      </w:r>
      <w:r w:rsidR="002C7ACD">
        <w:rPr>
          <w:rFonts w:ascii="Times New Roman" w:hAnsi="Times New Roman" w:cs="Times New Roman"/>
          <w:sz w:val="24"/>
        </w:rPr>
        <w:t>r</w:t>
      </w:r>
      <w:r>
        <w:rPr>
          <w:rFonts w:ascii="Times New Roman" w:hAnsi="Times New Roman" w:cs="Times New Roman"/>
          <w:sz w:val="24"/>
        </w:rPr>
        <w:t>-se à sociedade empresária Metalúrgica</w:t>
      </w:r>
      <w:r w:rsidR="004940C4">
        <w:rPr>
          <w:rFonts w:ascii="Times New Roman" w:hAnsi="Times New Roman" w:cs="Times New Roman"/>
          <w:sz w:val="24"/>
        </w:rPr>
        <w:t xml:space="preserve"> Heavy Metal </w:t>
      </w:r>
      <w:proofErr w:type="spellStart"/>
      <w:r w:rsidR="004940C4">
        <w:rPr>
          <w:rFonts w:ascii="Times New Roman" w:hAnsi="Times New Roman" w:cs="Times New Roman"/>
          <w:sz w:val="24"/>
        </w:rPr>
        <w:t>Ltda</w:t>
      </w:r>
      <w:proofErr w:type="spellEnd"/>
      <w:r w:rsidR="004940C4">
        <w:rPr>
          <w:rFonts w:ascii="Times New Roman" w:hAnsi="Times New Roman" w:cs="Times New Roman"/>
          <w:sz w:val="24"/>
        </w:rPr>
        <w:t>, sendo que para tal seria necessário integr</w:t>
      </w:r>
      <w:r w:rsidR="00925160">
        <w:rPr>
          <w:rFonts w:ascii="Times New Roman" w:hAnsi="Times New Roman" w:cs="Times New Roman"/>
          <w:sz w:val="24"/>
        </w:rPr>
        <w:t>alizar capital social de R$ 500.000,00 (quinhentos mil reais), o que o fez oferecendo imóvel cujo valor é de R$ 750.000,00 (setecentos e cinquenta mil reais)</w:t>
      </w:r>
      <w:r w:rsidR="002C7ACD">
        <w:rPr>
          <w:rFonts w:ascii="Times New Roman" w:hAnsi="Times New Roman" w:cs="Times New Roman"/>
          <w:sz w:val="24"/>
        </w:rPr>
        <w:t>.</w:t>
      </w:r>
    </w:p>
    <w:p w:rsidR="002C7ACD" w:rsidRDefault="002C7ACD" w:rsidP="00E77EDF">
      <w:pPr>
        <w:spacing w:after="0" w:line="360" w:lineRule="auto"/>
        <w:ind w:firstLine="1134"/>
        <w:jc w:val="both"/>
        <w:rPr>
          <w:rFonts w:ascii="Times New Roman" w:hAnsi="Times New Roman" w:cs="Times New Roman"/>
          <w:sz w:val="24"/>
        </w:rPr>
      </w:pPr>
      <w:r>
        <w:rPr>
          <w:rFonts w:ascii="Times New Roman" w:hAnsi="Times New Roman" w:cs="Times New Roman"/>
          <w:sz w:val="24"/>
        </w:rPr>
        <w:t>A Secretaria de Fazenda do Município de São Luís, todavia, não anuiu em emitir a guia de recolhimento do ITBI referente ao imóvel supracitado</w:t>
      </w:r>
      <w:r w:rsidR="00A83F82">
        <w:rPr>
          <w:rFonts w:ascii="Times New Roman" w:hAnsi="Times New Roman" w:cs="Times New Roman"/>
          <w:sz w:val="24"/>
        </w:rPr>
        <w:t>, que detinha total imunidade frente à integralização. A presente secretaria fundamentou a medida no fato de o valor de avaliação do imóvel estar superior ao próprio capital social.</w:t>
      </w:r>
    </w:p>
    <w:p w:rsidR="00A83F82" w:rsidRDefault="00A83F82" w:rsidP="00E77EDF">
      <w:pPr>
        <w:spacing w:after="0" w:line="360" w:lineRule="auto"/>
        <w:ind w:firstLine="1134"/>
        <w:jc w:val="both"/>
        <w:rPr>
          <w:rFonts w:ascii="Times New Roman" w:hAnsi="Times New Roman" w:cs="Times New Roman"/>
          <w:sz w:val="24"/>
        </w:rPr>
      </w:pPr>
      <w:r>
        <w:rPr>
          <w:rFonts w:ascii="Times New Roman" w:hAnsi="Times New Roman" w:cs="Times New Roman"/>
          <w:sz w:val="24"/>
        </w:rPr>
        <w:t xml:space="preserve">O município de São Luís, portanto, tributou o referido imóvel, ratificando que a imunidade tributária prevista no artigo 156, §2°, inciso I, da vigente Constituição Federal está </w:t>
      </w:r>
      <w:proofErr w:type="gramStart"/>
      <w:r>
        <w:rPr>
          <w:rFonts w:ascii="Times New Roman" w:hAnsi="Times New Roman" w:cs="Times New Roman"/>
          <w:sz w:val="24"/>
        </w:rPr>
        <w:t>adstrito</w:t>
      </w:r>
      <w:proofErr w:type="gramEnd"/>
      <w:r>
        <w:rPr>
          <w:rFonts w:ascii="Times New Roman" w:hAnsi="Times New Roman" w:cs="Times New Roman"/>
          <w:sz w:val="24"/>
        </w:rPr>
        <w:t xml:space="preserve"> unicamente ao valor de imóvel que seja suficiente para a integralização do capital social.</w:t>
      </w:r>
    </w:p>
    <w:p w:rsidR="00E77EDF" w:rsidRDefault="00E77EDF" w:rsidP="00E77EDF">
      <w:pPr>
        <w:tabs>
          <w:tab w:val="left" w:pos="6585"/>
        </w:tabs>
        <w:spacing w:after="0" w:line="360" w:lineRule="auto"/>
        <w:jc w:val="both"/>
        <w:rPr>
          <w:rFonts w:ascii="Times New Roman" w:hAnsi="Times New Roman" w:cs="Times New Roman"/>
          <w:sz w:val="24"/>
          <w:szCs w:val="24"/>
        </w:rPr>
      </w:pPr>
    </w:p>
    <w:p w:rsidR="00E77EDF" w:rsidRDefault="00E77EDF" w:rsidP="00E77EDF">
      <w:pPr>
        <w:pStyle w:val="SemEspaamento"/>
        <w:rPr>
          <w:rFonts w:ascii="Times New Roman" w:hAnsi="Times New Roman" w:cs="Times New Roman"/>
          <w:sz w:val="24"/>
          <w:szCs w:val="24"/>
        </w:rPr>
      </w:pPr>
      <w:proofErr w:type="gramStart"/>
      <w:r>
        <w:rPr>
          <w:rFonts w:ascii="Times New Roman" w:hAnsi="Times New Roman" w:cs="Times New Roman"/>
          <w:b/>
          <w:sz w:val="28"/>
          <w:szCs w:val="28"/>
        </w:rPr>
        <w:t>2</w:t>
      </w:r>
      <w:proofErr w:type="gramEnd"/>
      <w:r>
        <w:rPr>
          <w:rFonts w:ascii="Times New Roman" w:hAnsi="Times New Roman" w:cs="Times New Roman"/>
          <w:b/>
          <w:sz w:val="28"/>
          <w:szCs w:val="28"/>
        </w:rPr>
        <w:t xml:space="preserve"> IDENTIFICAÇÃO E ANÁLISE DO CASO</w:t>
      </w:r>
    </w:p>
    <w:p w:rsidR="00E77EDF" w:rsidRDefault="00E77EDF" w:rsidP="00E77EDF">
      <w:pPr>
        <w:pStyle w:val="SemEspaamento"/>
        <w:rPr>
          <w:rFonts w:ascii="Times New Roman" w:hAnsi="Times New Roman" w:cs="Times New Roman"/>
          <w:b/>
          <w:sz w:val="24"/>
          <w:szCs w:val="24"/>
        </w:rPr>
      </w:pPr>
    </w:p>
    <w:p w:rsidR="00E77EDF" w:rsidRDefault="00E77EDF" w:rsidP="00E77EDF">
      <w:pPr>
        <w:pStyle w:val="SemEspaamento"/>
        <w:rPr>
          <w:rFonts w:ascii="Times New Roman" w:hAnsi="Times New Roman" w:cs="Times New Roman"/>
          <w:b/>
          <w:sz w:val="24"/>
          <w:szCs w:val="24"/>
        </w:rPr>
      </w:pPr>
      <w:proofErr w:type="gramStart"/>
      <w:r>
        <w:rPr>
          <w:rFonts w:ascii="Times New Roman" w:hAnsi="Times New Roman" w:cs="Times New Roman"/>
          <w:b/>
          <w:sz w:val="24"/>
          <w:szCs w:val="24"/>
        </w:rPr>
        <w:t>2.1 Descrição</w:t>
      </w:r>
      <w:proofErr w:type="gramEnd"/>
      <w:r>
        <w:rPr>
          <w:rFonts w:ascii="Times New Roman" w:hAnsi="Times New Roman" w:cs="Times New Roman"/>
          <w:b/>
          <w:sz w:val="24"/>
          <w:szCs w:val="24"/>
        </w:rPr>
        <w:t xml:space="preserve"> das Decisões Possíveis:</w:t>
      </w:r>
    </w:p>
    <w:p w:rsidR="004F12DE" w:rsidRDefault="004F12DE" w:rsidP="00E77EDF">
      <w:pPr>
        <w:pStyle w:val="SemEspaamento"/>
        <w:rPr>
          <w:rFonts w:ascii="Times New Roman" w:hAnsi="Times New Roman" w:cs="Times New Roman"/>
          <w:b/>
          <w:sz w:val="24"/>
          <w:szCs w:val="24"/>
        </w:rPr>
      </w:pPr>
    </w:p>
    <w:p w:rsidR="004F12DE" w:rsidRPr="004F12DE" w:rsidRDefault="004F12DE" w:rsidP="004F12DE">
      <w:pPr>
        <w:pStyle w:val="SemEspaamento"/>
        <w:spacing w:line="360" w:lineRule="auto"/>
        <w:ind w:firstLine="1134"/>
        <w:jc w:val="both"/>
        <w:rPr>
          <w:rFonts w:ascii="Times New Roman" w:hAnsi="Times New Roman" w:cs="Times New Roman"/>
          <w:sz w:val="24"/>
          <w:szCs w:val="24"/>
        </w:rPr>
      </w:pPr>
      <w:r w:rsidRPr="004F12DE">
        <w:rPr>
          <w:rFonts w:ascii="Times New Roman" w:hAnsi="Times New Roman" w:cs="Times New Roman"/>
          <w:sz w:val="24"/>
          <w:szCs w:val="24"/>
        </w:rPr>
        <w:t xml:space="preserve">Considerando a questão principal, que é se incide </w:t>
      </w:r>
      <w:r w:rsidR="00A14BFC">
        <w:rPr>
          <w:rFonts w:ascii="Times New Roman" w:hAnsi="Times New Roman" w:cs="Times New Roman"/>
          <w:sz w:val="24"/>
          <w:szCs w:val="24"/>
        </w:rPr>
        <w:t xml:space="preserve">ou não </w:t>
      </w:r>
      <w:r w:rsidRPr="004F12DE">
        <w:rPr>
          <w:rFonts w:ascii="Times New Roman" w:hAnsi="Times New Roman" w:cs="Times New Roman"/>
          <w:sz w:val="24"/>
          <w:szCs w:val="24"/>
        </w:rPr>
        <w:t>a imunidade tributária prevista no artigo 156, § 2º, I, da CF/88 quando o imóvel superar o valor do capital social integralizado:</w:t>
      </w:r>
    </w:p>
    <w:p w:rsidR="00E77EDF" w:rsidRDefault="00E77EDF" w:rsidP="00AE4DE5">
      <w:pPr>
        <w:pStyle w:val="SemEspaamento"/>
        <w:rPr>
          <w:rFonts w:ascii="Times New Roman" w:hAnsi="Times New Roman" w:cs="Times New Roman"/>
          <w:b/>
          <w:sz w:val="24"/>
          <w:szCs w:val="24"/>
        </w:rPr>
      </w:pPr>
    </w:p>
    <w:p w:rsidR="00E77EDF" w:rsidRDefault="004F12DE" w:rsidP="00E77EDF">
      <w:pPr>
        <w:pStyle w:val="SemEspaamento"/>
        <w:numPr>
          <w:ilvl w:val="0"/>
          <w:numId w:val="1"/>
        </w:numPr>
        <w:jc w:val="both"/>
        <w:rPr>
          <w:rFonts w:ascii="Times New Roman" w:hAnsi="Times New Roman" w:cs="Times New Roman"/>
          <w:b/>
          <w:sz w:val="24"/>
          <w:szCs w:val="24"/>
        </w:rPr>
      </w:pPr>
      <w:r>
        <w:rPr>
          <w:rFonts w:ascii="Times New Roman" w:hAnsi="Times New Roman" w:cs="Times New Roman"/>
          <w:sz w:val="24"/>
          <w:szCs w:val="24"/>
        </w:rPr>
        <w:t>A Secretaria da Fazenda do Município de São Luís agiu corretamente</w:t>
      </w:r>
      <w:r w:rsidR="00E77EDF">
        <w:rPr>
          <w:rFonts w:ascii="Times New Roman" w:hAnsi="Times New Roman" w:cs="Times New Roman"/>
          <w:sz w:val="24"/>
          <w:szCs w:val="24"/>
        </w:rPr>
        <w:t>;</w:t>
      </w:r>
    </w:p>
    <w:p w:rsidR="00E77EDF" w:rsidRPr="004F12DE" w:rsidRDefault="004F12DE" w:rsidP="00E77EDF">
      <w:pPr>
        <w:pStyle w:val="SemEspaamento"/>
        <w:numPr>
          <w:ilvl w:val="0"/>
          <w:numId w:val="1"/>
        </w:numPr>
        <w:jc w:val="both"/>
        <w:rPr>
          <w:rFonts w:ascii="Times New Roman" w:hAnsi="Times New Roman" w:cs="Times New Roman"/>
          <w:b/>
          <w:sz w:val="24"/>
          <w:szCs w:val="24"/>
        </w:rPr>
      </w:pPr>
      <w:r>
        <w:rPr>
          <w:rFonts w:ascii="Times New Roman" w:hAnsi="Times New Roman" w:cs="Times New Roman"/>
          <w:sz w:val="24"/>
          <w:szCs w:val="24"/>
        </w:rPr>
        <w:t>A Secretaria da Fazenda do Município de São Luís não agiu corretamente</w:t>
      </w:r>
      <w:r w:rsidR="00E77EDF">
        <w:rPr>
          <w:rFonts w:ascii="Times New Roman" w:hAnsi="Times New Roman" w:cs="Times New Roman"/>
          <w:sz w:val="24"/>
          <w:szCs w:val="24"/>
        </w:rPr>
        <w:t>;</w:t>
      </w:r>
    </w:p>
    <w:p w:rsidR="004F12DE" w:rsidRPr="004E088E" w:rsidRDefault="004F12DE" w:rsidP="00E77EDF">
      <w:pPr>
        <w:pStyle w:val="SemEspaamento"/>
        <w:numPr>
          <w:ilvl w:val="0"/>
          <w:numId w:val="1"/>
        </w:numPr>
        <w:jc w:val="both"/>
        <w:rPr>
          <w:rFonts w:ascii="Times New Roman" w:hAnsi="Times New Roman" w:cs="Times New Roman"/>
          <w:sz w:val="24"/>
          <w:szCs w:val="24"/>
        </w:rPr>
      </w:pPr>
      <w:r w:rsidRPr="004E088E">
        <w:rPr>
          <w:rFonts w:ascii="Times New Roman" w:hAnsi="Times New Roman" w:cs="Times New Roman"/>
          <w:sz w:val="24"/>
          <w:szCs w:val="24"/>
        </w:rPr>
        <w:lastRenderedPageBreak/>
        <w:t>Regra matriz de incidência tributária do ITBI;</w:t>
      </w:r>
    </w:p>
    <w:p w:rsidR="004F12DE" w:rsidRPr="004E088E" w:rsidRDefault="004F12DE" w:rsidP="00E77EDF">
      <w:pPr>
        <w:pStyle w:val="SemEspaamento"/>
        <w:numPr>
          <w:ilvl w:val="0"/>
          <w:numId w:val="1"/>
        </w:numPr>
        <w:jc w:val="both"/>
        <w:rPr>
          <w:rFonts w:ascii="Times New Roman" w:hAnsi="Times New Roman" w:cs="Times New Roman"/>
          <w:sz w:val="24"/>
          <w:szCs w:val="24"/>
        </w:rPr>
      </w:pPr>
      <w:r w:rsidRPr="004E088E">
        <w:rPr>
          <w:rFonts w:ascii="Times New Roman" w:hAnsi="Times New Roman" w:cs="Times New Roman"/>
          <w:sz w:val="24"/>
          <w:szCs w:val="24"/>
        </w:rPr>
        <w:t>Conceito de imunidade tributária</w:t>
      </w:r>
    </w:p>
    <w:p w:rsidR="004F12DE" w:rsidRDefault="004F12DE" w:rsidP="00E77EDF">
      <w:pPr>
        <w:pStyle w:val="SemEspaamento"/>
        <w:numPr>
          <w:ilvl w:val="0"/>
          <w:numId w:val="1"/>
        </w:numPr>
        <w:jc w:val="both"/>
        <w:rPr>
          <w:rFonts w:ascii="Times New Roman" w:hAnsi="Times New Roman" w:cs="Times New Roman"/>
          <w:sz w:val="24"/>
          <w:szCs w:val="24"/>
        </w:rPr>
      </w:pPr>
      <w:r w:rsidRPr="004E088E">
        <w:rPr>
          <w:rFonts w:ascii="Times New Roman" w:hAnsi="Times New Roman" w:cs="Times New Roman"/>
          <w:sz w:val="24"/>
          <w:szCs w:val="24"/>
        </w:rPr>
        <w:t>Limite de interpretação das normas tributária imunizantes;</w:t>
      </w:r>
    </w:p>
    <w:p w:rsidR="006E7807" w:rsidRPr="004E088E" w:rsidRDefault="006E7807" w:rsidP="006E7807">
      <w:pPr>
        <w:pStyle w:val="SemEspaamento"/>
        <w:ind w:left="720"/>
        <w:jc w:val="both"/>
        <w:rPr>
          <w:rFonts w:ascii="Times New Roman" w:hAnsi="Times New Roman" w:cs="Times New Roman"/>
          <w:sz w:val="24"/>
          <w:szCs w:val="24"/>
        </w:rPr>
      </w:pPr>
    </w:p>
    <w:p w:rsidR="00E77EDF" w:rsidRDefault="00E77EDF" w:rsidP="00E77EDF">
      <w:pPr>
        <w:pStyle w:val="SemEspaamento"/>
        <w:rPr>
          <w:rFonts w:ascii="Times New Roman" w:hAnsi="Times New Roman" w:cs="Times New Roman"/>
          <w:b/>
          <w:sz w:val="24"/>
          <w:szCs w:val="24"/>
        </w:rPr>
      </w:pPr>
      <w:r>
        <w:rPr>
          <w:rFonts w:ascii="Times New Roman" w:hAnsi="Times New Roman" w:cs="Times New Roman"/>
          <w:b/>
          <w:sz w:val="24"/>
          <w:szCs w:val="24"/>
        </w:rPr>
        <w:t>2.2 Argumentos Capazes de Fundamentar cada Decisão:</w:t>
      </w:r>
    </w:p>
    <w:p w:rsidR="00E77EDF" w:rsidRDefault="00E77EDF" w:rsidP="00E77EDF">
      <w:pPr>
        <w:pStyle w:val="SemEspaamento"/>
        <w:rPr>
          <w:rFonts w:ascii="Times New Roman" w:hAnsi="Times New Roman" w:cs="Times New Roman"/>
          <w:b/>
          <w:sz w:val="24"/>
          <w:szCs w:val="24"/>
        </w:rPr>
      </w:pPr>
    </w:p>
    <w:p w:rsidR="00E0732E" w:rsidRDefault="00E0732E" w:rsidP="00E0732E">
      <w:pPr>
        <w:pStyle w:val="SemEspaamento"/>
        <w:numPr>
          <w:ilvl w:val="0"/>
          <w:numId w:val="2"/>
        </w:numPr>
        <w:spacing w:line="360" w:lineRule="auto"/>
        <w:ind w:left="0" w:firstLine="992"/>
        <w:jc w:val="both"/>
        <w:rPr>
          <w:rFonts w:ascii="Times New Roman" w:hAnsi="Times New Roman" w:cs="Times New Roman"/>
          <w:sz w:val="24"/>
          <w:szCs w:val="24"/>
        </w:rPr>
      </w:pPr>
      <w:r>
        <w:rPr>
          <w:rFonts w:ascii="Times New Roman" w:hAnsi="Times New Roman" w:cs="Times New Roman"/>
          <w:sz w:val="24"/>
          <w:szCs w:val="24"/>
        </w:rPr>
        <w:t xml:space="preserve">Esta decisão é fundamentada pela incidência de ITBI sobre as transmissões de imóvel cujos valores </w:t>
      </w:r>
      <w:proofErr w:type="gramStart"/>
      <w:r>
        <w:rPr>
          <w:rFonts w:ascii="Times New Roman" w:hAnsi="Times New Roman" w:cs="Times New Roman"/>
          <w:sz w:val="24"/>
          <w:szCs w:val="24"/>
        </w:rPr>
        <w:t>ultrapasse</w:t>
      </w:r>
      <w:proofErr w:type="gramEnd"/>
      <w:r>
        <w:rPr>
          <w:rFonts w:ascii="Times New Roman" w:hAnsi="Times New Roman" w:cs="Times New Roman"/>
          <w:sz w:val="24"/>
          <w:szCs w:val="24"/>
        </w:rPr>
        <w:t xml:space="preserve"> o capital social.</w:t>
      </w:r>
      <w:r w:rsidR="004354F9">
        <w:rPr>
          <w:rFonts w:ascii="Times New Roman" w:hAnsi="Times New Roman" w:cs="Times New Roman"/>
          <w:sz w:val="24"/>
          <w:szCs w:val="24"/>
        </w:rPr>
        <w:t xml:space="preserve"> Decidiu o Tribunal de Justiça de Santa Catarina que:</w:t>
      </w:r>
    </w:p>
    <w:p w:rsidR="004354F9" w:rsidRDefault="004354F9" w:rsidP="004354F9">
      <w:pPr>
        <w:pStyle w:val="SemEspaamento"/>
        <w:spacing w:line="360" w:lineRule="auto"/>
        <w:ind w:left="992"/>
        <w:jc w:val="both"/>
        <w:rPr>
          <w:rFonts w:ascii="Times New Roman" w:hAnsi="Times New Roman" w:cs="Times New Roman"/>
          <w:sz w:val="24"/>
          <w:szCs w:val="24"/>
        </w:rPr>
      </w:pPr>
    </w:p>
    <w:p w:rsidR="004354F9" w:rsidRPr="004354F9" w:rsidRDefault="004354F9" w:rsidP="000C6321">
      <w:pPr>
        <w:pStyle w:val="SemEspaamento"/>
        <w:ind w:left="2268"/>
        <w:jc w:val="both"/>
        <w:rPr>
          <w:rFonts w:ascii="Times New Roman" w:hAnsi="Times New Roman" w:cs="Times New Roman"/>
          <w:sz w:val="20"/>
          <w:szCs w:val="20"/>
        </w:rPr>
      </w:pPr>
      <w:r w:rsidRPr="004354F9">
        <w:rPr>
          <w:rFonts w:ascii="Times New Roman" w:hAnsi="Times New Roman" w:cs="Times New Roman"/>
          <w:sz w:val="20"/>
          <w:szCs w:val="20"/>
        </w:rPr>
        <w:t xml:space="preserve">TRIBUTÁRIO - ITBI - INCORPORAÇÃO DE IMÓVEIS PARA INTEGRALIZAÇÃO DE CAPITAL SOCIAL DE PESSOA </w:t>
      </w:r>
      <w:proofErr w:type="gramStart"/>
      <w:r w:rsidRPr="004354F9">
        <w:rPr>
          <w:rFonts w:ascii="Times New Roman" w:hAnsi="Times New Roman" w:cs="Times New Roman"/>
          <w:sz w:val="20"/>
          <w:szCs w:val="20"/>
        </w:rPr>
        <w:t>JURÍDICA -IMUNIDADE</w:t>
      </w:r>
      <w:proofErr w:type="gramEnd"/>
      <w:r w:rsidRPr="004354F9">
        <w:rPr>
          <w:rFonts w:ascii="Times New Roman" w:hAnsi="Times New Roman" w:cs="Times New Roman"/>
          <w:sz w:val="20"/>
          <w:szCs w:val="20"/>
        </w:rPr>
        <w:t xml:space="preserve"> TRIBUTÁRIA (ART. 156, § 2º, INCISO II, DA CF/1998)-VALOR DOS IMÓVEIS SUPERIOR AO DO CAPITAL SOCIAL INTEGRALIZADO E DAS COTAS DOS SÓCIOS RESPECTIVOS -IMUNIDADE QUE ALCANÇA - APENAS O LIMITE DO CAPITAL E DAS COTAS INTEGRALIZADAS COM IMÓVEIS - EXCEDENTE SUJEITO À TRIBUTAÇÃO - SENTENÇA REFORMADA.</w:t>
      </w:r>
      <w:r w:rsidR="000C6321">
        <w:rPr>
          <w:rFonts w:ascii="Times New Roman" w:hAnsi="Times New Roman" w:cs="Times New Roman"/>
          <w:sz w:val="20"/>
          <w:szCs w:val="20"/>
        </w:rPr>
        <w:t xml:space="preserve"> </w:t>
      </w:r>
      <w:r w:rsidRPr="004354F9">
        <w:rPr>
          <w:rFonts w:ascii="Times New Roman" w:hAnsi="Times New Roman" w:cs="Times New Roman"/>
          <w:sz w:val="20"/>
          <w:szCs w:val="20"/>
        </w:rPr>
        <w:t>A imunidade tributária prevista na primeira parte do inciso II</w:t>
      </w:r>
      <w:r w:rsidR="008A4CF0">
        <w:rPr>
          <w:rFonts w:ascii="Times New Roman" w:hAnsi="Times New Roman" w:cs="Times New Roman"/>
          <w:sz w:val="20"/>
          <w:szCs w:val="20"/>
        </w:rPr>
        <w:t xml:space="preserve"> </w:t>
      </w:r>
      <w:r w:rsidRPr="004354F9">
        <w:rPr>
          <w:rFonts w:ascii="Times New Roman" w:hAnsi="Times New Roman" w:cs="Times New Roman"/>
          <w:sz w:val="20"/>
          <w:szCs w:val="20"/>
        </w:rPr>
        <w:t>do § 2º do art. 156, da Constituição Federal de 1988 impede a incidência do imposto de transmissão de bens imóveis "</w:t>
      </w:r>
      <w:proofErr w:type="spellStart"/>
      <w:proofErr w:type="gramStart"/>
      <w:r w:rsidRPr="004354F9">
        <w:rPr>
          <w:rFonts w:ascii="Times New Roman" w:hAnsi="Times New Roman" w:cs="Times New Roman"/>
          <w:sz w:val="20"/>
          <w:szCs w:val="20"/>
        </w:rPr>
        <w:t>inter</w:t>
      </w:r>
      <w:proofErr w:type="spellEnd"/>
      <w:r w:rsidRPr="004354F9">
        <w:rPr>
          <w:rFonts w:ascii="Times New Roman" w:hAnsi="Times New Roman" w:cs="Times New Roman"/>
          <w:sz w:val="20"/>
          <w:szCs w:val="20"/>
        </w:rPr>
        <w:t xml:space="preserve"> vivos</w:t>
      </w:r>
      <w:proofErr w:type="gramEnd"/>
      <w:r w:rsidRPr="004354F9">
        <w:rPr>
          <w:rFonts w:ascii="Times New Roman" w:hAnsi="Times New Roman" w:cs="Times New Roman"/>
          <w:sz w:val="20"/>
          <w:szCs w:val="20"/>
        </w:rPr>
        <w:t>" somente sobre o valor do imóvel necessário à integralização da cota do capital social. Valer dizer, sobre o valor do imóvel incorporado que excede o limite do capital social a ser integralizado ou da própria cota do sócio respectivo, haverá incidência do tributo.</w:t>
      </w:r>
    </w:p>
    <w:p w:rsidR="004354F9" w:rsidRDefault="004354F9" w:rsidP="000C6321">
      <w:pPr>
        <w:pStyle w:val="SemEspaamento"/>
        <w:ind w:firstLine="1134"/>
        <w:jc w:val="both"/>
        <w:rPr>
          <w:rFonts w:ascii="Times New Roman" w:hAnsi="Times New Roman" w:cs="Times New Roman"/>
          <w:sz w:val="24"/>
          <w:szCs w:val="24"/>
        </w:rPr>
      </w:pPr>
    </w:p>
    <w:p w:rsidR="004354F9" w:rsidRDefault="008A4CF0" w:rsidP="000C6321">
      <w:pPr>
        <w:pStyle w:val="SemEspaament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O que se tem de fato é que a Constituição Federal, em seu artigo 156, parágrafo I, inciso I, garante a imunidade de tributária tão somente no valor de integralização de capital, não ao que excede, devendo, portanto, incidir o Imposto sobre Transmissão de Bens Imóveis naquilo que se excede</w:t>
      </w:r>
      <w:r w:rsidR="008F025A">
        <w:rPr>
          <w:rFonts w:ascii="Times New Roman" w:hAnsi="Times New Roman" w:cs="Times New Roman"/>
          <w:sz w:val="24"/>
          <w:szCs w:val="24"/>
        </w:rPr>
        <w:t xml:space="preserve"> do capital de integralização</w:t>
      </w:r>
      <w:r>
        <w:rPr>
          <w:rFonts w:ascii="Times New Roman" w:hAnsi="Times New Roman" w:cs="Times New Roman"/>
          <w:sz w:val="24"/>
          <w:szCs w:val="24"/>
        </w:rPr>
        <w:t>.</w:t>
      </w:r>
    </w:p>
    <w:p w:rsidR="00AE4DE5" w:rsidRDefault="00D71694" w:rsidP="00B37FC0">
      <w:pPr>
        <w:pStyle w:val="SemEspaamento"/>
        <w:numPr>
          <w:ilvl w:val="0"/>
          <w:numId w:val="2"/>
        </w:numPr>
        <w:spacing w:line="360" w:lineRule="auto"/>
        <w:ind w:left="0" w:firstLine="992"/>
        <w:jc w:val="both"/>
        <w:rPr>
          <w:rFonts w:ascii="Times New Roman" w:hAnsi="Times New Roman" w:cs="Times New Roman"/>
          <w:sz w:val="24"/>
          <w:szCs w:val="24"/>
        </w:rPr>
      </w:pPr>
      <w:r>
        <w:rPr>
          <w:rFonts w:ascii="Times New Roman" w:hAnsi="Times New Roman" w:cs="Times New Roman"/>
          <w:sz w:val="24"/>
          <w:szCs w:val="24"/>
        </w:rPr>
        <w:t xml:space="preserve">Esta decisão é fundamentada pela não incidência </w:t>
      </w:r>
      <w:r w:rsidR="00074919">
        <w:rPr>
          <w:rFonts w:ascii="Times New Roman" w:hAnsi="Times New Roman" w:cs="Times New Roman"/>
          <w:sz w:val="24"/>
          <w:szCs w:val="24"/>
        </w:rPr>
        <w:t xml:space="preserve">de ITBI sobre as transmissões de imóvel cujos valores </w:t>
      </w:r>
      <w:proofErr w:type="gramStart"/>
      <w:r w:rsidR="00074919">
        <w:rPr>
          <w:rFonts w:ascii="Times New Roman" w:hAnsi="Times New Roman" w:cs="Times New Roman"/>
          <w:sz w:val="24"/>
          <w:szCs w:val="24"/>
        </w:rPr>
        <w:t>ultrapasse</w:t>
      </w:r>
      <w:proofErr w:type="gramEnd"/>
      <w:r w:rsidR="00074919">
        <w:rPr>
          <w:rFonts w:ascii="Times New Roman" w:hAnsi="Times New Roman" w:cs="Times New Roman"/>
          <w:sz w:val="24"/>
          <w:szCs w:val="24"/>
        </w:rPr>
        <w:t xml:space="preserve"> o capital social.</w:t>
      </w:r>
      <w:r w:rsidR="00E77EDF">
        <w:rPr>
          <w:rFonts w:ascii="Times New Roman" w:hAnsi="Times New Roman" w:cs="Times New Roman"/>
          <w:sz w:val="24"/>
          <w:szCs w:val="24"/>
        </w:rPr>
        <w:t xml:space="preserve"> </w:t>
      </w:r>
      <w:r w:rsidR="008A4CF0">
        <w:rPr>
          <w:rFonts w:ascii="Times New Roman" w:hAnsi="Times New Roman" w:cs="Times New Roman"/>
          <w:sz w:val="24"/>
          <w:szCs w:val="24"/>
        </w:rPr>
        <w:t>O primeiro argumento que corrobora este entendimento é o fato de que sobre o valor que excede não se discute imunidade, m</w:t>
      </w:r>
      <w:r w:rsidR="00AE4DE5">
        <w:rPr>
          <w:rFonts w:ascii="Times New Roman" w:hAnsi="Times New Roman" w:cs="Times New Roman"/>
          <w:sz w:val="24"/>
          <w:szCs w:val="24"/>
        </w:rPr>
        <w:t>as sim a não incidência do ITBI:</w:t>
      </w:r>
    </w:p>
    <w:p w:rsidR="00AE4DE5" w:rsidRDefault="00AE4DE5" w:rsidP="00AE4DE5">
      <w:pPr>
        <w:pStyle w:val="SemEspaamento"/>
        <w:spacing w:line="360" w:lineRule="auto"/>
        <w:ind w:left="720"/>
        <w:jc w:val="both"/>
        <w:rPr>
          <w:rFonts w:ascii="Times New Roman" w:hAnsi="Times New Roman" w:cs="Times New Roman"/>
          <w:sz w:val="24"/>
          <w:szCs w:val="24"/>
        </w:rPr>
      </w:pPr>
    </w:p>
    <w:p w:rsidR="00E77EDF" w:rsidRPr="00AE4DE5" w:rsidRDefault="00AE4DE5" w:rsidP="00AE4DE5">
      <w:pPr>
        <w:pStyle w:val="SemEspaamento"/>
        <w:ind w:left="2268"/>
        <w:jc w:val="both"/>
        <w:rPr>
          <w:rFonts w:ascii="Times New Roman" w:hAnsi="Times New Roman" w:cs="Times New Roman"/>
          <w:sz w:val="20"/>
          <w:szCs w:val="20"/>
        </w:rPr>
      </w:pPr>
      <w:proofErr w:type="gramStart"/>
      <w:r>
        <w:rPr>
          <w:rFonts w:ascii="Times New Roman" w:hAnsi="Times New Roman" w:cs="Times New Roman"/>
          <w:sz w:val="20"/>
          <w:szCs w:val="20"/>
        </w:rPr>
        <w:t>q</w:t>
      </w:r>
      <w:r w:rsidRPr="00AE4DE5">
        <w:rPr>
          <w:rFonts w:ascii="Times New Roman" w:hAnsi="Times New Roman" w:cs="Times New Roman"/>
          <w:sz w:val="20"/>
          <w:szCs w:val="20"/>
        </w:rPr>
        <w:t>uanto</w:t>
      </w:r>
      <w:proofErr w:type="gramEnd"/>
      <w:r w:rsidRPr="00AE4DE5">
        <w:rPr>
          <w:rFonts w:ascii="Times New Roman" w:hAnsi="Times New Roman" w:cs="Times New Roman"/>
          <w:sz w:val="20"/>
          <w:szCs w:val="20"/>
        </w:rPr>
        <w:t xml:space="preserve"> à não-incidência, tem-se que é o não enquadramento normativo a uma conduta[10], isto é, quando a conduta fática não encontra respaldo ou identificação com nenhuma hipótese normativa, não provocará o nascimento de relação jurídico-tributária. Assim, na “</w:t>
      </w:r>
      <w:proofErr w:type="gramStart"/>
      <w:r w:rsidRPr="00AE4DE5">
        <w:rPr>
          <w:rFonts w:ascii="Times New Roman" w:hAnsi="Times New Roman" w:cs="Times New Roman"/>
          <w:sz w:val="20"/>
          <w:szCs w:val="20"/>
        </w:rPr>
        <w:t>não-incidência</w:t>
      </w:r>
      <w:proofErr w:type="gramEnd"/>
      <w:r w:rsidRPr="00AE4DE5">
        <w:rPr>
          <w:rFonts w:ascii="Times New Roman" w:hAnsi="Times New Roman" w:cs="Times New Roman"/>
          <w:sz w:val="20"/>
          <w:szCs w:val="20"/>
        </w:rPr>
        <w:t>, o fato não pode ser contemplado legalmente como gerador de determinado tributo, como é o caso de lavagem de roupas que não constitui fato gerador do IP</w:t>
      </w:r>
      <w:r w:rsidR="00B37FC0">
        <w:rPr>
          <w:rFonts w:ascii="Times New Roman" w:hAnsi="Times New Roman" w:cs="Times New Roman"/>
          <w:sz w:val="20"/>
          <w:szCs w:val="20"/>
        </w:rPr>
        <w:t xml:space="preserve"> (SILVA JUNIOR, 20[**], P.1)</w:t>
      </w:r>
    </w:p>
    <w:p w:rsidR="00AE4DE5" w:rsidRDefault="00AE4DE5" w:rsidP="006F42C3">
      <w:pPr>
        <w:pStyle w:val="SemEspaamento"/>
        <w:ind w:left="720"/>
        <w:jc w:val="both"/>
        <w:rPr>
          <w:rFonts w:ascii="Times New Roman" w:hAnsi="Times New Roman" w:cs="Times New Roman"/>
          <w:sz w:val="24"/>
          <w:szCs w:val="24"/>
        </w:rPr>
      </w:pPr>
    </w:p>
    <w:p w:rsidR="00AE4DE5" w:rsidRDefault="006F42C3" w:rsidP="0057447A">
      <w:pPr>
        <w:pStyle w:val="SemEspaament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Ademais, há que se considerar, o Princípio da Legalidade Tributária</w:t>
      </w:r>
      <w:r w:rsidR="0057447A">
        <w:rPr>
          <w:rFonts w:ascii="Times New Roman" w:hAnsi="Times New Roman" w:cs="Times New Roman"/>
          <w:sz w:val="24"/>
          <w:szCs w:val="24"/>
        </w:rPr>
        <w:t xml:space="preserve">. Através desse princípio, “a lei tributária deve </w:t>
      </w:r>
      <w:r w:rsidR="0057447A" w:rsidRPr="0057447A">
        <w:rPr>
          <w:rFonts w:ascii="Times New Roman" w:hAnsi="Times New Roman" w:cs="Times New Roman"/>
          <w:sz w:val="24"/>
          <w:szCs w:val="24"/>
        </w:rPr>
        <w:t>servir de parâmetro para criar e, em outro giro, para extinguir o tributo; para aumentar e, em</w:t>
      </w:r>
      <w:r w:rsidR="0057447A">
        <w:rPr>
          <w:rFonts w:ascii="Times New Roman" w:hAnsi="Times New Roman" w:cs="Times New Roman"/>
          <w:sz w:val="24"/>
          <w:szCs w:val="24"/>
        </w:rPr>
        <w:t xml:space="preserve"> </w:t>
      </w:r>
      <w:r w:rsidR="0057447A" w:rsidRPr="0057447A">
        <w:rPr>
          <w:rFonts w:ascii="Times New Roman" w:hAnsi="Times New Roman" w:cs="Times New Roman"/>
          <w:sz w:val="24"/>
          <w:szCs w:val="24"/>
        </w:rPr>
        <w:t>outra banda, reduzir a exação</w:t>
      </w:r>
      <w:r w:rsidR="0057447A">
        <w:rPr>
          <w:rFonts w:ascii="Times New Roman" w:hAnsi="Times New Roman" w:cs="Times New Roman"/>
          <w:sz w:val="24"/>
          <w:szCs w:val="24"/>
        </w:rPr>
        <w:t>”</w:t>
      </w:r>
      <w:r w:rsidR="0057447A" w:rsidRPr="0057447A">
        <w:rPr>
          <w:rFonts w:ascii="Times New Roman" w:hAnsi="Times New Roman" w:cs="Times New Roman"/>
          <w:sz w:val="24"/>
          <w:szCs w:val="24"/>
        </w:rPr>
        <w:t>.</w:t>
      </w:r>
      <w:r w:rsidR="0057447A">
        <w:rPr>
          <w:rFonts w:ascii="Times New Roman" w:hAnsi="Times New Roman" w:cs="Times New Roman"/>
          <w:sz w:val="24"/>
          <w:szCs w:val="24"/>
        </w:rPr>
        <w:t xml:space="preserve"> </w:t>
      </w:r>
      <w:r w:rsidR="0057447A">
        <w:rPr>
          <w:rFonts w:ascii="Times New Roman" w:hAnsi="Times New Roman" w:cs="Times New Roman"/>
          <w:sz w:val="24"/>
          <w:szCs w:val="24"/>
        </w:rPr>
        <w:lastRenderedPageBreak/>
        <w:t>(SABBAG, 2014, p.59). Ou seja, se a lei infraconstitucional, sob a égide da Constituição Federal, não determinou a incidência de ITBI no excedente de integralização do Capital não pode assim o fazer o Poder Executivo.</w:t>
      </w:r>
    </w:p>
    <w:p w:rsidR="00532C83" w:rsidRDefault="00444DF7" w:rsidP="00532C83">
      <w:pPr>
        <w:pStyle w:val="SemEspaamento"/>
        <w:numPr>
          <w:ilvl w:val="0"/>
          <w:numId w:val="2"/>
        </w:numPr>
        <w:spacing w:line="360" w:lineRule="auto"/>
        <w:ind w:left="0" w:firstLine="992"/>
        <w:jc w:val="both"/>
        <w:rPr>
          <w:rFonts w:ascii="Times New Roman" w:hAnsi="Times New Roman" w:cs="Times New Roman"/>
          <w:sz w:val="24"/>
          <w:szCs w:val="24"/>
        </w:rPr>
      </w:pPr>
      <w:r>
        <w:rPr>
          <w:rFonts w:ascii="Times New Roman" w:hAnsi="Times New Roman" w:cs="Times New Roman"/>
          <w:sz w:val="24"/>
          <w:szCs w:val="24"/>
        </w:rPr>
        <w:t xml:space="preserve">Regra matriz de incidência </w:t>
      </w:r>
      <w:r w:rsidR="009A578B">
        <w:rPr>
          <w:rFonts w:ascii="Times New Roman" w:hAnsi="Times New Roman" w:cs="Times New Roman"/>
          <w:sz w:val="24"/>
          <w:szCs w:val="24"/>
        </w:rPr>
        <w:t>“</w:t>
      </w:r>
      <w:r>
        <w:rPr>
          <w:rFonts w:ascii="Times New Roman" w:hAnsi="Times New Roman" w:cs="Times New Roman"/>
          <w:sz w:val="24"/>
          <w:szCs w:val="24"/>
        </w:rPr>
        <w:t>são as normas padrões de incidência, aquelas produzidas para serem aplicadas</w:t>
      </w:r>
      <w:r w:rsidR="009A578B">
        <w:rPr>
          <w:rFonts w:ascii="Times New Roman" w:hAnsi="Times New Roman" w:cs="Times New Roman"/>
          <w:sz w:val="24"/>
          <w:szCs w:val="24"/>
        </w:rPr>
        <w:t xml:space="preserve"> em casos concretos, que se inscrevem entre as regras gerais e abstratas, podendo ser de ordem tributária, previdenciária, penal e administrativa, constitucional, civil, trabalhista, comercial, etc., dependendo das situações objetivas para as quais seu vetor semântico aponta” (</w:t>
      </w:r>
      <w:r w:rsidR="00B83ADB">
        <w:rPr>
          <w:rFonts w:ascii="Times New Roman" w:hAnsi="Times New Roman" w:cs="Times New Roman"/>
          <w:sz w:val="24"/>
          <w:szCs w:val="24"/>
        </w:rPr>
        <w:t>CARVALHO,</w:t>
      </w:r>
      <w:r w:rsidR="00074919">
        <w:rPr>
          <w:rFonts w:ascii="Times New Roman" w:hAnsi="Times New Roman" w:cs="Times New Roman"/>
          <w:sz w:val="24"/>
          <w:szCs w:val="24"/>
        </w:rPr>
        <w:t xml:space="preserve"> 2009</w:t>
      </w:r>
      <w:r w:rsidR="00B83ADB">
        <w:rPr>
          <w:rFonts w:ascii="Times New Roman" w:hAnsi="Times New Roman" w:cs="Times New Roman"/>
          <w:sz w:val="24"/>
          <w:szCs w:val="24"/>
        </w:rPr>
        <w:t xml:space="preserve"> p.361-362)</w:t>
      </w:r>
      <w:r w:rsidR="00532C83">
        <w:rPr>
          <w:rFonts w:ascii="Times New Roman" w:hAnsi="Times New Roman" w:cs="Times New Roman"/>
          <w:sz w:val="24"/>
          <w:szCs w:val="24"/>
        </w:rPr>
        <w:t xml:space="preserve">. </w:t>
      </w:r>
      <w:r w:rsidR="00532C83" w:rsidRPr="00532C83">
        <w:rPr>
          <w:rFonts w:ascii="Times New Roman" w:hAnsi="Times New Roman" w:cs="Times New Roman"/>
          <w:sz w:val="24"/>
          <w:szCs w:val="24"/>
        </w:rPr>
        <w:t>A partir dessa regra analisar-se-á os aspectos, materiais, temporais, espaciais, pessoais e quantitativos.</w:t>
      </w:r>
    </w:p>
    <w:p w:rsidR="00532C83" w:rsidRDefault="00043B28" w:rsidP="00280B61">
      <w:pPr>
        <w:pStyle w:val="SemEspaament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aspecto </w:t>
      </w:r>
      <w:r w:rsidR="00EA793D">
        <w:rPr>
          <w:rFonts w:ascii="Times New Roman" w:hAnsi="Times New Roman" w:cs="Times New Roman"/>
          <w:sz w:val="24"/>
          <w:szCs w:val="24"/>
        </w:rPr>
        <w:t>material</w:t>
      </w:r>
      <w:r>
        <w:rPr>
          <w:rFonts w:ascii="Times New Roman" w:hAnsi="Times New Roman" w:cs="Times New Roman"/>
          <w:sz w:val="24"/>
          <w:szCs w:val="24"/>
        </w:rPr>
        <w:t xml:space="preserve"> liga-se ao comportamento previsto na norma, que deve ser praticado pelo sujeito passivo. (SOUZA, 2014). No caso do ITBI, tendo em vista o art. 156, da Constituição, o aspecto </w:t>
      </w:r>
      <w:r w:rsidR="000D56E8">
        <w:rPr>
          <w:rFonts w:ascii="Times New Roman" w:hAnsi="Times New Roman" w:cs="Times New Roman"/>
          <w:sz w:val="24"/>
          <w:szCs w:val="24"/>
        </w:rPr>
        <w:t>material</w:t>
      </w:r>
      <w:r>
        <w:rPr>
          <w:rFonts w:ascii="Times New Roman" w:hAnsi="Times New Roman" w:cs="Times New Roman"/>
          <w:sz w:val="24"/>
          <w:szCs w:val="24"/>
        </w:rPr>
        <w:t xml:space="preserve"> será a transmissão </w:t>
      </w:r>
      <w:proofErr w:type="spellStart"/>
      <w:proofErr w:type="gramStart"/>
      <w:r w:rsidRPr="00280B61">
        <w:rPr>
          <w:rFonts w:ascii="Times New Roman" w:hAnsi="Times New Roman" w:cs="Times New Roman"/>
          <w:i/>
          <w:sz w:val="24"/>
          <w:szCs w:val="24"/>
        </w:rPr>
        <w:t>inter</w:t>
      </w:r>
      <w:proofErr w:type="spellEnd"/>
      <w:r w:rsidRPr="00280B61">
        <w:rPr>
          <w:rFonts w:ascii="Times New Roman" w:hAnsi="Times New Roman" w:cs="Times New Roman"/>
          <w:i/>
          <w:sz w:val="24"/>
          <w:szCs w:val="24"/>
        </w:rPr>
        <w:t xml:space="preserve"> vivos</w:t>
      </w:r>
      <w:proofErr w:type="gramEnd"/>
      <w:r>
        <w:rPr>
          <w:rFonts w:ascii="Times New Roman" w:hAnsi="Times New Roman" w:cs="Times New Roman"/>
          <w:sz w:val="24"/>
          <w:szCs w:val="24"/>
        </w:rPr>
        <w:t xml:space="preserve">, a qualquer título, por ato oneroso </w:t>
      </w:r>
      <w:r w:rsidRPr="00043B28">
        <w:rPr>
          <w:rFonts w:ascii="Times New Roman" w:hAnsi="Times New Roman" w:cs="Times New Roman"/>
          <w:sz w:val="24"/>
          <w:szCs w:val="24"/>
        </w:rPr>
        <w:t>de bem imóvel p</w:t>
      </w:r>
      <w:r>
        <w:rPr>
          <w:rFonts w:ascii="Times New Roman" w:hAnsi="Times New Roman" w:cs="Times New Roman"/>
          <w:sz w:val="24"/>
          <w:szCs w:val="24"/>
        </w:rPr>
        <w:t xml:space="preserve">or natureza ou acessão física; </w:t>
      </w:r>
      <w:r w:rsidRPr="00043B28">
        <w:rPr>
          <w:rFonts w:ascii="Times New Roman" w:hAnsi="Times New Roman" w:cs="Times New Roman"/>
          <w:sz w:val="24"/>
          <w:szCs w:val="24"/>
        </w:rPr>
        <w:t>de direitos reais sobre imóveis</w:t>
      </w:r>
      <w:r w:rsidR="00280B61">
        <w:rPr>
          <w:rFonts w:ascii="Times New Roman" w:hAnsi="Times New Roman" w:cs="Times New Roman"/>
          <w:sz w:val="24"/>
          <w:szCs w:val="24"/>
        </w:rPr>
        <w:t xml:space="preserve"> (salvo os de garantia)</w:t>
      </w:r>
      <w:r w:rsidRPr="00043B28">
        <w:rPr>
          <w:rFonts w:ascii="Times New Roman" w:hAnsi="Times New Roman" w:cs="Times New Roman"/>
          <w:sz w:val="24"/>
          <w:szCs w:val="24"/>
        </w:rPr>
        <w:t>,</w:t>
      </w:r>
      <w:r w:rsidR="006543A6">
        <w:rPr>
          <w:rFonts w:ascii="Times New Roman" w:hAnsi="Times New Roman" w:cs="Times New Roman"/>
          <w:sz w:val="24"/>
          <w:szCs w:val="24"/>
        </w:rPr>
        <w:t xml:space="preserve"> </w:t>
      </w:r>
      <w:r w:rsidR="00280B61">
        <w:rPr>
          <w:rFonts w:ascii="Times New Roman" w:hAnsi="Times New Roman" w:cs="Times New Roman"/>
          <w:sz w:val="24"/>
          <w:szCs w:val="24"/>
        </w:rPr>
        <w:t>e na hipótese de</w:t>
      </w:r>
      <w:r w:rsidRPr="00043B28">
        <w:rPr>
          <w:rFonts w:ascii="Times New Roman" w:hAnsi="Times New Roman" w:cs="Times New Roman"/>
          <w:sz w:val="24"/>
          <w:szCs w:val="24"/>
        </w:rPr>
        <w:t xml:space="preserve"> cessão de direitos à aquisição </w:t>
      </w:r>
      <w:r w:rsidR="00280B61">
        <w:rPr>
          <w:rFonts w:ascii="Times New Roman" w:hAnsi="Times New Roman" w:cs="Times New Roman"/>
          <w:sz w:val="24"/>
          <w:szCs w:val="24"/>
        </w:rPr>
        <w:t>daqueles</w:t>
      </w:r>
      <w:r w:rsidRPr="00043B28">
        <w:rPr>
          <w:rFonts w:ascii="Times New Roman" w:hAnsi="Times New Roman" w:cs="Times New Roman"/>
          <w:sz w:val="24"/>
          <w:szCs w:val="24"/>
        </w:rPr>
        <w:t>.</w:t>
      </w:r>
      <w:bookmarkStart w:id="0" w:name="_GoBack"/>
      <w:bookmarkEnd w:id="0"/>
    </w:p>
    <w:p w:rsidR="00B96B8A" w:rsidRDefault="00B96B8A" w:rsidP="00280B61">
      <w:pPr>
        <w:pStyle w:val="SemEspaament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O aspecto temporal, ademais, é no instante em que se registra o título translativo da propriedade no Registro de Imóveis, já que é somente aqui que é que verdadeiramente se efetiva a transmissão da propriedade. (SOUZA, 2014).</w:t>
      </w:r>
      <w:r w:rsidR="00631928">
        <w:rPr>
          <w:rFonts w:ascii="Times New Roman" w:hAnsi="Times New Roman" w:cs="Times New Roman"/>
          <w:sz w:val="24"/>
          <w:szCs w:val="24"/>
        </w:rPr>
        <w:t xml:space="preserve"> Além disso, se há tempo, por óbvio há o espaço, e, desta feita é necessário considera o aspecto espacial. Através deste aspecto determina-se que o Município</w:t>
      </w:r>
      <w:r w:rsidR="00553F7C">
        <w:rPr>
          <w:rFonts w:ascii="Times New Roman" w:hAnsi="Times New Roman" w:cs="Times New Roman"/>
          <w:sz w:val="24"/>
          <w:szCs w:val="24"/>
        </w:rPr>
        <w:t>,</w:t>
      </w:r>
      <w:r w:rsidR="00631928">
        <w:rPr>
          <w:rFonts w:ascii="Times New Roman" w:hAnsi="Times New Roman" w:cs="Times New Roman"/>
          <w:sz w:val="24"/>
          <w:szCs w:val="24"/>
        </w:rPr>
        <w:t xml:space="preserve"> no qual </w:t>
      </w:r>
      <w:proofErr w:type="gramStart"/>
      <w:r w:rsidR="00631928">
        <w:rPr>
          <w:rFonts w:ascii="Times New Roman" w:hAnsi="Times New Roman" w:cs="Times New Roman"/>
          <w:sz w:val="24"/>
          <w:szCs w:val="24"/>
        </w:rPr>
        <w:t>encontra-se</w:t>
      </w:r>
      <w:proofErr w:type="gramEnd"/>
      <w:r w:rsidR="00631928">
        <w:rPr>
          <w:rFonts w:ascii="Times New Roman" w:hAnsi="Times New Roman" w:cs="Times New Roman"/>
          <w:sz w:val="24"/>
          <w:szCs w:val="24"/>
        </w:rPr>
        <w:t xml:space="preserve"> o imóvel</w:t>
      </w:r>
      <w:r w:rsidR="00553F7C">
        <w:rPr>
          <w:rFonts w:ascii="Times New Roman" w:hAnsi="Times New Roman" w:cs="Times New Roman"/>
          <w:sz w:val="24"/>
          <w:szCs w:val="24"/>
        </w:rPr>
        <w:t xml:space="preserve">, é que tem competência para arrecadar o ITBI. </w:t>
      </w:r>
      <w:r w:rsidR="00444371">
        <w:rPr>
          <w:rFonts w:ascii="Times New Roman" w:hAnsi="Times New Roman" w:cs="Times New Roman"/>
          <w:sz w:val="24"/>
          <w:szCs w:val="24"/>
        </w:rPr>
        <w:t xml:space="preserve">(CAMPOS, 2012). </w:t>
      </w:r>
      <w:r w:rsidR="00553F7C">
        <w:rPr>
          <w:rFonts w:ascii="Times New Roman" w:hAnsi="Times New Roman" w:cs="Times New Roman"/>
          <w:sz w:val="24"/>
          <w:szCs w:val="24"/>
        </w:rPr>
        <w:t>No presente caso a competência é atribuída ao Município de São Luís</w:t>
      </w:r>
      <w:r w:rsidR="00444371">
        <w:rPr>
          <w:rFonts w:ascii="Times New Roman" w:hAnsi="Times New Roman" w:cs="Times New Roman"/>
          <w:sz w:val="24"/>
          <w:szCs w:val="24"/>
        </w:rPr>
        <w:t>.</w:t>
      </w:r>
      <w:r w:rsidR="00553F7C">
        <w:rPr>
          <w:rFonts w:ascii="Times New Roman" w:hAnsi="Times New Roman" w:cs="Times New Roman"/>
          <w:sz w:val="24"/>
          <w:szCs w:val="24"/>
        </w:rPr>
        <w:t xml:space="preserve"> </w:t>
      </w:r>
    </w:p>
    <w:p w:rsidR="00C10E99" w:rsidRDefault="00C10E99" w:rsidP="00280B61">
      <w:pPr>
        <w:pStyle w:val="SemEspaament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w:t>
      </w:r>
      <w:r w:rsidR="00E550CF">
        <w:rPr>
          <w:rFonts w:ascii="Times New Roman" w:hAnsi="Times New Roman" w:cs="Times New Roman"/>
          <w:sz w:val="24"/>
          <w:szCs w:val="24"/>
        </w:rPr>
        <w:t>critério pessoal</w:t>
      </w:r>
      <w:r>
        <w:rPr>
          <w:rFonts w:ascii="Times New Roman" w:hAnsi="Times New Roman" w:cs="Times New Roman"/>
          <w:sz w:val="24"/>
          <w:szCs w:val="24"/>
        </w:rPr>
        <w:t>, por outro lado,</w:t>
      </w:r>
      <w:r w:rsidR="00E550CF">
        <w:rPr>
          <w:rFonts w:ascii="Times New Roman" w:hAnsi="Times New Roman" w:cs="Times New Roman"/>
          <w:sz w:val="24"/>
          <w:szCs w:val="24"/>
        </w:rPr>
        <w:t xml:space="preserve"> é o “feixe de informações contidas no consequente normativo que nos permite identificar, com exatidão, os sujeitos da relação jurídica a ser instaurada quando da constituição do fato jurídico.</w:t>
      </w:r>
      <w:r w:rsidR="00E0732E">
        <w:rPr>
          <w:rFonts w:ascii="Times New Roman" w:hAnsi="Times New Roman" w:cs="Times New Roman"/>
          <w:sz w:val="24"/>
          <w:szCs w:val="24"/>
        </w:rPr>
        <w:t>”</w:t>
      </w:r>
      <w:r w:rsidR="00E550CF">
        <w:rPr>
          <w:rFonts w:ascii="Times New Roman" w:hAnsi="Times New Roman" w:cs="Times New Roman"/>
          <w:sz w:val="24"/>
          <w:szCs w:val="24"/>
        </w:rPr>
        <w:t xml:space="preserve"> (CARVALHO, </w:t>
      </w:r>
      <w:r w:rsidR="00074919">
        <w:rPr>
          <w:rFonts w:ascii="Times New Roman" w:hAnsi="Times New Roman" w:cs="Times New Roman"/>
          <w:sz w:val="24"/>
          <w:szCs w:val="24"/>
        </w:rPr>
        <w:t>2009.</w:t>
      </w:r>
      <w:r w:rsidR="00E550CF">
        <w:rPr>
          <w:rFonts w:ascii="Times New Roman" w:hAnsi="Times New Roman" w:cs="Times New Roman"/>
          <w:sz w:val="24"/>
          <w:szCs w:val="24"/>
        </w:rPr>
        <w:t xml:space="preserve">p.388) </w:t>
      </w:r>
      <w:r w:rsidR="00F076E9">
        <w:rPr>
          <w:rFonts w:ascii="Times New Roman" w:hAnsi="Times New Roman" w:cs="Times New Roman"/>
          <w:sz w:val="24"/>
          <w:szCs w:val="24"/>
        </w:rPr>
        <w:t xml:space="preserve">O município de São Luís, por intermédio da Secretaria de Fazenda Municipal é o sujeito ativo, enquanto </w:t>
      </w:r>
      <w:r w:rsidR="00D71694">
        <w:rPr>
          <w:rFonts w:ascii="Times New Roman" w:hAnsi="Times New Roman" w:cs="Times New Roman"/>
          <w:sz w:val="24"/>
          <w:szCs w:val="24"/>
        </w:rPr>
        <w:t xml:space="preserve">a </w:t>
      </w:r>
      <w:proofErr w:type="spellStart"/>
      <w:r w:rsidR="00D71694">
        <w:rPr>
          <w:rFonts w:ascii="Times New Roman" w:hAnsi="Times New Roman" w:cs="Times New Roman"/>
          <w:sz w:val="24"/>
          <w:szCs w:val="24"/>
        </w:rPr>
        <w:t>Hetfield</w:t>
      </w:r>
      <w:proofErr w:type="spellEnd"/>
      <w:r w:rsidR="00D71694">
        <w:rPr>
          <w:rFonts w:ascii="Times New Roman" w:hAnsi="Times New Roman" w:cs="Times New Roman"/>
          <w:sz w:val="24"/>
          <w:szCs w:val="24"/>
        </w:rPr>
        <w:t xml:space="preserve"> Participações S/A</w:t>
      </w:r>
      <w:r w:rsidR="00F076E9">
        <w:rPr>
          <w:rFonts w:ascii="Times New Roman" w:hAnsi="Times New Roman" w:cs="Times New Roman"/>
          <w:sz w:val="24"/>
          <w:szCs w:val="24"/>
        </w:rPr>
        <w:t xml:space="preserve"> é o sujeito passivo.</w:t>
      </w:r>
    </w:p>
    <w:p w:rsidR="00293DB6" w:rsidRDefault="00F076E9" w:rsidP="00B37FC0">
      <w:pPr>
        <w:pStyle w:val="SemEspaament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Tem-se, por fim, o critério </w:t>
      </w:r>
      <w:proofErr w:type="spellStart"/>
      <w:r>
        <w:rPr>
          <w:rFonts w:ascii="Times New Roman" w:hAnsi="Times New Roman" w:cs="Times New Roman"/>
          <w:sz w:val="24"/>
          <w:szCs w:val="24"/>
        </w:rPr>
        <w:t>prestacional</w:t>
      </w:r>
      <w:proofErr w:type="spellEnd"/>
      <w:r>
        <w:rPr>
          <w:rFonts w:ascii="Times New Roman" w:hAnsi="Times New Roman" w:cs="Times New Roman"/>
          <w:sz w:val="24"/>
          <w:szCs w:val="24"/>
        </w:rPr>
        <w:t xml:space="preserve"> ou quantitativo, indica, em suma, o objeto da relação jurídica, em que descreve</w:t>
      </w:r>
      <w:r w:rsidR="002B40D8">
        <w:rPr>
          <w:rFonts w:ascii="Times New Roman" w:hAnsi="Times New Roman" w:cs="Times New Roman"/>
          <w:sz w:val="24"/>
          <w:szCs w:val="24"/>
        </w:rPr>
        <w:t xml:space="preserve"> quantia a ser paga pelo sujeito passivo. (CAR</w:t>
      </w:r>
      <w:r w:rsidR="00074919">
        <w:rPr>
          <w:rFonts w:ascii="Times New Roman" w:hAnsi="Times New Roman" w:cs="Times New Roman"/>
          <w:sz w:val="24"/>
          <w:szCs w:val="24"/>
        </w:rPr>
        <w:t>VALHO, 2009</w:t>
      </w:r>
      <w:r w:rsidR="00D71694">
        <w:rPr>
          <w:rFonts w:ascii="Times New Roman" w:hAnsi="Times New Roman" w:cs="Times New Roman"/>
          <w:sz w:val="24"/>
          <w:szCs w:val="24"/>
        </w:rPr>
        <w:t>). Conforme determina</w:t>
      </w:r>
      <w:r w:rsidR="002B40D8">
        <w:rPr>
          <w:rFonts w:ascii="Times New Roman" w:hAnsi="Times New Roman" w:cs="Times New Roman"/>
          <w:sz w:val="24"/>
          <w:szCs w:val="24"/>
        </w:rPr>
        <w:t xml:space="preserve"> a Lei Municipal</w:t>
      </w:r>
      <w:r w:rsidR="00D71694">
        <w:rPr>
          <w:rFonts w:ascii="Times New Roman" w:hAnsi="Times New Roman" w:cs="Times New Roman"/>
          <w:sz w:val="24"/>
          <w:szCs w:val="24"/>
        </w:rPr>
        <w:t xml:space="preserve"> de São Luís (n° 5.582/2013</w:t>
      </w:r>
      <w:r w:rsidR="00E0732E">
        <w:rPr>
          <w:rFonts w:ascii="Times New Roman" w:hAnsi="Times New Roman" w:cs="Times New Roman"/>
          <w:sz w:val="24"/>
          <w:szCs w:val="24"/>
        </w:rPr>
        <w:t>, art.2°, inciso II</w:t>
      </w:r>
      <w:r w:rsidR="00D71694">
        <w:rPr>
          <w:rFonts w:ascii="Times New Roman" w:hAnsi="Times New Roman" w:cs="Times New Roman"/>
          <w:sz w:val="24"/>
          <w:szCs w:val="24"/>
        </w:rPr>
        <w:t>)</w:t>
      </w:r>
      <w:r w:rsidR="00E0732E">
        <w:rPr>
          <w:rFonts w:ascii="Times New Roman" w:hAnsi="Times New Roman" w:cs="Times New Roman"/>
          <w:sz w:val="24"/>
          <w:szCs w:val="24"/>
        </w:rPr>
        <w:t xml:space="preserve"> o valor do ITBI será calculado pelo valor de alíquota de 2% (dois por cento). </w:t>
      </w:r>
    </w:p>
    <w:p w:rsidR="001A5BBE" w:rsidRDefault="001A5BBE" w:rsidP="00293DB6">
      <w:pPr>
        <w:pStyle w:val="SemEspaamento"/>
        <w:numPr>
          <w:ilvl w:val="0"/>
          <w:numId w:val="2"/>
        </w:numPr>
        <w:spacing w:line="360" w:lineRule="auto"/>
        <w:ind w:left="0" w:firstLine="992"/>
        <w:jc w:val="both"/>
        <w:rPr>
          <w:rFonts w:ascii="Times New Roman" w:hAnsi="Times New Roman" w:cs="Times New Roman"/>
          <w:sz w:val="24"/>
          <w:szCs w:val="24"/>
        </w:rPr>
      </w:pPr>
      <w:r>
        <w:rPr>
          <w:rFonts w:ascii="Times New Roman" w:hAnsi="Times New Roman" w:cs="Times New Roman"/>
          <w:sz w:val="24"/>
          <w:szCs w:val="24"/>
        </w:rPr>
        <w:lastRenderedPageBreak/>
        <w:t xml:space="preserve">A imunidade tributária, em suma, corresponde a uma situação característica </w:t>
      </w:r>
      <w:r w:rsidR="00082F74">
        <w:rPr>
          <w:rFonts w:ascii="Times New Roman" w:hAnsi="Times New Roman" w:cs="Times New Roman"/>
          <w:sz w:val="24"/>
          <w:szCs w:val="24"/>
        </w:rPr>
        <w:t xml:space="preserve">de uma dada relação, em que sobre a respectiva relação não ocorre </w:t>
      </w:r>
      <w:proofErr w:type="gramStart"/>
      <w:r w:rsidR="00082F74">
        <w:rPr>
          <w:rFonts w:ascii="Times New Roman" w:hAnsi="Times New Roman" w:cs="Times New Roman"/>
          <w:sz w:val="24"/>
          <w:szCs w:val="24"/>
        </w:rPr>
        <w:t>a</w:t>
      </w:r>
      <w:proofErr w:type="gramEnd"/>
      <w:r w:rsidR="00082F74">
        <w:rPr>
          <w:rFonts w:ascii="Times New Roman" w:hAnsi="Times New Roman" w:cs="Times New Roman"/>
          <w:sz w:val="24"/>
          <w:szCs w:val="24"/>
        </w:rPr>
        <w:t xml:space="preserve"> incidência de um tributo específico</w:t>
      </w:r>
      <w:r w:rsidR="00201B17">
        <w:rPr>
          <w:rFonts w:ascii="Times New Roman" w:hAnsi="Times New Roman" w:cs="Times New Roman"/>
          <w:sz w:val="24"/>
          <w:szCs w:val="24"/>
        </w:rPr>
        <w:t xml:space="preserve"> em virtude de uma permissão constitucional, frente a uma especificidade da própria relação, não havendo, pois, autorização para a instituição do tributo naquela relação. (AMARO, 2011)</w:t>
      </w:r>
    </w:p>
    <w:p w:rsidR="00E26340" w:rsidRDefault="00ED659A" w:rsidP="00490FC6">
      <w:pPr>
        <w:pStyle w:val="SemEspaament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Alexandre</w:t>
      </w:r>
      <w:r w:rsidR="00E26340">
        <w:rPr>
          <w:rFonts w:ascii="Times New Roman" w:hAnsi="Times New Roman" w:cs="Times New Roman"/>
          <w:sz w:val="24"/>
          <w:szCs w:val="24"/>
        </w:rPr>
        <w:t xml:space="preserve"> Machado de Oliveira define que:</w:t>
      </w:r>
    </w:p>
    <w:p w:rsidR="00E26340" w:rsidRDefault="00E26340" w:rsidP="00490FC6">
      <w:pPr>
        <w:pStyle w:val="SemEspaamento"/>
        <w:spacing w:line="360" w:lineRule="auto"/>
        <w:ind w:firstLine="1134"/>
        <w:jc w:val="both"/>
        <w:rPr>
          <w:rFonts w:ascii="Times New Roman" w:hAnsi="Times New Roman" w:cs="Times New Roman"/>
          <w:sz w:val="24"/>
          <w:szCs w:val="24"/>
        </w:rPr>
      </w:pPr>
    </w:p>
    <w:p w:rsidR="00ED659A" w:rsidRDefault="00ED659A" w:rsidP="00E26340">
      <w:pPr>
        <w:pStyle w:val="SemEspaamento"/>
        <w:ind w:left="2268"/>
        <w:jc w:val="both"/>
        <w:rPr>
          <w:rFonts w:ascii="Times New Roman" w:hAnsi="Times New Roman" w:cs="Times New Roman"/>
          <w:sz w:val="24"/>
          <w:szCs w:val="24"/>
        </w:rPr>
      </w:pPr>
      <w:proofErr w:type="gramStart"/>
      <w:r>
        <w:rPr>
          <w:rFonts w:ascii="Times New Roman" w:hAnsi="Times New Roman" w:cs="Times New Roman"/>
          <w:sz w:val="24"/>
          <w:szCs w:val="24"/>
        </w:rPr>
        <w:t>em</w:t>
      </w:r>
      <w:proofErr w:type="gramEnd"/>
      <w:r>
        <w:rPr>
          <w:rFonts w:ascii="Times New Roman" w:hAnsi="Times New Roman" w:cs="Times New Roman"/>
          <w:sz w:val="24"/>
          <w:szCs w:val="24"/>
        </w:rPr>
        <w:t xml:space="preserve"> termos simples quando falamos que uma determinada pessoa está imune àquela doença, estamos dizendo que ela está protegida contra esta moléstia, não corre o risco de vir a contraí-la. Fazendo um paralelo com a imunidade tributária, quando falamos que determinada</w:t>
      </w:r>
      <w:r w:rsidR="00490FC6">
        <w:rPr>
          <w:rFonts w:ascii="Times New Roman" w:hAnsi="Times New Roman" w:cs="Times New Roman"/>
          <w:sz w:val="24"/>
          <w:szCs w:val="24"/>
        </w:rPr>
        <w:t xml:space="preserve"> situação está imune, estamos a dizer que está protegida contra o poder de tributar do Estado, não corre o risco de ser tributada. (2011, p.1)</w:t>
      </w:r>
    </w:p>
    <w:p w:rsidR="00E26340" w:rsidRDefault="00E26340" w:rsidP="003043EF">
      <w:pPr>
        <w:pStyle w:val="SemEspaamento"/>
        <w:ind w:firstLine="1134"/>
        <w:jc w:val="both"/>
        <w:rPr>
          <w:rFonts w:ascii="Times New Roman" w:hAnsi="Times New Roman" w:cs="Times New Roman"/>
          <w:sz w:val="24"/>
          <w:szCs w:val="24"/>
        </w:rPr>
      </w:pPr>
    </w:p>
    <w:p w:rsidR="003043EF" w:rsidRDefault="003043EF" w:rsidP="00490FC6">
      <w:pPr>
        <w:pStyle w:val="SemEspaament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imunidade tributária então </w:t>
      </w:r>
      <w:proofErr w:type="gramStart"/>
      <w:r>
        <w:rPr>
          <w:rFonts w:ascii="Times New Roman" w:hAnsi="Times New Roman" w:cs="Times New Roman"/>
          <w:sz w:val="24"/>
          <w:szCs w:val="24"/>
        </w:rPr>
        <w:t>constitui-se</w:t>
      </w:r>
      <w:proofErr w:type="gramEnd"/>
      <w:r>
        <w:rPr>
          <w:rFonts w:ascii="Times New Roman" w:hAnsi="Times New Roman" w:cs="Times New Roman"/>
          <w:sz w:val="24"/>
          <w:szCs w:val="24"/>
        </w:rPr>
        <w:t xml:space="preserve"> em um não exercício do poder estatal de tributar.</w:t>
      </w:r>
    </w:p>
    <w:p w:rsidR="00293DB6" w:rsidRDefault="00C56E5D" w:rsidP="00293DB6">
      <w:pPr>
        <w:pStyle w:val="SemEspaamento"/>
        <w:numPr>
          <w:ilvl w:val="0"/>
          <w:numId w:val="2"/>
        </w:numPr>
        <w:spacing w:line="360" w:lineRule="auto"/>
        <w:ind w:left="0" w:firstLine="992"/>
        <w:jc w:val="both"/>
        <w:rPr>
          <w:rFonts w:ascii="Times New Roman" w:hAnsi="Times New Roman" w:cs="Times New Roman"/>
          <w:sz w:val="24"/>
          <w:szCs w:val="24"/>
        </w:rPr>
      </w:pPr>
      <w:proofErr w:type="gramStart"/>
      <w:r>
        <w:rPr>
          <w:rFonts w:ascii="Times New Roman" w:hAnsi="Times New Roman" w:cs="Times New Roman"/>
          <w:sz w:val="24"/>
          <w:szCs w:val="24"/>
        </w:rPr>
        <w:t>As norma</w:t>
      </w:r>
      <w:proofErr w:type="gramEnd"/>
      <w:r>
        <w:rPr>
          <w:rFonts w:ascii="Times New Roman" w:hAnsi="Times New Roman" w:cs="Times New Roman"/>
          <w:sz w:val="24"/>
          <w:szCs w:val="24"/>
        </w:rPr>
        <w:t xml:space="preserve"> tributárias decerto não pode ser interpretadas em ofensa ao Princípio da Legalidade. Ademais, é possível tanto uma interpretação literal quanto uma interpretação benigna; na primeira ap</w:t>
      </w:r>
      <w:r w:rsidR="00B77656">
        <w:rPr>
          <w:rFonts w:ascii="Times New Roman" w:hAnsi="Times New Roman" w:cs="Times New Roman"/>
          <w:sz w:val="24"/>
          <w:szCs w:val="24"/>
        </w:rPr>
        <w:t>lica-se o método restritivo; o método de benefício ao réu, em que se pode utilizar o critério extensivo</w:t>
      </w:r>
      <w:r w:rsidR="006E7807">
        <w:rPr>
          <w:rFonts w:ascii="Times New Roman" w:hAnsi="Times New Roman" w:cs="Times New Roman"/>
          <w:sz w:val="24"/>
          <w:szCs w:val="24"/>
        </w:rPr>
        <w:t>; também pode haver a interpretação declarativa</w:t>
      </w:r>
      <w:r w:rsidR="00B77656">
        <w:rPr>
          <w:rFonts w:ascii="Times New Roman" w:hAnsi="Times New Roman" w:cs="Times New Roman"/>
          <w:sz w:val="24"/>
          <w:szCs w:val="24"/>
        </w:rPr>
        <w:t xml:space="preserve">. (SABBAG, 2013).  </w:t>
      </w:r>
      <w:r w:rsidR="006E7807">
        <w:rPr>
          <w:rFonts w:ascii="Times New Roman" w:hAnsi="Times New Roman" w:cs="Times New Roman"/>
          <w:sz w:val="24"/>
          <w:szCs w:val="24"/>
        </w:rPr>
        <w:t>Do artigo 107 ao artigo 112 estão previsto</w:t>
      </w:r>
      <w:r w:rsidR="007071F4">
        <w:rPr>
          <w:rFonts w:ascii="Times New Roman" w:hAnsi="Times New Roman" w:cs="Times New Roman"/>
          <w:sz w:val="24"/>
          <w:szCs w:val="24"/>
        </w:rPr>
        <w:t>s</w:t>
      </w:r>
      <w:r w:rsidR="006E7807">
        <w:rPr>
          <w:rFonts w:ascii="Times New Roman" w:hAnsi="Times New Roman" w:cs="Times New Roman"/>
          <w:sz w:val="24"/>
          <w:szCs w:val="24"/>
        </w:rPr>
        <w:t xml:space="preserve"> as possibilidade</w:t>
      </w:r>
      <w:r w:rsidR="007071F4">
        <w:rPr>
          <w:rFonts w:ascii="Times New Roman" w:hAnsi="Times New Roman" w:cs="Times New Roman"/>
          <w:sz w:val="24"/>
          <w:szCs w:val="24"/>
        </w:rPr>
        <w:t>s</w:t>
      </w:r>
      <w:r w:rsidR="006E7807">
        <w:rPr>
          <w:rFonts w:ascii="Times New Roman" w:hAnsi="Times New Roman" w:cs="Times New Roman"/>
          <w:sz w:val="24"/>
          <w:szCs w:val="24"/>
        </w:rPr>
        <w:t xml:space="preserve"> de interpretação</w:t>
      </w:r>
      <w:r w:rsidR="006E7807">
        <w:rPr>
          <w:rStyle w:val="Refdenotaderodap"/>
          <w:rFonts w:ascii="Times New Roman" w:hAnsi="Times New Roman" w:cs="Times New Roman"/>
          <w:sz w:val="24"/>
          <w:szCs w:val="24"/>
        </w:rPr>
        <w:footnoteReference w:id="4"/>
      </w:r>
      <w:r w:rsidR="006E7807">
        <w:rPr>
          <w:rFonts w:ascii="Times New Roman" w:hAnsi="Times New Roman" w:cs="Times New Roman"/>
          <w:sz w:val="24"/>
          <w:szCs w:val="24"/>
        </w:rPr>
        <w:t>.</w:t>
      </w:r>
    </w:p>
    <w:p w:rsidR="006E7807" w:rsidRPr="001A5BBE" w:rsidRDefault="006E7807" w:rsidP="006E7807">
      <w:pPr>
        <w:pStyle w:val="SemEspaamento"/>
        <w:spacing w:line="360" w:lineRule="auto"/>
        <w:ind w:left="992"/>
        <w:jc w:val="both"/>
        <w:rPr>
          <w:rFonts w:ascii="Times New Roman" w:hAnsi="Times New Roman" w:cs="Times New Roman"/>
          <w:sz w:val="24"/>
          <w:szCs w:val="24"/>
        </w:rPr>
      </w:pPr>
    </w:p>
    <w:p w:rsidR="00875A4C" w:rsidRDefault="00875A4C" w:rsidP="00E77EDF">
      <w:pPr>
        <w:spacing w:after="0" w:line="360" w:lineRule="auto"/>
        <w:rPr>
          <w:rFonts w:ascii="Times New Roman" w:hAnsi="Times New Roman" w:cs="Times New Roman"/>
          <w:b/>
          <w:sz w:val="28"/>
          <w:szCs w:val="28"/>
        </w:rPr>
      </w:pPr>
    </w:p>
    <w:p w:rsidR="00E77EDF" w:rsidRDefault="00E77EDF" w:rsidP="00E77EDF">
      <w:pPr>
        <w:spacing w:after="0" w:line="360" w:lineRule="auto"/>
        <w:rPr>
          <w:rFonts w:ascii="Times New Roman" w:hAnsi="Times New Roman" w:cs="Times New Roman"/>
          <w:b/>
          <w:sz w:val="28"/>
          <w:szCs w:val="28"/>
        </w:rPr>
      </w:pPr>
      <w:proofErr w:type="gramStart"/>
      <w:r>
        <w:rPr>
          <w:rFonts w:ascii="Times New Roman" w:hAnsi="Times New Roman" w:cs="Times New Roman"/>
          <w:b/>
          <w:sz w:val="28"/>
          <w:szCs w:val="28"/>
        </w:rPr>
        <w:lastRenderedPageBreak/>
        <w:t>3</w:t>
      </w:r>
      <w:proofErr w:type="gramEnd"/>
      <w:r>
        <w:rPr>
          <w:rFonts w:ascii="Times New Roman" w:hAnsi="Times New Roman" w:cs="Times New Roman"/>
          <w:b/>
          <w:sz w:val="24"/>
          <w:szCs w:val="24"/>
        </w:rPr>
        <w:t xml:space="preserve"> </w:t>
      </w:r>
      <w:r>
        <w:rPr>
          <w:rFonts w:ascii="Times New Roman" w:hAnsi="Times New Roman" w:cs="Times New Roman"/>
          <w:b/>
          <w:sz w:val="28"/>
          <w:szCs w:val="28"/>
        </w:rPr>
        <w:t>REFERÊNCIAS</w:t>
      </w:r>
    </w:p>
    <w:p w:rsidR="00B37FC0" w:rsidRPr="00976CF1" w:rsidRDefault="00B37FC0" w:rsidP="00B37FC0">
      <w:pPr>
        <w:spacing w:after="240" w:line="360" w:lineRule="auto"/>
        <w:jc w:val="both"/>
        <w:rPr>
          <w:rFonts w:ascii="Times New Roman" w:eastAsia="Calibri" w:hAnsi="Times New Roman" w:cs="Times New Roman"/>
          <w:sz w:val="24"/>
          <w:szCs w:val="24"/>
        </w:rPr>
      </w:pPr>
      <w:r w:rsidRPr="00976CF1">
        <w:rPr>
          <w:rFonts w:ascii="Times New Roman" w:eastAsia="Calibri" w:hAnsi="Times New Roman" w:cs="Times New Roman"/>
          <w:sz w:val="24"/>
          <w:szCs w:val="24"/>
        </w:rPr>
        <w:t xml:space="preserve">AMARO, Luciano. </w:t>
      </w:r>
      <w:r w:rsidRPr="00976CF1">
        <w:rPr>
          <w:rFonts w:ascii="Times New Roman" w:eastAsia="Calibri" w:hAnsi="Times New Roman" w:cs="Times New Roman"/>
          <w:b/>
          <w:sz w:val="24"/>
          <w:szCs w:val="24"/>
        </w:rPr>
        <w:t xml:space="preserve">Direito Tributário Brasileiro. </w:t>
      </w:r>
      <w:r w:rsidRPr="00976CF1">
        <w:rPr>
          <w:rFonts w:ascii="Times New Roman" w:eastAsia="Calibri" w:hAnsi="Times New Roman" w:cs="Times New Roman"/>
          <w:sz w:val="24"/>
          <w:szCs w:val="24"/>
        </w:rPr>
        <w:t xml:space="preserve">17ª ed. São Paulo: </w:t>
      </w:r>
      <w:proofErr w:type="gramStart"/>
      <w:r w:rsidRPr="00976CF1">
        <w:rPr>
          <w:rFonts w:ascii="Times New Roman" w:eastAsia="Calibri" w:hAnsi="Times New Roman" w:cs="Times New Roman"/>
          <w:sz w:val="24"/>
          <w:szCs w:val="24"/>
        </w:rPr>
        <w:t>Saraiva,</w:t>
      </w:r>
      <w:proofErr w:type="gramEnd"/>
      <w:r w:rsidRPr="00976CF1">
        <w:rPr>
          <w:rFonts w:ascii="Times New Roman" w:eastAsia="Calibri" w:hAnsi="Times New Roman" w:cs="Times New Roman"/>
          <w:sz w:val="24"/>
          <w:szCs w:val="24"/>
        </w:rPr>
        <w:t xml:space="preserve"> 2011.</w:t>
      </w:r>
    </w:p>
    <w:p w:rsidR="00B37FC0" w:rsidRDefault="00B37FC0" w:rsidP="00B37FC0">
      <w:pPr>
        <w:spacing w:after="240" w:line="360" w:lineRule="auto"/>
        <w:jc w:val="both"/>
        <w:rPr>
          <w:rFonts w:ascii="Times New Roman" w:eastAsia="Times New Roman" w:hAnsi="Times New Roman" w:cs="Times New Roman"/>
          <w:bCs/>
          <w:sz w:val="24"/>
          <w:szCs w:val="24"/>
        </w:rPr>
      </w:pPr>
      <w:r w:rsidRPr="00976CF1">
        <w:rPr>
          <w:rFonts w:ascii="Times New Roman" w:eastAsia="Times New Roman" w:hAnsi="Times New Roman" w:cs="Times New Roman"/>
          <w:bCs/>
          <w:sz w:val="24"/>
          <w:szCs w:val="24"/>
        </w:rPr>
        <w:t xml:space="preserve">BRASIL. </w:t>
      </w:r>
      <w:proofErr w:type="spellStart"/>
      <w:r w:rsidRPr="00C56E5D">
        <w:rPr>
          <w:rFonts w:ascii="Times New Roman" w:eastAsia="Times New Roman" w:hAnsi="Times New Roman" w:cs="Times New Roman"/>
          <w:b/>
          <w:bCs/>
          <w:sz w:val="24"/>
          <w:szCs w:val="24"/>
        </w:rPr>
        <w:t>Constitução</w:t>
      </w:r>
      <w:proofErr w:type="spellEnd"/>
      <w:r w:rsidRPr="00C56E5D">
        <w:rPr>
          <w:rFonts w:ascii="Times New Roman" w:eastAsia="Times New Roman" w:hAnsi="Times New Roman" w:cs="Times New Roman"/>
          <w:b/>
          <w:bCs/>
          <w:sz w:val="24"/>
          <w:szCs w:val="24"/>
        </w:rPr>
        <w:t xml:space="preserve"> Federal</w:t>
      </w:r>
      <w:r w:rsidRPr="00976CF1">
        <w:rPr>
          <w:rFonts w:ascii="Times New Roman" w:eastAsia="Times New Roman" w:hAnsi="Times New Roman" w:cs="Times New Roman"/>
          <w:bCs/>
          <w:sz w:val="24"/>
          <w:szCs w:val="24"/>
        </w:rPr>
        <w:t xml:space="preserve">. </w:t>
      </w:r>
      <w:proofErr w:type="spellStart"/>
      <w:r w:rsidRPr="00976CF1">
        <w:rPr>
          <w:rFonts w:ascii="Times New Roman" w:eastAsia="Times New Roman" w:hAnsi="Times New Roman" w:cs="Times New Roman"/>
          <w:bCs/>
          <w:sz w:val="24"/>
          <w:szCs w:val="24"/>
        </w:rPr>
        <w:t>Vade</w:t>
      </w:r>
      <w:proofErr w:type="spellEnd"/>
      <w:r w:rsidRPr="00976CF1">
        <w:rPr>
          <w:rFonts w:ascii="Times New Roman" w:eastAsia="Times New Roman" w:hAnsi="Times New Roman" w:cs="Times New Roman"/>
          <w:bCs/>
          <w:sz w:val="24"/>
          <w:szCs w:val="24"/>
        </w:rPr>
        <w:t xml:space="preserve"> </w:t>
      </w:r>
      <w:proofErr w:type="spellStart"/>
      <w:r w:rsidRPr="00976CF1">
        <w:rPr>
          <w:rFonts w:ascii="Times New Roman" w:eastAsia="Times New Roman" w:hAnsi="Times New Roman" w:cs="Times New Roman"/>
          <w:bCs/>
          <w:sz w:val="24"/>
          <w:szCs w:val="24"/>
        </w:rPr>
        <w:t>Mecum</w:t>
      </w:r>
      <w:proofErr w:type="spellEnd"/>
      <w:r w:rsidRPr="00976CF1">
        <w:rPr>
          <w:rFonts w:ascii="Times New Roman" w:eastAsia="Times New Roman" w:hAnsi="Times New Roman" w:cs="Times New Roman"/>
          <w:bCs/>
          <w:sz w:val="24"/>
          <w:szCs w:val="24"/>
        </w:rPr>
        <w:t xml:space="preserve"> Saraiva. Ed. Saraiva, 2014.</w:t>
      </w:r>
    </w:p>
    <w:p w:rsidR="00875A4C" w:rsidRDefault="00875A4C" w:rsidP="00875A4C">
      <w:pPr>
        <w:spacing w:after="0" w:line="240" w:lineRule="auto"/>
        <w:jc w:val="both"/>
        <w:rPr>
          <w:rFonts w:ascii="Times New Roman" w:eastAsia="Calibri" w:hAnsi="Times New Roman" w:cs="Times New Roman"/>
          <w:sz w:val="24"/>
          <w:szCs w:val="24"/>
        </w:rPr>
      </w:pPr>
      <w:r w:rsidRPr="00875A4C">
        <w:rPr>
          <w:rFonts w:ascii="Times New Roman" w:eastAsia="Calibri" w:hAnsi="Times New Roman" w:cs="Times New Roman"/>
          <w:sz w:val="24"/>
          <w:szCs w:val="24"/>
        </w:rPr>
        <w:t xml:space="preserve">BRASIL. </w:t>
      </w:r>
      <w:r w:rsidRPr="008D5147">
        <w:rPr>
          <w:rFonts w:ascii="Times New Roman" w:eastAsia="Calibri" w:hAnsi="Times New Roman" w:cs="Times New Roman"/>
          <w:b/>
          <w:sz w:val="24"/>
          <w:szCs w:val="24"/>
        </w:rPr>
        <w:t>Lei n. 5.172</w:t>
      </w:r>
      <w:r w:rsidRPr="00875A4C">
        <w:rPr>
          <w:rFonts w:ascii="Times New Roman" w:eastAsia="Calibri" w:hAnsi="Times New Roman" w:cs="Times New Roman"/>
          <w:sz w:val="24"/>
          <w:szCs w:val="24"/>
        </w:rPr>
        <w:t>, de 25 de Outubro de 1966. Dispõe sobre o Sistema Tributário Nacional e institui normas gerais de direito tributário aplicáveis à União, Estados e Municípios. Disponível na internet: http://www.planalto.gov.br/ccivil_03/leis/l5172.htm. Acesso em: 20 mar. 2015.</w:t>
      </w:r>
    </w:p>
    <w:p w:rsidR="00875A4C" w:rsidRPr="00976CF1" w:rsidRDefault="00875A4C" w:rsidP="00875A4C">
      <w:pPr>
        <w:spacing w:after="0" w:line="240" w:lineRule="auto"/>
        <w:jc w:val="both"/>
        <w:rPr>
          <w:rFonts w:ascii="Times New Roman" w:eastAsia="Calibri" w:hAnsi="Times New Roman" w:cs="Times New Roman"/>
          <w:sz w:val="24"/>
          <w:szCs w:val="24"/>
        </w:rPr>
      </w:pPr>
    </w:p>
    <w:p w:rsidR="00B30FB0" w:rsidRPr="00976CF1" w:rsidRDefault="00B30FB0" w:rsidP="00B30FB0">
      <w:pPr>
        <w:spacing w:after="240" w:line="240" w:lineRule="auto"/>
        <w:jc w:val="both"/>
        <w:rPr>
          <w:rFonts w:ascii="Times New Roman" w:eastAsia="Times New Roman" w:hAnsi="Times New Roman" w:cs="Times New Roman"/>
          <w:bCs/>
          <w:sz w:val="24"/>
          <w:szCs w:val="24"/>
        </w:rPr>
      </w:pPr>
      <w:r w:rsidRPr="00B30FB0">
        <w:rPr>
          <w:rFonts w:ascii="Times New Roman" w:eastAsia="Times New Roman" w:hAnsi="Times New Roman" w:cs="Times New Roman"/>
          <w:bCs/>
          <w:sz w:val="24"/>
          <w:szCs w:val="24"/>
        </w:rPr>
        <w:t xml:space="preserve">CAMPOS, Diogo Fontes dos Reis Costa Pires de. O ITBI na compra e venda de imóveis. </w:t>
      </w:r>
      <w:r w:rsidRPr="00B30FB0">
        <w:rPr>
          <w:rFonts w:ascii="Times New Roman" w:eastAsia="Times New Roman" w:hAnsi="Times New Roman" w:cs="Times New Roman"/>
          <w:b/>
          <w:bCs/>
          <w:sz w:val="24"/>
          <w:szCs w:val="24"/>
        </w:rPr>
        <w:t xml:space="preserve">Jus </w:t>
      </w:r>
      <w:proofErr w:type="spellStart"/>
      <w:r w:rsidRPr="00B30FB0">
        <w:rPr>
          <w:rFonts w:ascii="Times New Roman" w:eastAsia="Times New Roman" w:hAnsi="Times New Roman" w:cs="Times New Roman"/>
          <w:b/>
          <w:bCs/>
          <w:sz w:val="24"/>
          <w:szCs w:val="24"/>
        </w:rPr>
        <w:t>Navigandi</w:t>
      </w:r>
      <w:proofErr w:type="spellEnd"/>
      <w:r w:rsidRPr="00B30FB0">
        <w:rPr>
          <w:rFonts w:ascii="Times New Roman" w:eastAsia="Times New Roman" w:hAnsi="Times New Roman" w:cs="Times New Roman"/>
          <w:bCs/>
          <w:sz w:val="24"/>
          <w:szCs w:val="24"/>
        </w:rPr>
        <w:t>, Teresina, ano 17, n. 3132, 28 jan. 2012. Disponível em: &lt;http://jus.com.br/revista/texto/20960&gt;. Acesso em: 30 jan. 2012.</w:t>
      </w:r>
    </w:p>
    <w:p w:rsidR="00B37FC0" w:rsidRPr="00976CF1" w:rsidRDefault="00B37FC0" w:rsidP="00B30FB0">
      <w:pPr>
        <w:spacing w:after="240" w:line="240" w:lineRule="auto"/>
        <w:jc w:val="both"/>
        <w:rPr>
          <w:rFonts w:ascii="Times New Roman" w:eastAsia="Calibri" w:hAnsi="Times New Roman" w:cs="Times New Roman"/>
          <w:sz w:val="24"/>
          <w:szCs w:val="24"/>
        </w:rPr>
      </w:pPr>
      <w:r w:rsidRPr="00976CF1">
        <w:rPr>
          <w:rFonts w:ascii="Times New Roman" w:hAnsi="Times New Roman" w:cs="Times New Roman"/>
          <w:sz w:val="24"/>
          <w:szCs w:val="24"/>
        </w:rPr>
        <w:t xml:space="preserve">CARVALHO, Aurora </w:t>
      </w:r>
      <w:proofErr w:type="spellStart"/>
      <w:r w:rsidRPr="00976CF1">
        <w:rPr>
          <w:rFonts w:ascii="Times New Roman" w:hAnsi="Times New Roman" w:cs="Times New Roman"/>
          <w:sz w:val="24"/>
          <w:szCs w:val="24"/>
        </w:rPr>
        <w:t>Tomazini</w:t>
      </w:r>
      <w:proofErr w:type="spellEnd"/>
      <w:r w:rsidRPr="00976CF1">
        <w:rPr>
          <w:rFonts w:ascii="Times New Roman" w:hAnsi="Times New Roman" w:cs="Times New Roman"/>
          <w:sz w:val="24"/>
          <w:szCs w:val="24"/>
        </w:rPr>
        <w:t xml:space="preserve"> de. </w:t>
      </w:r>
      <w:r w:rsidRPr="00976CF1">
        <w:rPr>
          <w:rFonts w:ascii="Times New Roman" w:hAnsi="Times New Roman" w:cs="Times New Roman"/>
          <w:b/>
          <w:sz w:val="24"/>
          <w:szCs w:val="24"/>
        </w:rPr>
        <w:t xml:space="preserve">Teoria Geral do Direito (o construtivismo lógico-semântico).  </w:t>
      </w:r>
      <w:r w:rsidRPr="00976CF1">
        <w:rPr>
          <w:rFonts w:ascii="Times New Roman" w:hAnsi="Times New Roman" w:cs="Times New Roman"/>
          <w:sz w:val="24"/>
          <w:szCs w:val="24"/>
        </w:rPr>
        <w:t xml:space="preserve">São Paulo: PUC, 2009. 623 p. Tese de Doutorado em </w:t>
      </w:r>
      <w:proofErr w:type="spellStart"/>
      <w:r w:rsidRPr="00976CF1">
        <w:rPr>
          <w:rFonts w:ascii="Times New Roman" w:hAnsi="Times New Roman" w:cs="Times New Roman"/>
          <w:sz w:val="24"/>
          <w:szCs w:val="24"/>
        </w:rPr>
        <w:t>Filosia</w:t>
      </w:r>
      <w:proofErr w:type="spellEnd"/>
      <w:r w:rsidRPr="00976CF1">
        <w:rPr>
          <w:rFonts w:ascii="Times New Roman" w:hAnsi="Times New Roman" w:cs="Times New Roman"/>
          <w:sz w:val="24"/>
          <w:szCs w:val="24"/>
        </w:rPr>
        <w:t xml:space="preserve"> do </w:t>
      </w:r>
      <w:proofErr w:type="gramStart"/>
      <w:r w:rsidRPr="00976CF1">
        <w:rPr>
          <w:rFonts w:ascii="Times New Roman" w:hAnsi="Times New Roman" w:cs="Times New Roman"/>
          <w:sz w:val="24"/>
          <w:szCs w:val="24"/>
        </w:rPr>
        <w:t>Direito –Pontifícia</w:t>
      </w:r>
      <w:proofErr w:type="gramEnd"/>
      <w:r w:rsidRPr="00976CF1">
        <w:rPr>
          <w:rFonts w:ascii="Times New Roman" w:hAnsi="Times New Roman" w:cs="Times New Roman"/>
          <w:sz w:val="24"/>
          <w:szCs w:val="24"/>
        </w:rPr>
        <w:t xml:space="preserve"> Universidade Católica de São Paulo, São Paulo, 2009;</w:t>
      </w:r>
    </w:p>
    <w:p w:rsidR="00B37FC0" w:rsidRDefault="00B37FC0" w:rsidP="00B37FC0">
      <w:pPr>
        <w:spacing w:after="240" w:line="240" w:lineRule="auto"/>
        <w:jc w:val="both"/>
        <w:rPr>
          <w:rFonts w:ascii="Times New Roman" w:eastAsia="Calibri" w:hAnsi="Times New Roman" w:cs="Times New Roman"/>
          <w:sz w:val="24"/>
          <w:szCs w:val="24"/>
        </w:rPr>
      </w:pPr>
      <w:r w:rsidRPr="00976CF1">
        <w:rPr>
          <w:rFonts w:ascii="Times New Roman" w:eastAsia="Calibri" w:hAnsi="Times New Roman" w:cs="Times New Roman"/>
          <w:sz w:val="24"/>
          <w:szCs w:val="24"/>
        </w:rPr>
        <w:t xml:space="preserve">OLIVEIRA, Alexandre Machado de. Imunidade tributária. In: </w:t>
      </w:r>
      <w:r w:rsidRPr="000D2541">
        <w:rPr>
          <w:rFonts w:ascii="Times New Roman" w:eastAsia="Calibri" w:hAnsi="Times New Roman" w:cs="Times New Roman"/>
          <w:b/>
          <w:sz w:val="24"/>
          <w:szCs w:val="24"/>
        </w:rPr>
        <w:t>Âmbito Jurídico</w:t>
      </w:r>
      <w:r w:rsidRPr="00976CF1">
        <w:rPr>
          <w:rFonts w:ascii="Times New Roman" w:eastAsia="Calibri" w:hAnsi="Times New Roman" w:cs="Times New Roman"/>
          <w:sz w:val="24"/>
          <w:szCs w:val="24"/>
        </w:rPr>
        <w:t xml:space="preserve">, Rio Grande, XIII, n. 77, </w:t>
      </w:r>
      <w:proofErr w:type="spellStart"/>
      <w:r w:rsidRPr="00976CF1">
        <w:rPr>
          <w:rFonts w:ascii="Times New Roman" w:eastAsia="Calibri" w:hAnsi="Times New Roman" w:cs="Times New Roman"/>
          <w:sz w:val="24"/>
          <w:szCs w:val="24"/>
        </w:rPr>
        <w:t>jun</w:t>
      </w:r>
      <w:proofErr w:type="spellEnd"/>
      <w:r w:rsidRPr="00976CF1">
        <w:rPr>
          <w:rFonts w:ascii="Times New Roman" w:eastAsia="Calibri" w:hAnsi="Times New Roman" w:cs="Times New Roman"/>
          <w:sz w:val="24"/>
          <w:szCs w:val="24"/>
        </w:rPr>
        <w:t xml:space="preserve"> 2010. Disponível em: &lt;</w:t>
      </w:r>
      <w:proofErr w:type="gramStart"/>
      <w:r w:rsidRPr="00976CF1">
        <w:rPr>
          <w:rFonts w:ascii="Times New Roman" w:eastAsia="Calibri" w:hAnsi="Times New Roman" w:cs="Times New Roman"/>
          <w:sz w:val="24"/>
          <w:szCs w:val="24"/>
        </w:rPr>
        <w:t>http://www.ambito-juridico.com.br/site/index.</w:t>
      </w:r>
      <w:proofErr w:type="gramEnd"/>
      <w:r w:rsidRPr="00976CF1">
        <w:rPr>
          <w:rFonts w:ascii="Times New Roman" w:eastAsia="Calibri" w:hAnsi="Times New Roman" w:cs="Times New Roman"/>
          <w:sz w:val="24"/>
          <w:szCs w:val="24"/>
        </w:rPr>
        <w:t>php?</w:t>
      </w:r>
      <w:proofErr w:type="gramStart"/>
      <w:r w:rsidRPr="00976CF1">
        <w:rPr>
          <w:rFonts w:ascii="Times New Roman" w:eastAsia="Calibri" w:hAnsi="Times New Roman" w:cs="Times New Roman"/>
          <w:sz w:val="24"/>
          <w:szCs w:val="24"/>
        </w:rPr>
        <w:t>n_link</w:t>
      </w:r>
      <w:proofErr w:type="gramEnd"/>
      <w:r w:rsidRPr="00976CF1">
        <w:rPr>
          <w:rFonts w:ascii="Times New Roman" w:eastAsia="Calibri" w:hAnsi="Times New Roman" w:cs="Times New Roman"/>
          <w:sz w:val="24"/>
          <w:szCs w:val="24"/>
        </w:rPr>
        <w:t xml:space="preserve">=revista_artigos_leitura&amp;artigo_id=7865&gt;. Acesso em </w:t>
      </w:r>
      <w:r>
        <w:rPr>
          <w:rFonts w:ascii="Times New Roman" w:eastAsia="Calibri" w:hAnsi="Times New Roman" w:cs="Times New Roman"/>
          <w:sz w:val="24"/>
          <w:szCs w:val="24"/>
        </w:rPr>
        <w:t>20 mar. 2015.</w:t>
      </w:r>
    </w:p>
    <w:p w:rsidR="00B37FC0" w:rsidRDefault="00B37FC0" w:rsidP="00670645">
      <w:pPr>
        <w:spacing w:after="240" w:line="240" w:lineRule="auto"/>
        <w:jc w:val="both"/>
        <w:rPr>
          <w:rFonts w:ascii="Times New Roman" w:eastAsia="Calibri" w:hAnsi="Times New Roman" w:cs="Times New Roman"/>
          <w:sz w:val="24"/>
          <w:szCs w:val="24"/>
        </w:rPr>
      </w:pPr>
      <w:r w:rsidRPr="00976CF1">
        <w:rPr>
          <w:rFonts w:ascii="Times New Roman" w:eastAsia="Calibri" w:hAnsi="Times New Roman" w:cs="Times New Roman"/>
          <w:sz w:val="24"/>
          <w:szCs w:val="24"/>
        </w:rPr>
        <w:t xml:space="preserve">SABBAG, Eduardo. </w:t>
      </w:r>
      <w:r w:rsidRPr="00976CF1">
        <w:rPr>
          <w:rFonts w:ascii="Times New Roman" w:eastAsia="Calibri" w:hAnsi="Times New Roman" w:cs="Times New Roman"/>
          <w:b/>
          <w:sz w:val="24"/>
          <w:szCs w:val="24"/>
        </w:rPr>
        <w:t>Manual de Direito Tributário.</w:t>
      </w:r>
      <w:r w:rsidRPr="00976CF1">
        <w:rPr>
          <w:rFonts w:ascii="Times New Roman" w:eastAsia="Calibri" w:hAnsi="Times New Roman" w:cs="Times New Roman"/>
          <w:sz w:val="24"/>
          <w:szCs w:val="24"/>
        </w:rPr>
        <w:t xml:space="preserve"> </w:t>
      </w:r>
      <w:r w:rsidR="00B30FB0">
        <w:rPr>
          <w:rFonts w:ascii="Times New Roman" w:eastAsia="Calibri" w:hAnsi="Times New Roman" w:cs="Times New Roman"/>
          <w:sz w:val="24"/>
          <w:szCs w:val="24"/>
        </w:rPr>
        <w:t>6ª</w:t>
      </w:r>
      <w:r w:rsidRPr="00976CF1">
        <w:rPr>
          <w:rFonts w:ascii="Times New Roman" w:eastAsia="Calibri" w:hAnsi="Times New Roman" w:cs="Times New Roman"/>
          <w:sz w:val="24"/>
          <w:szCs w:val="24"/>
        </w:rPr>
        <w:t xml:space="preserve"> ed. São Paulo: Editora </w:t>
      </w:r>
      <w:proofErr w:type="gramStart"/>
      <w:r w:rsidRPr="00976CF1">
        <w:rPr>
          <w:rFonts w:ascii="Times New Roman" w:eastAsia="Calibri" w:hAnsi="Times New Roman" w:cs="Times New Roman"/>
          <w:sz w:val="24"/>
          <w:szCs w:val="24"/>
        </w:rPr>
        <w:t>Saraiva,</w:t>
      </w:r>
      <w:proofErr w:type="gramEnd"/>
      <w:r w:rsidRPr="00976CF1">
        <w:rPr>
          <w:rFonts w:ascii="Times New Roman" w:eastAsia="Calibri" w:hAnsi="Times New Roman" w:cs="Times New Roman"/>
          <w:sz w:val="24"/>
          <w:szCs w:val="24"/>
        </w:rPr>
        <w:t xml:space="preserve"> 201</w:t>
      </w:r>
      <w:r w:rsidR="00B30FB0">
        <w:rPr>
          <w:rFonts w:ascii="Times New Roman" w:eastAsia="Calibri" w:hAnsi="Times New Roman" w:cs="Times New Roman"/>
          <w:sz w:val="24"/>
          <w:szCs w:val="24"/>
        </w:rPr>
        <w:t>4</w:t>
      </w:r>
      <w:r w:rsidRPr="00976CF1">
        <w:rPr>
          <w:rFonts w:ascii="Times New Roman" w:eastAsia="Calibri" w:hAnsi="Times New Roman" w:cs="Times New Roman"/>
          <w:sz w:val="24"/>
          <w:szCs w:val="24"/>
        </w:rPr>
        <w:t>.</w:t>
      </w:r>
    </w:p>
    <w:p w:rsidR="00670645" w:rsidRDefault="00670645" w:rsidP="00670645">
      <w:pPr>
        <w:spacing w:after="240" w:line="240" w:lineRule="auto"/>
        <w:jc w:val="both"/>
        <w:rPr>
          <w:rFonts w:ascii="Times New Roman" w:eastAsia="Calibri" w:hAnsi="Times New Roman" w:cs="Times New Roman"/>
          <w:sz w:val="24"/>
          <w:szCs w:val="24"/>
        </w:rPr>
      </w:pPr>
      <w:r w:rsidRPr="00976CF1">
        <w:rPr>
          <w:rFonts w:ascii="Times New Roman" w:eastAsia="Calibri" w:hAnsi="Times New Roman" w:cs="Times New Roman"/>
          <w:sz w:val="24"/>
          <w:szCs w:val="24"/>
        </w:rPr>
        <w:t xml:space="preserve">SABBAG, Eduardo. </w:t>
      </w:r>
      <w:r>
        <w:rPr>
          <w:rFonts w:ascii="Times New Roman" w:eastAsia="Calibri" w:hAnsi="Times New Roman" w:cs="Times New Roman"/>
          <w:b/>
          <w:sz w:val="24"/>
          <w:szCs w:val="24"/>
        </w:rPr>
        <w:t>Interpretação e Integração da Legislação Tributária</w:t>
      </w:r>
      <w:r w:rsidRPr="00976CF1">
        <w:rPr>
          <w:rFonts w:ascii="Times New Roman" w:eastAsia="Calibri" w:hAnsi="Times New Roman" w:cs="Times New Roman"/>
          <w:b/>
          <w:sz w:val="24"/>
          <w:szCs w:val="24"/>
        </w:rPr>
        <w:t>.</w:t>
      </w:r>
      <w:r w:rsidRPr="00976CF1">
        <w:rPr>
          <w:rFonts w:ascii="Times New Roman" w:eastAsia="Calibri" w:hAnsi="Times New Roman" w:cs="Times New Roman"/>
          <w:sz w:val="24"/>
          <w:szCs w:val="24"/>
        </w:rPr>
        <w:t xml:space="preserve"> 201</w:t>
      </w:r>
      <w:r w:rsidR="008D5147">
        <w:rPr>
          <w:rFonts w:ascii="Times New Roman" w:eastAsia="Calibri" w:hAnsi="Times New Roman" w:cs="Times New Roman"/>
          <w:sz w:val="24"/>
          <w:szCs w:val="24"/>
        </w:rPr>
        <w:t>3</w:t>
      </w:r>
      <w:r w:rsidRPr="00976CF1">
        <w:rPr>
          <w:rFonts w:ascii="Times New Roman" w:eastAsia="Calibri" w:hAnsi="Times New Roman" w:cs="Times New Roman"/>
          <w:sz w:val="24"/>
          <w:szCs w:val="24"/>
        </w:rPr>
        <w:t>.</w:t>
      </w:r>
      <w:r w:rsidR="008D5147">
        <w:rPr>
          <w:rFonts w:ascii="Times New Roman" w:eastAsia="Calibri" w:hAnsi="Times New Roman" w:cs="Times New Roman"/>
          <w:sz w:val="24"/>
          <w:szCs w:val="24"/>
        </w:rPr>
        <w:t xml:space="preserve"> Disponível em:&lt; </w:t>
      </w:r>
      <w:hyperlink r:id="rId9" w:history="1">
        <w:r w:rsidR="008D5147" w:rsidRPr="008D5147">
          <w:rPr>
            <w:rStyle w:val="Hyperlink"/>
            <w:rFonts w:ascii="Times New Roman" w:eastAsia="Calibri" w:hAnsi="Times New Roman" w:cs="Times New Roman"/>
            <w:color w:val="000000" w:themeColor="text1"/>
            <w:sz w:val="24"/>
            <w:szCs w:val="24"/>
            <w:u w:val="none"/>
          </w:rPr>
          <w:t>http://eduardosabbag.jusbrasil.com.br/artigos/121933898/interpretacao-e-integracao-da-legislacao-tributaria</w:t>
        </w:r>
      </w:hyperlink>
      <w:r w:rsidR="008D5147">
        <w:rPr>
          <w:rFonts w:ascii="Times New Roman" w:eastAsia="Calibri" w:hAnsi="Times New Roman" w:cs="Times New Roman"/>
          <w:sz w:val="24"/>
          <w:szCs w:val="24"/>
        </w:rPr>
        <w:t xml:space="preserve">. Acesso em: </w:t>
      </w:r>
      <w:proofErr w:type="gramStart"/>
      <w:r w:rsidR="008D5147">
        <w:rPr>
          <w:rFonts w:ascii="Times New Roman" w:eastAsia="Calibri" w:hAnsi="Times New Roman" w:cs="Times New Roman"/>
          <w:sz w:val="24"/>
          <w:szCs w:val="24"/>
        </w:rPr>
        <w:t>23 Mar 2015</w:t>
      </w:r>
      <w:proofErr w:type="gramEnd"/>
      <w:r w:rsidR="008D5147">
        <w:rPr>
          <w:rFonts w:ascii="Times New Roman" w:eastAsia="Calibri" w:hAnsi="Times New Roman" w:cs="Times New Roman"/>
          <w:sz w:val="24"/>
          <w:szCs w:val="24"/>
        </w:rPr>
        <w:t>.</w:t>
      </w:r>
    </w:p>
    <w:p w:rsidR="00295E61" w:rsidRPr="00976CF1" w:rsidRDefault="00295E61" w:rsidP="00295E61">
      <w:pPr>
        <w:spacing w:after="24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SÃO LUÍS</w:t>
      </w:r>
      <w:r w:rsidRPr="00976CF1">
        <w:rPr>
          <w:rFonts w:ascii="Times New Roman" w:hAnsi="Times New Roman" w:cs="Times New Roman"/>
          <w:sz w:val="24"/>
          <w:szCs w:val="24"/>
          <w:shd w:val="clear" w:color="auto" w:fill="FFFFFF"/>
        </w:rPr>
        <w:t xml:space="preserve">. </w:t>
      </w:r>
      <w:r w:rsidRPr="00976CF1">
        <w:rPr>
          <w:rFonts w:ascii="Times New Roman" w:hAnsi="Times New Roman" w:cs="Times New Roman"/>
          <w:b/>
          <w:sz w:val="24"/>
          <w:szCs w:val="24"/>
          <w:shd w:val="clear" w:color="auto" w:fill="FFFFFF"/>
        </w:rPr>
        <w:t>Lei n. 5</w:t>
      </w:r>
      <w:r>
        <w:rPr>
          <w:rFonts w:ascii="Times New Roman" w:hAnsi="Times New Roman" w:cs="Times New Roman"/>
          <w:b/>
          <w:sz w:val="24"/>
          <w:szCs w:val="24"/>
          <w:shd w:val="clear" w:color="auto" w:fill="FFFFFF"/>
        </w:rPr>
        <w:t>.582</w:t>
      </w:r>
      <w:r w:rsidRPr="00976CF1">
        <w:rPr>
          <w:rFonts w:ascii="Times New Roman" w:hAnsi="Times New Roman" w:cs="Times New Roman"/>
          <w:b/>
          <w:sz w:val="24"/>
          <w:szCs w:val="24"/>
          <w:shd w:val="clear" w:color="auto" w:fill="FFFFFF"/>
        </w:rPr>
        <w:t>,</w:t>
      </w:r>
      <w:r>
        <w:rPr>
          <w:rFonts w:ascii="Times New Roman" w:hAnsi="Times New Roman" w:cs="Times New Roman"/>
          <w:sz w:val="24"/>
          <w:szCs w:val="24"/>
          <w:shd w:val="clear" w:color="auto" w:fill="FFFFFF"/>
        </w:rPr>
        <w:t xml:space="preserve"> de 20 de Dezembro de 2013</w:t>
      </w:r>
      <w:r w:rsidRPr="00976CF1">
        <w:rPr>
          <w:rFonts w:ascii="Times New Roman" w:hAnsi="Times New Roman" w:cs="Times New Roman"/>
          <w:sz w:val="24"/>
          <w:szCs w:val="24"/>
          <w:shd w:val="clear" w:color="auto" w:fill="FFFFFF"/>
        </w:rPr>
        <w:t xml:space="preserve">. </w:t>
      </w:r>
      <w:r w:rsidR="0065230C" w:rsidRPr="0065230C">
        <w:rPr>
          <w:rFonts w:ascii="Times New Roman" w:hAnsi="Times New Roman" w:cs="Times New Roman"/>
          <w:sz w:val="24"/>
          <w:szCs w:val="24"/>
          <w:shd w:val="clear" w:color="auto" w:fill="FFFFFF"/>
        </w:rPr>
        <w:t xml:space="preserve">Estabelece regras para lançamento e arrecadação do Imposto Sobre Transmissão de Bens Imóveis por ato oneroso </w:t>
      </w:r>
      <w:proofErr w:type="spellStart"/>
      <w:proofErr w:type="gramStart"/>
      <w:r w:rsidR="0065230C" w:rsidRPr="0065230C">
        <w:rPr>
          <w:rFonts w:ascii="Times New Roman" w:hAnsi="Times New Roman" w:cs="Times New Roman"/>
          <w:sz w:val="24"/>
          <w:szCs w:val="24"/>
          <w:shd w:val="clear" w:color="auto" w:fill="FFFFFF"/>
        </w:rPr>
        <w:t>inter</w:t>
      </w:r>
      <w:proofErr w:type="spellEnd"/>
      <w:r w:rsidR="0065230C" w:rsidRPr="0065230C">
        <w:rPr>
          <w:rFonts w:ascii="Times New Roman" w:hAnsi="Times New Roman" w:cs="Times New Roman"/>
          <w:sz w:val="24"/>
          <w:szCs w:val="24"/>
          <w:shd w:val="clear" w:color="auto" w:fill="FFFFFF"/>
        </w:rPr>
        <w:t xml:space="preserve"> vivos</w:t>
      </w:r>
      <w:proofErr w:type="gramEnd"/>
      <w:r w:rsidR="0065230C" w:rsidRPr="0065230C">
        <w:rPr>
          <w:rFonts w:ascii="Times New Roman" w:hAnsi="Times New Roman" w:cs="Times New Roman"/>
          <w:sz w:val="24"/>
          <w:szCs w:val="24"/>
          <w:shd w:val="clear" w:color="auto" w:fill="FFFFFF"/>
        </w:rPr>
        <w:t xml:space="preserve"> no Município de São Luís; cria isenções, prevê desconto e parcelamento e obriga o uso do sistema ITBI-e, e dá outras providências</w:t>
      </w:r>
      <w:r w:rsidRPr="00976CF1">
        <w:rPr>
          <w:rFonts w:ascii="Times New Roman" w:hAnsi="Times New Roman" w:cs="Times New Roman"/>
          <w:sz w:val="24"/>
          <w:szCs w:val="24"/>
          <w:shd w:val="clear" w:color="auto" w:fill="FFFFFF"/>
        </w:rPr>
        <w:t xml:space="preserve">. Disponível na internet: </w:t>
      </w:r>
      <w:r w:rsidR="0065230C" w:rsidRPr="0065230C">
        <w:rPr>
          <w:rFonts w:ascii="Times New Roman" w:hAnsi="Times New Roman" w:cs="Times New Roman"/>
          <w:sz w:val="24"/>
          <w:szCs w:val="24"/>
          <w:shd w:val="clear" w:color="auto" w:fill="FFFFFF"/>
        </w:rPr>
        <w:t>http://www.legisweb.com.br/legislacao/?</w:t>
      </w:r>
      <w:proofErr w:type="gramStart"/>
      <w:r w:rsidR="0065230C" w:rsidRPr="0065230C">
        <w:rPr>
          <w:rFonts w:ascii="Times New Roman" w:hAnsi="Times New Roman" w:cs="Times New Roman"/>
          <w:sz w:val="24"/>
          <w:szCs w:val="24"/>
          <w:shd w:val="clear" w:color="auto" w:fill="FFFFFF"/>
        </w:rPr>
        <w:t>id</w:t>
      </w:r>
      <w:proofErr w:type="gramEnd"/>
      <w:r w:rsidR="0065230C" w:rsidRPr="0065230C">
        <w:rPr>
          <w:rFonts w:ascii="Times New Roman" w:hAnsi="Times New Roman" w:cs="Times New Roman"/>
          <w:sz w:val="24"/>
          <w:szCs w:val="24"/>
          <w:shd w:val="clear" w:color="auto" w:fill="FFFFFF"/>
        </w:rPr>
        <w:t>=264248</w:t>
      </w:r>
      <w:r w:rsidRPr="00976CF1">
        <w:rPr>
          <w:rFonts w:ascii="Times New Roman" w:hAnsi="Times New Roman" w:cs="Times New Roman"/>
          <w:sz w:val="24"/>
          <w:szCs w:val="24"/>
          <w:shd w:val="clear" w:color="auto" w:fill="FFFFFF"/>
        </w:rPr>
        <w:t>.</w:t>
      </w:r>
    </w:p>
    <w:p w:rsidR="00B5258A" w:rsidRPr="00976CF1" w:rsidRDefault="00B5258A" w:rsidP="00B5258A">
      <w:pPr>
        <w:spacing w:after="240" w:line="240" w:lineRule="auto"/>
        <w:jc w:val="both"/>
        <w:rPr>
          <w:rFonts w:ascii="Times New Roman" w:eastAsia="Times New Roman" w:hAnsi="Times New Roman" w:cs="Times New Roman"/>
          <w:bCs/>
          <w:sz w:val="24"/>
          <w:szCs w:val="24"/>
        </w:rPr>
      </w:pPr>
      <w:r w:rsidRPr="00976CF1">
        <w:rPr>
          <w:rFonts w:ascii="Times New Roman" w:eastAsia="Times New Roman" w:hAnsi="Times New Roman" w:cs="Times New Roman"/>
          <w:bCs/>
          <w:sz w:val="24"/>
          <w:szCs w:val="24"/>
        </w:rPr>
        <w:t xml:space="preserve">SANTA CATARINA. Tribunal de Justiça. Apelação Cível em Mandado de Segurança </w:t>
      </w:r>
      <w:r w:rsidRPr="000D2541">
        <w:rPr>
          <w:rFonts w:ascii="Times New Roman" w:eastAsia="Times New Roman" w:hAnsi="Times New Roman" w:cs="Times New Roman"/>
          <w:b/>
          <w:bCs/>
          <w:sz w:val="24"/>
          <w:szCs w:val="24"/>
        </w:rPr>
        <w:t xml:space="preserve">n. 2011.073712-5. </w:t>
      </w:r>
      <w:r w:rsidRPr="00976CF1">
        <w:rPr>
          <w:rFonts w:ascii="Times New Roman" w:eastAsia="Times New Roman" w:hAnsi="Times New Roman" w:cs="Times New Roman"/>
          <w:bCs/>
          <w:sz w:val="24"/>
          <w:szCs w:val="24"/>
        </w:rPr>
        <w:t xml:space="preserve">Apelante: Município de São João Batista. Apelado: </w:t>
      </w:r>
      <w:proofErr w:type="spellStart"/>
      <w:r w:rsidRPr="00976CF1">
        <w:rPr>
          <w:rFonts w:ascii="Times New Roman" w:eastAsia="Times New Roman" w:hAnsi="Times New Roman" w:cs="Times New Roman"/>
          <w:bCs/>
          <w:sz w:val="24"/>
          <w:szCs w:val="24"/>
        </w:rPr>
        <w:t>Lusframa</w:t>
      </w:r>
      <w:proofErr w:type="spellEnd"/>
      <w:r w:rsidRPr="00976CF1">
        <w:rPr>
          <w:rFonts w:ascii="Times New Roman" w:eastAsia="Times New Roman" w:hAnsi="Times New Roman" w:cs="Times New Roman"/>
          <w:bCs/>
          <w:sz w:val="24"/>
          <w:szCs w:val="24"/>
        </w:rPr>
        <w:t xml:space="preserve"> Participações Societárias LTDA. Relator: Des. Jaime Ramos. Data de Julgamento: 17/05/2012. São João Batista. Data de </w:t>
      </w:r>
      <w:proofErr w:type="spellStart"/>
      <w:r w:rsidRPr="00976CF1">
        <w:rPr>
          <w:rFonts w:ascii="Times New Roman" w:eastAsia="Times New Roman" w:hAnsi="Times New Roman" w:cs="Times New Roman"/>
          <w:bCs/>
          <w:sz w:val="24"/>
          <w:szCs w:val="24"/>
        </w:rPr>
        <w:t>Pubilicação</w:t>
      </w:r>
      <w:proofErr w:type="spellEnd"/>
      <w:r w:rsidRPr="00976CF1">
        <w:rPr>
          <w:rFonts w:ascii="Times New Roman" w:eastAsia="Times New Roman" w:hAnsi="Times New Roman" w:cs="Times New Roman"/>
          <w:bCs/>
          <w:sz w:val="24"/>
          <w:szCs w:val="24"/>
        </w:rPr>
        <w:t>: 25/05/2012. Disponível em: file:///C:/Users/USUARIO/Downloads/apela%C3%83%C2%A7%C3%83%C2%A3o.pdf. Acesso em: 21 mar. 2015.</w:t>
      </w:r>
    </w:p>
    <w:p w:rsidR="00E77EDF" w:rsidRPr="000F6915" w:rsidRDefault="00B5258A" w:rsidP="00B5258A">
      <w:pPr>
        <w:spacing w:after="0" w:line="240" w:lineRule="auto"/>
        <w:jc w:val="both"/>
        <w:rPr>
          <w:rFonts w:ascii="Times New Roman" w:hAnsi="Times New Roman" w:cs="Times New Roman"/>
          <w:sz w:val="24"/>
          <w:szCs w:val="24"/>
        </w:rPr>
      </w:pPr>
      <w:r w:rsidRPr="00976CF1">
        <w:rPr>
          <w:rFonts w:ascii="Times New Roman" w:hAnsi="Times New Roman" w:cs="Times New Roman"/>
          <w:sz w:val="24"/>
          <w:szCs w:val="24"/>
          <w:shd w:val="clear" w:color="auto" w:fill="FFFFFF"/>
        </w:rPr>
        <w:t xml:space="preserve">SOUZA, Cristiano </w:t>
      </w:r>
      <w:proofErr w:type="spellStart"/>
      <w:r w:rsidRPr="00976CF1">
        <w:rPr>
          <w:rFonts w:ascii="Times New Roman" w:hAnsi="Times New Roman" w:cs="Times New Roman"/>
          <w:sz w:val="24"/>
          <w:szCs w:val="24"/>
          <w:shd w:val="clear" w:color="auto" w:fill="FFFFFF"/>
        </w:rPr>
        <w:t>Silvestrin</w:t>
      </w:r>
      <w:proofErr w:type="spellEnd"/>
      <w:r w:rsidRPr="00976CF1">
        <w:rPr>
          <w:rFonts w:ascii="Times New Roman" w:hAnsi="Times New Roman" w:cs="Times New Roman"/>
          <w:sz w:val="24"/>
          <w:szCs w:val="24"/>
          <w:shd w:val="clear" w:color="auto" w:fill="FFFFFF"/>
        </w:rPr>
        <w:t xml:space="preserve"> de. </w:t>
      </w:r>
      <w:r w:rsidRPr="00B5258A">
        <w:rPr>
          <w:rFonts w:ascii="Times New Roman" w:hAnsi="Times New Roman" w:cs="Times New Roman"/>
          <w:b/>
          <w:sz w:val="24"/>
          <w:szCs w:val="24"/>
          <w:shd w:val="clear" w:color="auto" w:fill="FFFFFF"/>
        </w:rPr>
        <w:t>Imposto sobre Transmissão de Bens Imóveis - ITBI: Regra Matriz de Incidência e Questões Controvertidas</w:t>
      </w:r>
      <w:r w:rsidRPr="00976CF1">
        <w:rPr>
          <w:rFonts w:ascii="Times New Roman" w:hAnsi="Times New Roman" w:cs="Times New Roman"/>
          <w:sz w:val="24"/>
          <w:szCs w:val="24"/>
          <w:shd w:val="clear" w:color="auto" w:fill="FFFFFF"/>
        </w:rPr>
        <w:t xml:space="preserve">. </w:t>
      </w:r>
      <w:proofErr w:type="spellStart"/>
      <w:r w:rsidRPr="00976CF1">
        <w:rPr>
          <w:rFonts w:ascii="Times New Roman" w:hAnsi="Times New Roman" w:cs="Times New Roman"/>
          <w:sz w:val="24"/>
          <w:szCs w:val="24"/>
          <w:shd w:val="clear" w:color="auto" w:fill="FFFFFF"/>
        </w:rPr>
        <w:t>Conteudo</w:t>
      </w:r>
      <w:proofErr w:type="spellEnd"/>
      <w:r w:rsidRPr="00976CF1">
        <w:rPr>
          <w:rFonts w:ascii="Times New Roman" w:hAnsi="Times New Roman" w:cs="Times New Roman"/>
          <w:sz w:val="24"/>
          <w:szCs w:val="24"/>
          <w:shd w:val="clear" w:color="auto" w:fill="FFFFFF"/>
        </w:rPr>
        <w:t xml:space="preserve"> </w:t>
      </w:r>
      <w:proofErr w:type="spellStart"/>
      <w:r w:rsidRPr="00976CF1">
        <w:rPr>
          <w:rFonts w:ascii="Times New Roman" w:hAnsi="Times New Roman" w:cs="Times New Roman"/>
          <w:sz w:val="24"/>
          <w:szCs w:val="24"/>
          <w:shd w:val="clear" w:color="auto" w:fill="FFFFFF"/>
        </w:rPr>
        <w:t>Juridico</w:t>
      </w:r>
      <w:proofErr w:type="spellEnd"/>
      <w:r w:rsidRPr="00976CF1">
        <w:rPr>
          <w:rFonts w:ascii="Times New Roman" w:hAnsi="Times New Roman" w:cs="Times New Roman"/>
          <w:sz w:val="24"/>
          <w:szCs w:val="24"/>
          <w:shd w:val="clear" w:color="auto" w:fill="FFFFFF"/>
        </w:rPr>
        <w:t xml:space="preserve">, </w:t>
      </w:r>
      <w:proofErr w:type="spellStart"/>
      <w:proofErr w:type="gramStart"/>
      <w:r w:rsidRPr="00976CF1">
        <w:rPr>
          <w:rFonts w:ascii="Times New Roman" w:hAnsi="Times New Roman" w:cs="Times New Roman"/>
          <w:sz w:val="24"/>
          <w:szCs w:val="24"/>
          <w:shd w:val="clear" w:color="auto" w:fill="FFFFFF"/>
        </w:rPr>
        <w:t>Brasilia</w:t>
      </w:r>
      <w:proofErr w:type="spellEnd"/>
      <w:r w:rsidRPr="00976CF1">
        <w:rPr>
          <w:rFonts w:ascii="Times New Roman" w:hAnsi="Times New Roman" w:cs="Times New Roman"/>
          <w:sz w:val="24"/>
          <w:szCs w:val="24"/>
          <w:shd w:val="clear" w:color="auto" w:fill="FFFFFF"/>
        </w:rPr>
        <w:t>-DF</w:t>
      </w:r>
      <w:proofErr w:type="gramEnd"/>
      <w:r w:rsidRPr="00976CF1">
        <w:rPr>
          <w:rFonts w:ascii="Times New Roman" w:hAnsi="Times New Roman" w:cs="Times New Roman"/>
          <w:sz w:val="24"/>
          <w:szCs w:val="24"/>
          <w:shd w:val="clear" w:color="auto" w:fill="FFFFFF"/>
        </w:rPr>
        <w:t xml:space="preserve">: 22 dez. 2014. </w:t>
      </w:r>
      <w:proofErr w:type="spellStart"/>
      <w:r w:rsidRPr="00976CF1">
        <w:rPr>
          <w:rFonts w:ascii="Times New Roman" w:hAnsi="Times New Roman" w:cs="Times New Roman"/>
          <w:sz w:val="24"/>
          <w:szCs w:val="24"/>
          <w:shd w:val="clear" w:color="auto" w:fill="FFFFFF"/>
        </w:rPr>
        <w:t>Disponivel</w:t>
      </w:r>
      <w:proofErr w:type="spellEnd"/>
      <w:r w:rsidRPr="00976CF1">
        <w:rPr>
          <w:rFonts w:ascii="Times New Roman" w:hAnsi="Times New Roman" w:cs="Times New Roman"/>
          <w:sz w:val="24"/>
          <w:szCs w:val="24"/>
          <w:shd w:val="clear" w:color="auto" w:fill="FFFFFF"/>
        </w:rPr>
        <w:t xml:space="preserve"> em: &lt;http://www.conteudojuridico.com.br/?</w:t>
      </w:r>
      <w:proofErr w:type="gramStart"/>
      <w:r w:rsidRPr="00976CF1">
        <w:rPr>
          <w:rFonts w:ascii="Times New Roman" w:hAnsi="Times New Roman" w:cs="Times New Roman"/>
          <w:sz w:val="24"/>
          <w:szCs w:val="24"/>
          <w:shd w:val="clear" w:color="auto" w:fill="FFFFFF"/>
        </w:rPr>
        <w:t>artigos&amp;ver</w:t>
      </w:r>
      <w:proofErr w:type="gramEnd"/>
      <w:r w:rsidRPr="00976CF1">
        <w:rPr>
          <w:rFonts w:ascii="Times New Roman" w:hAnsi="Times New Roman" w:cs="Times New Roman"/>
          <w:sz w:val="24"/>
          <w:szCs w:val="24"/>
          <w:shd w:val="clear" w:color="auto" w:fill="FFFFFF"/>
        </w:rPr>
        <w:t>=2.51641&amp;seo=1&gt;. Acesso em: 22 mar. 2015.</w:t>
      </w:r>
    </w:p>
    <w:p w:rsidR="00E77EDF" w:rsidRDefault="00E77EDF" w:rsidP="00E77EDF"/>
    <w:sectPr w:rsidR="00E77ED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3C0" w:rsidRDefault="004973C0" w:rsidP="00E77EDF">
      <w:pPr>
        <w:spacing w:after="0" w:line="240" w:lineRule="auto"/>
      </w:pPr>
      <w:r>
        <w:separator/>
      </w:r>
    </w:p>
  </w:endnote>
  <w:endnote w:type="continuationSeparator" w:id="0">
    <w:p w:rsidR="004973C0" w:rsidRDefault="004973C0" w:rsidP="00E77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3C0" w:rsidRDefault="004973C0" w:rsidP="00E77EDF">
      <w:pPr>
        <w:spacing w:after="0" w:line="240" w:lineRule="auto"/>
      </w:pPr>
      <w:r>
        <w:separator/>
      </w:r>
    </w:p>
  </w:footnote>
  <w:footnote w:type="continuationSeparator" w:id="0">
    <w:p w:rsidR="004973C0" w:rsidRDefault="004973C0" w:rsidP="00E77EDF">
      <w:pPr>
        <w:spacing w:after="0" w:line="240" w:lineRule="auto"/>
      </w:pPr>
      <w:r>
        <w:continuationSeparator/>
      </w:r>
    </w:p>
  </w:footnote>
  <w:footnote w:id="1">
    <w:p w:rsidR="00E77EDF" w:rsidRDefault="00E77EDF" w:rsidP="00E77EDF">
      <w:pPr>
        <w:pStyle w:val="Textodenotaderodap"/>
        <w:jc w:val="both"/>
        <w:rPr>
          <w:rFonts w:ascii="Times New Roman" w:hAnsi="Times New Roman" w:cs="Times New Roman"/>
        </w:rPr>
      </w:pPr>
      <w:r>
        <w:rPr>
          <w:rStyle w:val="Refdenotaderodap"/>
          <w:rFonts w:ascii="Times New Roman" w:hAnsi="Times New Roman" w:cs="Times New Roman"/>
        </w:rPr>
        <w:footnoteRef/>
      </w:r>
      <w:r>
        <w:rPr>
          <w:rFonts w:ascii="Times New Roman" w:hAnsi="Times New Roman" w:cs="Times New Roman"/>
        </w:rPr>
        <w:t xml:space="preserve"> Case apresentado à disciplina Direito </w:t>
      </w:r>
      <w:r w:rsidR="00F44785">
        <w:rPr>
          <w:rFonts w:ascii="Times New Roman" w:hAnsi="Times New Roman" w:cs="Times New Roman"/>
        </w:rPr>
        <w:t>Tributário I</w:t>
      </w:r>
      <w:r>
        <w:rPr>
          <w:rFonts w:ascii="Times New Roman" w:hAnsi="Times New Roman" w:cs="Times New Roman"/>
        </w:rPr>
        <w:t>, da Unidade de Ensino Superior Dom Bosco;</w:t>
      </w:r>
    </w:p>
  </w:footnote>
  <w:footnote w:id="2">
    <w:p w:rsidR="00E77EDF" w:rsidRDefault="00E77EDF" w:rsidP="00E77EDF">
      <w:pPr>
        <w:pStyle w:val="Textodenotaderodap"/>
        <w:jc w:val="both"/>
        <w:rPr>
          <w:rFonts w:ascii="Times New Roman" w:hAnsi="Times New Roman" w:cs="Times New Roman"/>
        </w:rPr>
      </w:pPr>
      <w:r>
        <w:rPr>
          <w:rStyle w:val="Refdenotaderodap"/>
          <w:rFonts w:ascii="Times New Roman" w:hAnsi="Times New Roman" w:cs="Times New Roman"/>
        </w:rPr>
        <w:footnoteRef/>
      </w:r>
      <w:r>
        <w:rPr>
          <w:rFonts w:ascii="Times New Roman" w:hAnsi="Times New Roman" w:cs="Times New Roman"/>
        </w:rPr>
        <w:t xml:space="preserve"> Aluno do 7º período, do curso de Direito da UNDB;</w:t>
      </w:r>
    </w:p>
  </w:footnote>
  <w:footnote w:id="3">
    <w:p w:rsidR="00E77EDF" w:rsidRDefault="00E77EDF" w:rsidP="00E77EDF">
      <w:pPr>
        <w:pStyle w:val="Textodenotaderodap"/>
        <w:jc w:val="both"/>
        <w:rPr>
          <w:rFonts w:ascii="Times New Roman" w:hAnsi="Times New Roman" w:cs="Times New Roman"/>
        </w:rPr>
      </w:pPr>
      <w:r>
        <w:rPr>
          <w:rStyle w:val="Refdenotaderodap"/>
          <w:rFonts w:ascii="Times New Roman" w:hAnsi="Times New Roman" w:cs="Times New Roman"/>
        </w:rPr>
        <w:footnoteRef/>
      </w:r>
      <w:r w:rsidR="00F44785">
        <w:rPr>
          <w:rFonts w:ascii="Times New Roman" w:hAnsi="Times New Roman" w:cs="Times New Roman"/>
        </w:rPr>
        <w:t xml:space="preserve"> Professor</w:t>
      </w:r>
      <w:r>
        <w:rPr>
          <w:rFonts w:ascii="Times New Roman" w:hAnsi="Times New Roman" w:cs="Times New Roman"/>
        </w:rPr>
        <w:t xml:space="preserve"> da disciplina </w:t>
      </w:r>
      <w:r w:rsidRPr="000570AD">
        <w:rPr>
          <w:rFonts w:ascii="Times New Roman" w:hAnsi="Times New Roman" w:cs="Times New Roman"/>
        </w:rPr>
        <w:t xml:space="preserve">Direito </w:t>
      </w:r>
      <w:r w:rsidR="00F44785">
        <w:rPr>
          <w:rFonts w:ascii="Times New Roman" w:hAnsi="Times New Roman" w:cs="Times New Roman"/>
        </w:rPr>
        <w:t>Tributário I</w:t>
      </w:r>
      <w:r>
        <w:rPr>
          <w:rFonts w:ascii="Times New Roman" w:hAnsi="Times New Roman" w:cs="Times New Roman"/>
        </w:rPr>
        <w:t>, da Unidade de Ensino Superior Dom Bosco;</w:t>
      </w:r>
    </w:p>
  </w:footnote>
  <w:footnote w:id="4">
    <w:p w:rsidR="006E7807" w:rsidRPr="006E7807" w:rsidRDefault="006E7807" w:rsidP="006E7807">
      <w:pPr>
        <w:pStyle w:val="NormalWeb"/>
        <w:shd w:val="clear" w:color="auto" w:fill="FFFFFF"/>
        <w:ind w:firstLine="567"/>
        <w:jc w:val="both"/>
        <w:rPr>
          <w:color w:val="000000"/>
          <w:sz w:val="20"/>
          <w:szCs w:val="20"/>
        </w:rPr>
      </w:pPr>
      <w:r>
        <w:rPr>
          <w:rStyle w:val="Refdenotaderodap"/>
        </w:rPr>
        <w:footnoteRef/>
      </w:r>
      <w:r>
        <w:t xml:space="preserve"> </w:t>
      </w:r>
      <w:r w:rsidRPr="006E7807">
        <w:rPr>
          <w:color w:val="000000"/>
          <w:sz w:val="20"/>
          <w:szCs w:val="20"/>
        </w:rPr>
        <w:t>Art. 107. A legislação tributária será interpretada conforme o disposto neste Capítulo.</w:t>
      </w:r>
      <w:bookmarkStart w:id="1" w:name="art108"/>
      <w:bookmarkEnd w:id="1"/>
      <w:r>
        <w:rPr>
          <w:color w:val="000000"/>
          <w:sz w:val="20"/>
          <w:szCs w:val="20"/>
        </w:rPr>
        <w:t xml:space="preserve"> </w:t>
      </w:r>
      <w:r w:rsidRPr="006E7807">
        <w:rPr>
          <w:color w:val="000000"/>
          <w:sz w:val="20"/>
          <w:szCs w:val="20"/>
        </w:rPr>
        <w:t>Art. 108. Na ausência de disposição expressa, a autoridade competente para aplicar a legislação tributária utilizará sucessivamente, na ordem indicada:</w:t>
      </w:r>
      <w:r>
        <w:rPr>
          <w:color w:val="000000"/>
          <w:sz w:val="20"/>
          <w:szCs w:val="20"/>
        </w:rPr>
        <w:t xml:space="preserve"> </w:t>
      </w:r>
      <w:r w:rsidRPr="006E7807">
        <w:rPr>
          <w:color w:val="000000"/>
          <w:sz w:val="20"/>
          <w:szCs w:val="20"/>
        </w:rPr>
        <w:t>I - a analogia;</w:t>
      </w:r>
      <w:r>
        <w:rPr>
          <w:color w:val="000000"/>
          <w:sz w:val="20"/>
          <w:szCs w:val="20"/>
        </w:rPr>
        <w:t xml:space="preserve"> </w:t>
      </w:r>
      <w:r w:rsidRPr="006E7807">
        <w:rPr>
          <w:color w:val="000000"/>
          <w:sz w:val="20"/>
          <w:szCs w:val="20"/>
        </w:rPr>
        <w:t>II - os princípios gerais de direito tributário;</w:t>
      </w:r>
      <w:r>
        <w:rPr>
          <w:color w:val="000000"/>
          <w:sz w:val="20"/>
          <w:szCs w:val="20"/>
        </w:rPr>
        <w:t xml:space="preserve"> </w:t>
      </w:r>
      <w:r w:rsidRPr="006E7807">
        <w:rPr>
          <w:color w:val="000000"/>
          <w:sz w:val="20"/>
          <w:szCs w:val="20"/>
        </w:rPr>
        <w:t>III - os princípios gerais de direito público;</w:t>
      </w:r>
      <w:r>
        <w:rPr>
          <w:color w:val="000000"/>
          <w:sz w:val="20"/>
          <w:szCs w:val="20"/>
        </w:rPr>
        <w:t xml:space="preserve"> </w:t>
      </w:r>
      <w:r w:rsidRPr="006E7807">
        <w:rPr>
          <w:color w:val="000000"/>
          <w:sz w:val="20"/>
          <w:szCs w:val="20"/>
        </w:rPr>
        <w:t xml:space="preserve">IV - a </w:t>
      </w:r>
      <w:proofErr w:type="spellStart"/>
      <w:r w:rsidRPr="006E7807">
        <w:rPr>
          <w:color w:val="000000"/>
          <w:sz w:val="20"/>
          <w:szCs w:val="20"/>
        </w:rPr>
        <w:t>eqüidade</w:t>
      </w:r>
      <w:proofErr w:type="spellEnd"/>
      <w:r w:rsidRPr="006E7807">
        <w:rPr>
          <w:color w:val="000000"/>
          <w:sz w:val="20"/>
          <w:szCs w:val="20"/>
        </w:rPr>
        <w:t>.</w:t>
      </w:r>
      <w:r>
        <w:rPr>
          <w:color w:val="000000"/>
          <w:sz w:val="20"/>
          <w:szCs w:val="20"/>
        </w:rPr>
        <w:t xml:space="preserve"> </w:t>
      </w:r>
      <w:r w:rsidRPr="006E7807">
        <w:rPr>
          <w:color w:val="000000"/>
          <w:sz w:val="20"/>
          <w:szCs w:val="20"/>
        </w:rPr>
        <w:t>§ 1º O emprego da analogia não poderá resultar na exigência de tributo não previsto em lei.</w:t>
      </w:r>
      <w:r>
        <w:rPr>
          <w:color w:val="000000"/>
          <w:sz w:val="20"/>
          <w:szCs w:val="20"/>
        </w:rPr>
        <w:t xml:space="preserve"> </w:t>
      </w:r>
      <w:r w:rsidRPr="006E7807">
        <w:rPr>
          <w:color w:val="000000"/>
          <w:sz w:val="20"/>
          <w:szCs w:val="20"/>
        </w:rPr>
        <w:t xml:space="preserve">§ 2º O emprego da </w:t>
      </w:r>
      <w:proofErr w:type="spellStart"/>
      <w:r w:rsidRPr="006E7807">
        <w:rPr>
          <w:color w:val="000000"/>
          <w:sz w:val="20"/>
          <w:szCs w:val="20"/>
        </w:rPr>
        <w:t>eqüidade</w:t>
      </w:r>
      <w:proofErr w:type="spellEnd"/>
      <w:r w:rsidRPr="006E7807">
        <w:rPr>
          <w:color w:val="000000"/>
          <w:sz w:val="20"/>
          <w:szCs w:val="20"/>
        </w:rPr>
        <w:t xml:space="preserve"> não poderá resultar na dispensa do pagamento de tributo devido.</w:t>
      </w:r>
      <w:bookmarkStart w:id="2" w:name="art109"/>
      <w:bookmarkEnd w:id="2"/>
      <w:r>
        <w:rPr>
          <w:color w:val="000000"/>
          <w:sz w:val="20"/>
          <w:szCs w:val="20"/>
        </w:rPr>
        <w:t xml:space="preserve"> </w:t>
      </w:r>
      <w:r w:rsidRPr="006E7807">
        <w:rPr>
          <w:color w:val="000000"/>
          <w:sz w:val="20"/>
          <w:szCs w:val="20"/>
        </w:rPr>
        <w:t>Art. 109. Os princípios gerais de direito privado utilizam-se para pesquisa da definição, do conteúdo e do alcance de seus institutos, conceitos e formas, mas não para definição dos respectivos efeitos tributários.</w:t>
      </w:r>
      <w:bookmarkStart w:id="3" w:name="art110"/>
      <w:bookmarkEnd w:id="3"/>
      <w:r>
        <w:rPr>
          <w:color w:val="000000"/>
          <w:sz w:val="20"/>
          <w:szCs w:val="20"/>
        </w:rPr>
        <w:t xml:space="preserve"> </w:t>
      </w:r>
      <w:r w:rsidRPr="006E7807">
        <w:rPr>
          <w:color w:val="000000"/>
          <w:sz w:val="20"/>
          <w:szCs w:val="20"/>
        </w:rPr>
        <w:t>Art. 110. A lei tributária não pode alterar a definição, o conteúdo e o alcance de institutos, conceitos e formas de direito privado, utilizados, expressa ou implicitamente, pela Constituição Federal, pelas Constituições dos Estados, ou pelas Leis Orgânicas do Distrito Federal ou dos Municípios, para definir ou limitar competências tributárias.</w:t>
      </w:r>
      <w:bookmarkStart w:id="4" w:name="art111"/>
      <w:bookmarkEnd w:id="4"/>
      <w:r>
        <w:rPr>
          <w:color w:val="000000"/>
          <w:sz w:val="20"/>
          <w:szCs w:val="20"/>
        </w:rPr>
        <w:t xml:space="preserve">  </w:t>
      </w:r>
      <w:r w:rsidRPr="006E7807">
        <w:rPr>
          <w:color w:val="000000"/>
          <w:sz w:val="20"/>
          <w:szCs w:val="20"/>
        </w:rPr>
        <w:t>Art. 111. Interpreta-se literalmente a legislação tributária que disponha sobre: I - suspensão ou exclusão do crédito tributário;</w:t>
      </w:r>
      <w:bookmarkStart w:id="5" w:name="art111ii"/>
      <w:bookmarkEnd w:id="5"/>
      <w:r>
        <w:rPr>
          <w:color w:val="000000"/>
          <w:sz w:val="20"/>
          <w:szCs w:val="20"/>
        </w:rPr>
        <w:t xml:space="preserve"> </w:t>
      </w:r>
      <w:r w:rsidRPr="006E7807">
        <w:rPr>
          <w:color w:val="000000"/>
          <w:sz w:val="20"/>
          <w:szCs w:val="20"/>
        </w:rPr>
        <w:t>II - outorga de isenção;</w:t>
      </w:r>
      <w:r>
        <w:rPr>
          <w:color w:val="000000"/>
          <w:sz w:val="20"/>
          <w:szCs w:val="20"/>
        </w:rPr>
        <w:t xml:space="preserve"> </w:t>
      </w:r>
      <w:r w:rsidRPr="006E7807">
        <w:rPr>
          <w:color w:val="000000"/>
          <w:sz w:val="20"/>
          <w:szCs w:val="20"/>
        </w:rPr>
        <w:t>III - dispensa do cumprimento de obrigações tributárias acessórias.</w:t>
      </w:r>
      <w:bookmarkStart w:id="6" w:name="art112"/>
      <w:bookmarkEnd w:id="6"/>
      <w:r>
        <w:rPr>
          <w:color w:val="000000"/>
          <w:sz w:val="20"/>
          <w:szCs w:val="20"/>
        </w:rPr>
        <w:t xml:space="preserve"> </w:t>
      </w:r>
      <w:r w:rsidRPr="006E7807">
        <w:rPr>
          <w:color w:val="000000"/>
          <w:sz w:val="20"/>
          <w:szCs w:val="20"/>
        </w:rPr>
        <w:t>Art. 112. A lei tributária que define infrações, ou lhe comina penalidades, interpreta-se da maneira mais favorável ao acusado, em caso de dúvida quanto:</w:t>
      </w:r>
      <w:r>
        <w:rPr>
          <w:color w:val="000000"/>
          <w:sz w:val="20"/>
          <w:szCs w:val="20"/>
        </w:rPr>
        <w:t xml:space="preserve"> </w:t>
      </w:r>
      <w:r w:rsidRPr="006E7807">
        <w:rPr>
          <w:color w:val="000000"/>
          <w:sz w:val="20"/>
          <w:szCs w:val="20"/>
        </w:rPr>
        <w:t>I - à capitulação legal do fato;</w:t>
      </w:r>
      <w:r>
        <w:rPr>
          <w:color w:val="000000"/>
          <w:sz w:val="20"/>
          <w:szCs w:val="20"/>
        </w:rPr>
        <w:t xml:space="preserve"> </w:t>
      </w:r>
      <w:r w:rsidRPr="006E7807">
        <w:rPr>
          <w:color w:val="000000"/>
          <w:sz w:val="20"/>
          <w:szCs w:val="20"/>
        </w:rPr>
        <w:t>II - à natureza ou às circunstâncias materiais do fato, ou à natureza ou extensão dos seus efeitos;</w:t>
      </w:r>
      <w:r>
        <w:rPr>
          <w:color w:val="000000"/>
          <w:sz w:val="20"/>
          <w:szCs w:val="20"/>
        </w:rPr>
        <w:t xml:space="preserve"> </w:t>
      </w:r>
      <w:r w:rsidRPr="006E7807">
        <w:rPr>
          <w:color w:val="000000"/>
          <w:sz w:val="20"/>
          <w:szCs w:val="20"/>
        </w:rPr>
        <w:t>III - à autoria, imputabilidade, ou punibilidade;</w:t>
      </w:r>
    </w:p>
    <w:p w:rsidR="006E7807" w:rsidRDefault="006E7807">
      <w:pPr>
        <w:pStyle w:val="Textodenotaderodap"/>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3C3B99"/>
    <w:multiLevelType w:val="hybridMultilevel"/>
    <w:tmpl w:val="CF12672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4BFA7FFA"/>
    <w:multiLevelType w:val="hybridMultilevel"/>
    <w:tmpl w:val="C24EC4C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nsid w:val="66AD467E"/>
    <w:multiLevelType w:val="hybridMultilevel"/>
    <w:tmpl w:val="07C0D1F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EDF"/>
    <w:rsid w:val="00043B28"/>
    <w:rsid w:val="00074919"/>
    <w:rsid w:val="00082F74"/>
    <w:rsid w:val="000A52FA"/>
    <w:rsid w:val="000C62E0"/>
    <w:rsid w:val="000C6321"/>
    <w:rsid w:val="000D56E8"/>
    <w:rsid w:val="001A5BBE"/>
    <w:rsid w:val="00201B17"/>
    <w:rsid w:val="0022378E"/>
    <w:rsid w:val="00280B61"/>
    <w:rsid w:val="00293DB6"/>
    <w:rsid w:val="00295E61"/>
    <w:rsid w:val="002B40D8"/>
    <w:rsid w:val="002C7ACD"/>
    <w:rsid w:val="003043EF"/>
    <w:rsid w:val="00316BF5"/>
    <w:rsid w:val="00322D30"/>
    <w:rsid w:val="003749F1"/>
    <w:rsid w:val="00390DE6"/>
    <w:rsid w:val="003D5358"/>
    <w:rsid w:val="00435175"/>
    <w:rsid w:val="004354F9"/>
    <w:rsid w:val="00444371"/>
    <w:rsid w:val="00444DF7"/>
    <w:rsid w:val="00480077"/>
    <w:rsid w:val="00490FC6"/>
    <w:rsid w:val="004940C4"/>
    <w:rsid w:val="004973C0"/>
    <w:rsid w:val="004E088E"/>
    <w:rsid w:val="004F12DE"/>
    <w:rsid w:val="00504DC3"/>
    <w:rsid w:val="00532C83"/>
    <w:rsid w:val="00553F7C"/>
    <w:rsid w:val="0057447A"/>
    <w:rsid w:val="00631928"/>
    <w:rsid w:val="0065230C"/>
    <w:rsid w:val="006543A6"/>
    <w:rsid w:val="00670645"/>
    <w:rsid w:val="006E7807"/>
    <w:rsid w:val="006F42C3"/>
    <w:rsid w:val="007071F4"/>
    <w:rsid w:val="00752B5D"/>
    <w:rsid w:val="007D52A8"/>
    <w:rsid w:val="00875A4C"/>
    <w:rsid w:val="008A4CF0"/>
    <w:rsid w:val="008D5147"/>
    <w:rsid w:val="008F025A"/>
    <w:rsid w:val="00925160"/>
    <w:rsid w:val="009A578B"/>
    <w:rsid w:val="00A14BFC"/>
    <w:rsid w:val="00A3080C"/>
    <w:rsid w:val="00A83F82"/>
    <w:rsid w:val="00AE4786"/>
    <w:rsid w:val="00AE4DE5"/>
    <w:rsid w:val="00B30FB0"/>
    <w:rsid w:val="00B37FC0"/>
    <w:rsid w:val="00B5258A"/>
    <w:rsid w:val="00B77656"/>
    <w:rsid w:val="00B83ADB"/>
    <w:rsid w:val="00B96B8A"/>
    <w:rsid w:val="00BA71F7"/>
    <w:rsid w:val="00C10E99"/>
    <w:rsid w:val="00C56E5D"/>
    <w:rsid w:val="00D71694"/>
    <w:rsid w:val="00DB618E"/>
    <w:rsid w:val="00E0516F"/>
    <w:rsid w:val="00E0732E"/>
    <w:rsid w:val="00E26340"/>
    <w:rsid w:val="00E550CF"/>
    <w:rsid w:val="00E77EDF"/>
    <w:rsid w:val="00E9074D"/>
    <w:rsid w:val="00E979C2"/>
    <w:rsid w:val="00EA793D"/>
    <w:rsid w:val="00ED659A"/>
    <w:rsid w:val="00F076E9"/>
    <w:rsid w:val="00F144F0"/>
    <w:rsid w:val="00F447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ED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E77ED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77EDF"/>
    <w:rPr>
      <w:sz w:val="20"/>
      <w:szCs w:val="20"/>
    </w:rPr>
  </w:style>
  <w:style w:type="paragraph" w:styleId="SemEspaamento">
    <w:name w:val="No Spacing"/>
    <w:uiPriority w:val="1"/>
    <w:qFormat/>
    <w:rsid w:val="00E77EDF"/>
    <w:pPr>
      <w:spacing w:after="0" w:line="240" w:lineRule="auto"/>
    </w:pPr>
  </w:style>
  <w:style w:type="character" w:styleId="Refdenotaderodap">
    <w:name w:val="footnote reference"/>
    <w:basedOn w:val="Fontepargpadro"/>
    <w:uiPriority w:val="99"/>
    <w:semiHidden/>
    <w:unhideWhenUsed/>
    <w:rsid w:val="00E77EDF"/>
    <w:rPr>
      <w:vertAlign w:val="superscript"/>
    </w:rPr>
  </w:style>
  <w:style w:type="paragraph" w:styleId="PargrafodaLista">
    <w:name w:val="List Paragraph"/>
    <w:basedOn w:val="Normal"/>
    <w:uiPriority w:val="34"/>
    <w:qFormat/>
    <w:rsid w:val="004F12DE"/>
    <w:pPr>
      <w:ind w:left="720"/>
      <w:contextualSpacing/>
    </w:pPr>
  </w:style>
  <w:style w:type="paragraph" w:styleId="NormalWeb">
    <w:name w:val="Normal (Web)"/>
    <w:basedOn w:val="Normal"/>
    <w:uiPriority w:val="99"/>
    <w:semiHidden/>
    <w:unhideWhenUsed/>
    <w:rsid w:val="006E780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8D514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ED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E77ED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77EDF"/>
    <w:rPr>
      <w:sz w:val="20"/>
      <w:szCs w:val="20"/>
    </w:rPr>
  </w:style>
  <w:style w:type="paragraph" w:styleId="SemEspaamento">
    <w:name w:val="No Spacing"/>
    <w:uiPriority w:val="1"/>
    <w:qFormat/>
    <w:rsid w:val="00E77EDF"/>
    <w:pPr>
      <w:spacing w:after="0" w:line="240" w:lineRule="auto"/>
    </w:pPr>
  </w:style>
  <w:style w:type="character" w:styleId="Refdenotaderodap">
    <w:name w:val="footnote reference"/>
    <w:basedOn w:val="Fontepargpadro"/>
    <w:uiPriority w:val="99"/>
    <w:semiHidden/>
    <w:unhideWhenUsed/>
    <w:rsid w:val="00E77EDF"/>
    <w:rPr>
      <w:vertAlign w:val="superscript"/>
    </w:rPr>
  </w:style>
  <w:style w:type="paragraph" w:styleId="PargrafodaLista">
    <w:name w:val="List Paragraph"/>
    <w:basedOn w:val="Normal"/>
    <w:uiPriority w:val="34"/>
    <w:qFormat/>
    <w:rsid w:val="004F12DE"/>
    <w:pPr>
      <w:ind w:left="720"/>
      <w:contextualSpacing/>
    </w:pPr>
  </w:style>
  <w:style w:type="paragraph" w:styleId="NormalWeb">
    <w:name w:val="Normal (Web)"/>
    <w:basedOn w:val="Normal"/>
    <w:uiPriority w:val="99"/>
    <w:semiHidden/>
    <w:unhideWhenUsed/>
    <w:rsid w:val="006E780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8D51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59589">
      <w:bodyDiv w:val="1"/>
      <w:marLeft w:val="0"/>
      <w:marRight w:val="0"/>
      <w:marTop w:val="0"/>
      <w:marBottom w:val="0"/>
      <w:divBdr>
        <w:top w:val="none" w:sz="0" w:space="0" w:color="auto"/>
        <w:left w:val="none" w:sz="0" w:space="0" w:color="auto"/>
        <w:bottom w:val="none" w:sz="0" w:space="0" w:color="auto"/>
        <w:right w:val="none" w:sz="0" w:space="0" w:color="auto"/>
      </w:divBdr>
    </w:div>
    <w:div w:id="821048950">
      <w:bodyDiv w:val="1"/>
      <w:marLeft w:val="0"/>
      <w:marRight w:val="0"/>
      <w:marTop w:val="0"/>
      <w:marBottom w:val="0"/>
      <w:divBdr>
        <w:top w:val="none" w:sz="0" w:space="0" w:color="auto"/>
        <w:left w:val="none" w:sz="0" w:space="0" w:color="auto"/>
        <w:bottom w:val="none" w:sz="0" w:space="0" w:color="auto"/>
        <w:right w:val="none" w:sz="0" w:space="0" w:color="auto"/>
      </w:divBdr>
    </w:div>
    <w:div w:id="969867909">
      <w:bodyDiv w:val="1"/>
      <w:marLeft w:val="0"/>
      <w:marRight w:val="0"/>
      <w:marTop w:val="0"/>
      <w:marBottom w:val="0"/>
      <w:divBdr>
        <w:top w:val="none" w:sz="0" w:space="0" w:color="auto"/>
        <w:left w:val="none" w:sz="0" w:space="0" w:color="auto"/>
        <w:bottom w:val="none" w:sz="0" w:space="0" w:color="auto"/>
        <w:right w:val="none" w:sz="0" w:space="0" w:color="auto"/>
      </w:divBdr>
    </w:div>
    <w:div w:id="128977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eduardosabbag.jusbrasil.com.br/artigos/121933898/interpretacao-e-integracao-da-legislacao-tributaria"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1E97C-F3AF-418C-9D0B-1E42CEFDB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5</Pages>
  <Words>1639</Words>
  <Characters>8853</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George</cp:lastModifiedBy>
  <cp:revision>55</cp:revision>
  <dcterms:created xsi:type="dcterms:W3CDTF">2015-03-08T00:06:00Z</dcterms:created>
  <dcterms:modified xsi:type="dcterms:W3CDTF">2015-05-13T00:57:00Z</dcterms:modified>
</cp:coreProperties>
</file>