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58" w:rsidRDefault="00EF6D58" w:rsidP="00EF6D58">
      <w:pPr>
        <w:spacing w:line="36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Tema: A revisão do lançamento tributário e a contagem do prazo de decadência.</w:t>
      </w:r>
    </w:p>
    <w:p w:rsidR="00EF6D58" w:rsidRDefault="00EF6D58" w:rsidP="00EF6D58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55E5B" w:rsidRDefault="00755E5B" w:rsidP="00EF6D58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55E5B" w:rsidRPr="00EC62C6" w:rsidRDefault="00755E5B" w:rsidP="00755E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5E5B" w:rsidRPr="00EC62C6" w:rsidRDefault="00755E5B" w:rsidP="00755E5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2C6">
        <w:rPr>
          <w:rFonts w:ascii="Arial" w:hAnsi="Arial" w:cs="Arial"/>
          <w:b/>
          <w:sz w:val="22"/>
          <w:szCs w:val="22"/>
        </w:rPr>
        <w:t>MARCIO CESAR COSTA</w:t>
      </w:r>
    </w:p>
    <w:p w:rsidR="00755E5B" w:rsidRPr="00EC62C6" w:rsidRDefault="00755E5B" w:rsidP="00755E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2C6">
        <w:rPr>
          <w:rFonts w:ascii="Arial" w:hAnsi="Arial" w:cs="Arial"/>
          <w:sz w:val="22"/>
          <w:szCs w:val="22"/>
        </w:rPr>
        <w:t>Mestre e doutorando pela PUC/SP</w:t>
      </w:r>
    </w:p>
    <w:p w:rsidR="00755E5B" w:rsidRPr="00EC62C6" w:rsidRDefault="00755E5B" w:rsidP="00755E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2C6">
        <w:rPr>
          <w:rFonts w:ascii="Arial" w:hAnsi="Arial" w:cs="Arial"/>
          <w:sz w:val="22"/>
          <w:szCs w:val="22"/>
        </w:rPr>
        <w:t>Professor Conferencista no Instituto Brasileiro de Estudos Tributários – IBET.</w:t>
      </w:r>
    </w:p>
    <w:p w:rsidR="00755E5B" w:rsidRPr="00EC62C6" w:rsidRDefault="00EC62C6" w:rsidP="00755E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2C6">
        <w:rPr>
          <w:rFonts w:ascii="Arial" w:hAnsi="Arial" w:cs="Arial"/>
          <w:sz w:val="22"/>
          <w:szCs w:val="22"/>
        </w:rPr>
        <w:t>Conselheiro Julgador do Conselho Municipal de Tributos (CMT-SP 2012-2014 e 2014-2016).</w:t>
      </w:r>
    </w:p>
    <w:p w:rsidR="00EC62C6" w:rsidRPr="00EC62C6" w:rsidRDefault="00EC62C6" w:rsidP="00755E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5E5B" w:rsidRPr="00EC62C6" w:rsidRDefault="00755E5B" w:rsidP="00755E5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2C6">
        <w:rPr>
          <w:rFonts w:ascii="Arial" w:hAnsi="Arial" w:cs="Arial"/>
          <w:b/>
          <w:sz w:val="22"/>
          <w:szCs w:val="22"/>
        </w:rPr>
        <w:t>SÍLVIA REGINA ZOMER</w:t>
      </w:r>
    </w:p>
    <w:p w:rsidR="00755E5B" w:rsidRPr="00EC62C6" w:rsidRDefault="00755E5B" w:rsidP="00755E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2C6">
        <w:rPr>
          <w:rFonts w:ascii="Arial" w:hAnsi="Arial" w:cs="Arial"/>
          <w:sz w:val="22"/>
          <w:szCs w:val="22"/>
        </w:rPr>
        <w:t>Mestre e doutoranda pela PUC/SP</w:t>
      </w:r>
    </w:p>
    <w:p w:rsidR="00755E5B" w:rsidRPr="00EC62C6" w:rsidRDefault="00755E5B" w:rsidP="00755E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2C6">
        <w:rPr>
          <w:rFonts w:ascii="Arial" w:hAnsi="Arial" w:cs="Arial"/>
          <w:sz w:val="22"/>
          <w:szCs w:val="22"/>
        </w:rPr>
        <w:t>Professora Seminarista e Conferencista no Instituto Brasileiro de Estudos Tributários – IBET.</w:t>
      </w:r>
    </w:p>
    <w:p w:rsidR="00755E5B" w:rsidRDefault="00755E5B" w:rsidP="00EF6D58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755E5B" w:rsidRDefault="00755E5B" w:rsidP="00EF6D58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4B136C" w:rsidRPr="009F6017" w:rsidRDefault="004B136C" w:rsidP="00EF6D58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9F6017">
        <w:rPr>
          <w:rFonts w:ascii="Arial" w:hAnsi="Arial" w:cs="Arial"/>
          <w:b/>
          <w:i/>
          <w:sz w:val="24"/>
          <w:szCs w:val="24"/>
        </w:rPr>
        <w:t>Considerações iniciais</w:t>
      </w:r>
    </w:p>
    <w:p w:rsidR="004B136C" w:rsidRPr="009F6017" w:rsidRDefault="004B136C" w:rsidP="005C05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C05F2" w:rsidRPr="009F6017" w:rsidRDefault="005C05F2" w:rsidP="004B136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A Municipalidade Paulistana, conforme exposto na mídia por meio de jornal e rede de televisão, </w:t>
      </w:r>
      <w:r w:rsidR="00412F9F" w:rsidRPr="009F6017">
        <w:rPr>
          <w:rFonts w:ascii="Arial" w:hAnsi="Arial" w:cs="Arial"/>
          <w:sz w:val="24"/>
          <w:szCs w:val="24"/>
        </w:rPr>
        <w:t xml:space="preserve">alega ter sofrido </w:t>
      </w:r>
      <w:r w:rsidRPr="009F6017">
        <w:rPr>
          <w:rFonts w:ascii="Arial" w:hAnsi="Arial" w:cs="Arial"/>
          <w:sz w:val="24"/>
          <w:szCs w:val="24"/>
        </w:rPr>
        <w:t xml:space="preserve">grandes prejuízos de ordem financeira e moral em razão de atos </w:t>
      </w:r>
      <w:r w:rsidR="00412F9F" w:rsidRPr="009F6017">
        <w:rPr>
          <w:rFonts w:ascii="Arial" w:hAnsi="Arial" w:cs="Arial"/>
          <w:sz w:val="24"/>
          <w:szCs w:val="24"/>
        </w:rPr>
        <w:t>praticados por agentes públicos</w:t>
      </w:r>
      <w:r w:rsidRPr="009F6017">
        <w:rPr>
          <w:rFonts w:ascii="Arial" w:hAnsi="Arial" w:cs="Arial"/>
          <w:sz w:val="24"/>
          <w:szCs w:val="24"/>
        </w:rPr>
        <w:t xml:space="preserve"> responsáveis</w:t>
      </w:r>
      <w:r w:rsidR="004B136C" w:rsidRPr="009F6017">
        <w:rPr>
          <w:rFonts w:ascii="Arial" w:hAnsi="Arial" w:cs="Arial"/>
          <w:sz w:val="24"/>
          <w:szCs w:val="24"/>
        </w:rPr>
        <w:t xml:space="preserve"> pelo </w:t>
      </w:r>
      <w:r w:rsidR="00FD5661" w:rsidRPr="009F6017">
        <w:rPr>
          <w:rFonts w:ascii="Arial" w:hAnsi="Arial" w:cs="Arial"/>
          <w:sz w:val="24"/>
          <w:szCs w:val="24"/>
        </w:rPr>
        <w:t>setor de</w:t>
      </w:r>
      <w:r w:rsidR="004B136C" w:rsidRPr="009F6017">
        <w:rPr>
          <w:rFonts w:ascii="Arial" w:hAnsi="Arial" w:cs="Arial"/>
          <w:sz w:val="24"/>
          <w:szCs w:val="24"/>
        </w:rPr>
        <w:t xml:space="preserve"> </w:t>
      </w:r>
      <w:r w:rsidRPr="009F6017">
        <w:rPr>
          <w:rFonts w:ascii="Arial" w:hAnsi="Arial" w:cs="Arial"/>
          <w:sz w:val="24"/>
          <w:szCs w:val="24"/>
        </w:rPr>
        <w:t xml:space="preserve">fiscalização </w:t>
      </w:r>
      <w:r w:rsidR="00FD5661" w:rsidRPr="009F6017">
        <w:rPr>
          <w:rFonts w:ascii="Arial" w:hAnsi="Arial" w:cs="Arial"/>
          <w:sz w:val="24"/>
          <w:szCs w:val="24"/>
        </w:rPr>
        <w:t>de construção e expedição de habite-se</w:t>
      </w:r>
      <w:r w:rsidR="00FD5661" w:rsidRPr="009F6017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FD5661" w:rsidRPr="009F6017">
        <w:rPr>
          <w:rFonts w:ascii="Arial" w:hAnsi="Arial" w:cs="Arial"/>
          <w:sz w:val="24"/>
          <w:szCs w:val="24"/>
        </w:rPr>
        <w:t>.</w:t>
      </w:r>
    </w:p>
    <w:p w:rsidR="005C05F2" w:rsidRPr="009F6017" w:rsidRDefault="005C05F2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62A0" w:rsidRPr="009F6017" w:rsidRDefault="005C05F2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Constatado a prática do ato ilícito</w:t>
      </w:r>
      <w:r w:rsidR="00CA62A0" w:rsidRPr="009F6017">
        <w:rPr>
          <w:rFonts w:ascii="Arial" w:hAnsi="Arial" w:cs="Arial"/>
          <w:sz w:val="24"/>
          <w:szCs w:val="24"/>
        </w:rPr>
        <w:t>,</w:t>
      </w:r>
      <w:r w:rsidRPr="009F6017">
        <w:rPr>
          <w:rFonts w:ascii="Arial" w:hAnsi="Arial" w:cs="Arial"/>
          <w:sz w:val="24"/>
          <w:szCs w:val="24"/>
        </w:rPr>
        <w:t xml:space="preserve"> a fiscalização paulistana constituiu um grupo de funcionários </w:t>
      </w:r>
      <w:r w:rsidR="002269F0" w:rsidRPr="009F6017">
        <w:rPr>
          <w:rFonts w:ascii="Arial" w:hAnsi="Arial" w:cs="Arial"/>
          <w:sz w:val="24"/>
          <w:szCs w:val="24"/>
        </w:rPr>
        <w:t>para</w:t>
      </w:r>
      <w:r w:rsidRPr="009F6017">
        <w:rPr>
          <w:rFonts w:ascii="Arial" w:hAnsi="Arial" w:cs="Arial"/>
          <w:sz w:val="24"/>
          <w:szCs w:val="24"/>
        </w:rPr>
        <w:t xml:space="preserve"> revisar todos os lançamentos tributários relacionados às expedições de habite-se</w:t>
      </w:r>
      <w:r w:rsidR="00CA62A0" w:rsidRPr="009F6017">
        <w:rPr>
          <w:rFonts w:ascii="Arial" w:hAnsi="Arial" w:cs="Arial"/>
          <w:sz w:val="24"/>
          <w:szCs w:val="24"/>
        </w:rPr>
        <w:t xml:space="preserve"> no período decadencial</w:t>
      </w:r>
      <w:r w:rsidR="004B136C" w:rsidRPr="009F6017">
        <w:rPr>
          <w:rFonts w:ascii="Arial" w:hAnsi="Arial" w:cs="Arial"/>
          <w:sz w:val="24"/>
          <w:szCs w:val="24"/>
        </w:rPr>
        <w:t xml:space="preserve"> anterior a tal prática</w:t>
      </w:r>
      <w:r w:rsidR="00CA62A0" w:rsidRPr="009F6017">
        <w:rPr>
          <w:rFonts w:ascii="Arial" w:hAnsi="Arial" w:cs="Arial"/>
          <w:sz w:val="24"/>
          <w:szCs w:val="24"/>
        </w:rPr>
        <w:t>.</w:t>
      </w:r>
    </w:p>
    <w:p w:rsidR="00CA62A0" w:rsidRPr="009F6017" w:rsidRDefault="00CA62A0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62A0" w:rsidRPr="009F6017" w:rsidRDefault="00CA62A0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lastRenderedPageBreak/>
        <w:t>Esse grupo</w:t>
      </w:r>
      <w:r w:rsidR="002269F0" w:rsidRPr="009F6017">
        <w:rPr>
          <w:rFonts w:ascii="Arial" w:hAnsi="Arial" w:cs="Arial"/>
          <w:sz w:val="24"/>
          <w:szCs w:val="24"/>
        </w:rPr>
        <w:t xml:space="preserve"> de funcionários</w:t>
      </w:r>
      <w:r w:rsidRPr="009F6017">
        <w:rPr>
          <w:rFonts w:ascii="Arial" w:hAnsi="Arial" w:cs="Arial"/>
          <w:sz w:val="24"/>
          <w:szCs w:val="24"/>
        </w:rPr>
        <w:t xml:space="preserve">, portanto, após analisados </w:t>
      </w:r>
      <w:r w:rsidR="004B136C" w:rsidRPr="009F6017">
        <w:rPr>
          <w:rFonts w:ascii="Arial" w:hAnsi="Arial" w:cs="Arial"/>
          <w:sz w:val="24"/>
          <w:szCs w:val="24"/>
        </w:rPr>
        <w:t xml:space="preserve">os </w:t>
      </w:r>
      <w:r w:rsidRPr="009F6017">
        <w:rPr>
          <w:rFonts w:ascii="Arial" w:hAnsi="Arial" w:cs="Arial"/>
          <w:sz w:val="24"/>
          <w:szCs w:val="24"/>
        </w:rPr>
        <w:t xml:space="preserve">dados constantes no sistema interno e documentos ofertados pelos contribuintes, </w:t>
      </w:r>
      <w:r w:rsidR="00412F9F" w:rsidRPr="009F6017">
        <w:rPr>
          <w:rFonts w:ascii="Arial" w:hAnsi="Arial" w:cs="Arial"/>
          <w:sz w:val="24"/>
          <w:szCs w:val="24"/>
        </w:rPr>
        <w:t xml:space="preserve">alegaram ter constatado lançamentos </w:t>
      </w:r>
      <w:r w:rsidRPr="009F6017">
        <w:rPr>
          <w:rFonts w:ascii="Arial" w:hAnsi="Arial" w:cs="Arial"/>
          <w:sz w:val="24"/>
          <w:szCs w:val="24"/>
        </w:rPr>
        <w:t>eivados de vícios de apuração do tributo devido – mais precisamente o ISS.</w:t>
      </w:r>
    </w:p>
    <w:p w:rsidR="00BC411C" w:rsidRPr="009F6017" w:rsidRDefault="00CA62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 </w:t>
      </w:r>
    </w:p>
    <w:p w:rsidR="00DA59D5" w:rsidRPr="009F6017" w:rsidRDefault="00412F9F" w:rsidP="00BC41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Concluindo pela ocorrência de</w:t>
      </w:r>
      <w:r w:rsidR="002269F0" w:rsidRPr="009F6017">
        <w:rPr>
          <w:rFonts w:ascii="Arial" w:hAnsi="Arial" w:cs="Arial"/>
          <w:sz w:val="24"/>
          <w:szCs w:val="24"/>
        </w:rPr>
        <w:t xml:space="preserve"> fraude, </w:t>
      </w:r>
      <w:r w:rsidRPr="009F6017">
        <w:rPr>
          <w:rFonts w:ascii="Arial" w:hAnsi="Arial" w:cs="Arial"/>
          <w:sz w:val="24"/>
          <w:szCs w:val="24"/>
        </w:rPr>
        <w:t>restaram revisados todos os lançamentos, dos quais foram lavrados</w:t>
      </w:r>
      <w:r w:rsidR="00594EC6" w:rsidRPr="009F6017">
        <w:rPr>
          <w:rFonts w:ascii="Arial" w:hAnsi="Arial" w:cs="Arial"/>
          <w:sz w:val="24"/>
          <w:szCs w:val="24"/>
        </w:rPr>
        <w:t xml:space="preserve"> </w:t>
      </w:r>
      <w:r w:rsidR="00CA62A0" w:rsidRPr="009F6017">
        <w:rPr>
          <w:rFonts w:ascii="Arial" w:hAnsi="Arial" w:cs="Arial"/>
          <w:sz w:val="24"/>
          <w:szCs w:val="24"/>
        </w:rPr>
        <w:t>autos de infração</w:t>
      </w:r>
      <w:r w:rsidRPr="009F6017">
        <w:rPr>
          <w:rFonts w:ascii="Arial" w:hAnsi="Arial" w:cs="Arial"/>
          <w:sz w:val="24"/>
          <w:szCs w:val="24"/>
        </w:rPr>
        <w:t xml:space="preserve">. No caso, vale salientar, foram instituídos </w:t>
      </w:r>
      <w:r w:rsidR="00CA62A0" w:rsidRPr="009F6017">
        <w:rPr>
          <w:rFonts w:ascii="Arial" w:hAnsi="Arial" w:cs="Arial"/>
          <w:sz w:val="24"/>
          <w:szCs w:val="24"/>
        </w:rPr>
        <w:t>processo</w:t>
      </w:r>
      <w:r w:rsidR="00594EC6" w:rsidRPr="009F6017">
        <w:rPr>
          <w:rFonts w:ascii="Arial" w:hAnsi="Arial" w:cs="Arial"/>
          <w:sz w:val="24"/>
          <w:szCs w:val="24"/>
        </w:rPr>
        <w:t>s</w:t>
      </w:r>
      <w:r w:rsidR="00CA62A0" w:rsidRPr="009F6017">
        <w:rPr>
          <w:rFonts w:ascii="Arial" w:hAnsi="Arial" w:cs="Arial"/>
          <w:sz w:val="24"/>
          <w:szCs w:val="24"/>
        </w:rPr>
        <w:t xml:space="preserve"> administrativo</w:t>
      </w:r>
      <w:r w:rsidR="00594EC6" w:rsidRPr="009F6017">
        <w:rPr>
          <w:rFonts w:ascii="Arial" w:hAnsi="Arial" w:cs="Arial"/>
          <w:sz w:val="24"/>
          <w:szCs w:val="24"/>
        </w:rPr>
        <w:t>s</w:t>
      </w:r>
      <w:r w:rsidR="00CA62A0" w:rsidRPr="009F6017">
        <w:rPr>
          <w:rFonts w:ascii="Arial" w:hAnsi="Arial" w:cs="Arial"/>
          <w:sz w:val="24"/>
          <w:szCs w:val="24"/>
        </w:rPr>
        <w:t xml:space="preserve"> </w:t>
      </w:r>
      <w:r w:rsidR="00594EC6" w:rsidRPr="009F6017">
        <w:rPr>
          <w:rFonts w:ascii="Arial" w:hAnsi="Arial" w:cs="Arial"/>
          <w:sz w:val="24"/>
          <w:szCs w:val="24"/>
        </w:rPr>
        <w:t>para</w:t>
      </w:r>
      <w:r w:rsidR="00CA62A0" w:rsidRPr="009F6017">
        <w:rPr>
          <w:rFonts w:ascii="Arial" w:hAnsi="Arial" w:cs="Arial"/>
          <w:sz w:val="24"/>
          <w:szCs w:val="24"/>
        </w:rPr>
        <w:t xml:space="preserve"> garantir a todos aqueles que </w:t>
      </w:r>
      <w:r w:rsidR="00594EC6" w:rsidRPr="009F6017">
        <w:rPr>
          <w:rFonts w:ascii="Arial" w:hAnsi="Arial" w:cs="Arial"/>
          <w:sz w:val="24"/>
          <w:szCs w:val="24"/>
        </w:rPr>
        <w:t xml:space="preserve">tivessem </w:t>
      </w:r>
      <w:r w:rsidR="00CA62A0" w:rsidRPr="009F6017">
        <w:rPr>
          <w:rFonts w:ascii="Arial" w:hAnsi="Arial" w:cs="Arial"/>
          <w:sz w:val="24"/>
          <w:szCs w:val="24"/>
        </w:rPr>
        <w:t>o lançamento “retificado”</w:t>
      </w:r>
      <w:r w:rsidRPr="009F6017">
        <w:rPr>
          <w:rFonts w:ascii="Arial" w:hAnsi="Arial" w:cs="Arial"/>
          <w:sz w:val="24"/>
          <w:szCs w:val="24"/>
        </w:rPr>
        <w:t>,</w:t>
      </w:r>
      <w:r w:rsidR="00CA62A0" w:rsidRPr="009F6017">
        <w:rPr>
          <w:rFonts w:ascii="Arial" w:hAnsi="Arial" w:cs="Arial"/>
          <w:sz w:val="24"/>
          <w:szCs w:val="24"/>
        </w:rPr>
        <w:t xml:space="preserve"> pudesse</w:t>
      </w:r>
      <w:r w:rsidR="00594EC6" w:rsidRPr="009F6017">
        <w:rPr>
          <w:rFonts w:ascii="Arial" w:hAnsi="Arial" w:cs="Arial"/>
          <w:sz w:val="24"/>
          <w:szCs w:val="24"/>
        </w:rPr>
        <w:t>m</w:t>
      </w:r>
      <w:r w:rsidR="00CA62A0" w:rsidRPr="009F6017">
        <w:rPr>
          <w:rFonts w:ascii="Arial" w:hAnsi="Arial" w:cs="Arial"/>
          <w:sz w:val="24"/>
          <w:szCs w:val="24"/>
        </w:rPr>
        <w:t xml:space="preserve"> se valer d</w:t>
      </w:r>
      <w:r w:rsidR="00594EC6" w:rsidRPr="009F6017">
        <w:rPr>
          <w:rFonts w:ascii="Arial" w:hAnsi="Arial" w:cs="Arial"/>
          <w:sz w:val="24"/>
          <w:szCs w:val="24"/>
        </w:rPr>
        <w:t>e</w:t>
      </w:r>
      <w:r w:rsidR="00CA62A0" w:rsidRPr="009F6017">
        <w:rPr>
          <w:rFonts w:ascii="Arial" w:hAnsi="Arial" w:cs="Arial"/>
          <w:sz w:val="24"/>
          <w:szCs w:val="24"/>
        </w:rPr>
        <w:t xml:space="preserve"> ampla defesa e do contraditório.</w:t>
      </w:r>
    </w:p>
    <w:p w:rsidR="00CA62A0" w:rsidRPr="009F6017" w:rsidRDefault="00CA62A0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 </w:t>
      </w:r>
      <w:r w:rsidR="00CA62A0" w:rsidRPr="009F6017">
        <w:rPr>
          <w:rFonts w:ascii="Arial" w:hAnsi="Arial" w:cs="Arial"/>
          <w:sz w:val="24"/>
          <w:szCs w:val="24"/>
        </w:rPr>
        <w:t xml:space="preserve">Atualmente há no Conselho Municipal de Tributos processos que aguardam julgamento – sendo que, muito deles, foram constituídos valores expressivos em razão do contribuinte não ter comprovado, através de documentos fiscais, a composição do valor da pauta mínima </w:t>
      </w:r>
      <w:r w:rsidR="003C28EA" w:rsidRPr="009F6017">
        <w:rPr>
          <w:rFonts w:ascii="Arial" w:hAnsi="Arial" w:cs="Arial"/>
          <w:sz w:val="24"/>
          <w:szCs w:val="24"/>
        </w:rPr>
        <w:t>atingido para apuração do ISS devido.</w:t>
      </w:r>
    </w:p>
    <w:p w:rsidR="003C28EA" w:rsidRPr="009F6017" w:rsidRDefault="003C28EA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28EA" w:rsidRPr="009F6017" w:rsidRDefault="00594EC6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A </w:t>
      </w:r>
      <w:r w:rsidR="003C28EA" w:rsidRPr="009F6017">
        <w:rPr>
          <w:rFonts w:ascii="Arial" w:hAnsi="Arial" w:cs="Arial"/>
          <w:sz w:val="24"/>
          <w:szCs w:val="24"/>
        </w:rPr>
        <w:t>questão da tributação do IS</w:t>
      </w:r>
      <w:r w:rsidR="004B136C" w:rsidRPr="009F6017">
        <w:rPr>
          <w:rFonts w:ascii="Arial" w:hAnsi="Arial" w:cs="Arial"/>
          <w:sz w:val="24"/>
          <w:szCs w:val="24"/>
        </w:rPr>
        <w:t>S na construção civil é complexa e carregada</w:t>
      </w:r>
      <w:r w:rsidR="003C28EA" w:rsidRPr="009F6017">
        <w:rPr>
          <w:rFonts w:ascii="Arial" w:hAnsi="Arial" w:cs="Arial"/>
          <w:sz w:val="24"/>
          <w:szCs w:val="24"/>
        </w:rPr>
        <w:t xml:space="preserve"> de inúmeros questionamentos – inclusive porque a fiscalização municipal se vale de um estudo realizado em 1984 por um grupo de estudiosos  que concluíram pela viabilidade, na época, de um método que quantifica – estima – um valor mínimo de mão de obra </w:t>
      </w:r>
      <w:r w:rsidR="004B136C" w:rsidRPr="009F6017">
        <w:rPr>
          <w:rFonts w:ascii="Arial" w:hAnsi="Arial" w:cs="Arial"/>
          <w:sz w:val="24"/>
          <w:szCs w:val="24"/>
        </w:rPr>
        <w:t>na construção</w:t>
      </w:r>
      <w:r w:rsidR="003C28EA" w:rsidRPr="009F6017">
        <w:rPr>
          <w:rFonts w:ascii="Arial" w:hAnsi="Arial" w:cs="Arial"/>
          <w:sz w:val="24"/>
          <w:szCs w:val="24"/>
        </w:rPr>
        <w:t xml:space="preserve"> em metro quadrado.</w:t>
      </w:r>
    </w:p>
    <w:p w:rsidR="003C28EA" w:rsidRPr="009F6017" w:rsidRDefault="003C28EA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136C" w:rsidRPr="009F6017" w:rsidRDefault="003C28EA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Apesar do procedimento/técnica utilizada pela fiscalização ser precária  para apurar o valor do ISS devido na construção civil,  não será objeto deste artigo críticas profundas e ideias de outros mecanismos que legalmente poderiam ser utilizado em prol do estudo do IPT</w:t>
      </w:r>
      <w:r w:rsidR="00594EC6" w:rsidRPr="009F6017">
        <w:rPr>
          <w:rFonts w:ascii="Arial" w:hAnsi="Arial" w:cs="Arial"/>
          <w:sz w:val="24"/>
          <w:szCs w:val="24"/>
        </w:rPr>
        <w:t xml:space="preserve">, por não ser mais cabível devido a mudanças </w:t>
      </w:r>
      <w:r w:rsidR="00706641" w:rsidRPr="009F6017">
        <w:rPr>
          <w:rFonts w:ascii="Arial" w:hAnsi="Arial" w:cs="Arial"/>
          <w:sz w:val="24"/>
          <w:szCs w:val="24"/>
        </w:rPr>
        <w:t>ocorridas no decorrer do tempo.</w:t>
      </w:r>
    </w:p>
    <w:p w:rsidR="004B136C" w:rsidRPr="009F6017" w:rsidRDefault="004B136C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28EA" w:rsidRPr="009F6017" w:rsidRDefault="004B136C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9F6017">
        <w:rPr>
          <w:rFonts w:ascii="Arial" w:hAnsi="Arial" w:cs="Arial"/>
          <w:sz w:val="24"/>
          <w:szCs w:val="24"/>
        </w:rPr>
        <w:t>Faremos, portanto, um corte metodológico de forma a analisamos tão somente a questão da aplicação do prazo decadencial – se o §4º, artigo 150 ou 173 do Código Tributário Nacional – CTN.</w:t>
      </w:r>
    </w:p>
    <w:p w:rsidR="003C28EA" w:rsidRPr="009F6017" w:rsidRDefault="003C28EA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136C" w:rsidRPr="009F6017" w:rsidRDefault="004B136C" w:rsidP="005C05F2">
      <w:pPr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F6017">
        <w:rPr>
          <w:rFonts w:ascii="Arial" w:hAnsi="Arial" w:cs="Arial"/>
          <w:b/>
          <w:i/>
          <w:sz w:val="24"/>
          <w:szCs w:val="24"/>
        </w:rPr>
        <w:t>Considerações sobre o objeto ilícito</w:t>
      </w:r>
    </w:p>
    <w:p w:rsidR="004B136C" w:rsidRPr="009F6017" w:rsidRDefault="004B136C" w:rsidP="005C0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3C28EA" w:rsidP="004B136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Pois bem. </w:t>
      </w:r>
      <w:r w:rsidR="004B136C" w:rsidRPr="009F6017">
        <w:rPr>
          <w:rFonts w:ascii="Arial" w:hAnsi="Arial" w:cs="Arial"/>
          <w:sz w:val="24"/>
          <w:szCs w:val="24"/>
        </w:rPr>
        <w:t>Originalmente o</w:t>
      </w:r>
      <w:r w:rsidR="005C05F2" w:rsidRPr="009F6017">
        <w:rPr>
          <w:rFonts w:ascii="Arial" w:hAnsi="Arial" w:cs="Arial"/>
          <w:sz w:val="24"/>
          <w:szCs w:val="24"/>
        </w:rPr>
        <w:t xml:space="preserve"> feito instaurado com base na premissa fática de que determinado contribuinte teria admitido o pagamento de propina, no âmbito das investigações da chamada “Máfia dos Fi</w:t>
      </w:r>
      <w:r w:rsidR="004B136C" w:rsidRPr="009F6017">
        <w:rPr>
          <w:rFonts w:ascii="Arial" w:hAnsi="Arial" w:cs="Arial"/>
          <w:sz w:val="24"/>
          <w:szCs w:val="24"/>
        </w:rPr>
        <w:t>scais” e que t</w:t>
      </w:r>
      <w:r w:rsidR="005C05F2" w:rsidRPr="009F6017">
        <w:rPr>
          <w:rFonts w:ascii="Arial" w:hAnsi="Arial" w:cs="Arial"/>
          <w:sz w:val="24"/>
          <w:szCs w:val="24"/>
        </w:rPr>
        <w:t>al circunstância teria sido ainda corroborada, nos termos dos documentos anexados, por Auditor Fiscal que à época integrava os quadros da Municipalidade, também investigado.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4B136C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Adianta-se que o</w:t>
      </w:r>
      <w:r w:rsidR="005C05F2" w:rsidRPr="009F6017">
        <w:rPr>
          <w:rFonts w:ascii="Arial" w:hAnsi="Arial" w:cs="Arial"/>
          <w:sz w:val="24"/>
          <w:szCs w:val="24"/>
        </w:rPr>
        <w:t xml:space="preserve"> cerne da problemática decorreu do seguinte trecho da declaração: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 xml:space="preserve">(...) </w:t>
      </w:r>
      <w:r w:rsidRPr="009F6017">
        <w:rPr>
          <w:rFonts w:ascii="Arial" w:hAnsi="Arial" w:cs="Arial"/>
          <w:b/>
          <w:i/>
          <w:sz w:val="22"/>
          <w:szCs w:val="22"/>
        </w:rPr>
        <w:t>o declarante confirma que recebeu valores da MARQUES CONSTRUTORA E INCORPORADORA LTDA</w:t>
      </w:r>
      <w:r w:rsidRPr="009F6017">
        <w:rPr>
          <w:rFonts w:ascii="Arial" w:hAnsi="Arial" w:cs="Arial"/>
          <w:i/>
          <w:sz w:val="22"/>
          <w:szCs w:val="22"/>
        </w:rPr>
        <w:t xml:space="preserve">, </w:t>
      </w:r>
      <w:r w:rsidRPr="009F6017">
        <w:rPr>
          <w:rFonts w:ascii="Arial" w:hAnsi="Arial" w:cs="Arial"/>
          <w:b/>
          <w:i/>
          <w:sz w:val="22"/>
          <w:szCs w:val="22"/>
        </w:rPr>
        <w:t>conforme admitido pelo proprietário da empresa.</w:t>
      </w:r>
      <w:r w:rsidRPr="009F6017">
        <w:rPr>
          <w:rFonts w:ascii="Arial" w:hAnsi="Arial" w:cs="Arial"/>
          <w:i/>
          <w:sz w:val="22"/>
          <w:szCs w:val="22"/>
        </w:rPr>
        <w:t xml:space="preserve"> Não se recorda do valor pago (...) </w:t>
      </w:r>
      <w:r w:rsidRPr="009F6017">
        <w:rPr>
          <w:rFonts w:ascii="Arial" w:hAnsi="Arial" w:cs="Arial"/>
          <w:b/>
          <w:i/>
          <w:sz w:val="22"/>
          <w:szCs w:val="22"/>
        </w:rPr>
        <w:t>quer esclarecer que a MARQUES CONSTRUTURA pagou propina em relação a outros empreendimentos e em momentos diversos</w:t>
      </w:r>
      <w:r w:rsidRPr="009F6017">
        <w:rPr>
          <w:rFonts w:ascii="Arial" w:hAnsi="Arial" w:cs="Arial"/>
          <w:i/>
          <w:sz w:val="22"/>
          <w:szCs w:val="22"/>
        </w:rPr>
        <w:t>, quando havia uma turma diferente.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Diante dos fatos, o Procurador oficiante indagou o seguinte: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>(...) Tratando-se de hipótese caracterizadora de dolo e sem olvidar não se tratar de lançamento na modalidade homologatória, s.m.j., entendemos que esses novos elementos tornam necessária a discussão a respeito da possibilidade de aplicação do disposto no art. 150, parágrafo 4º do CTN.</w:t>
      </w: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>Assim solicitamos a manifestação dessa pasta no sentido de esclarecer a respeito da possibilidade de abertura dos respectivos procedimentos fiscais.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Postas as premissas, o Coordenador do Grupo de Trabalho de Revisão do Habite-se formulou as seguintes indagações, resumidamente: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Diante da fraude, seria então aplicável o artigo 173, inciso I do CTN? Qual seria o termo </w:t>
      </w:r>
      <w:r w:rsidRPr="009F6017">
        <w:rPr>
          <w:rFonts w:ascii="Arial" w:hAnsi="Arial" w:cs="Arial"/>
          <w:i/>
          <w:sz w:val="24"/>
          <w:szCs w:val="24"/>
        </w:rPr>
        <w:t>a quo</w:t>
      </w:r>
      <w:r w:rsidRPr="009F6017">
        <w:rPr>
          <w:rFonts w:ascii="Arial" w:hAnsi="Arial" w:cs="Arial"/>
          <w:sz w:val="24"/>
          <w:szCs w:val="24"/>
        </w:rPr>
        <w:t xml:space="preserve"> do prazo decadencial?;</w:t>
      </w:r>
    </w:p>
    <w:p w:rsidR="005C05F2" w:rsidRPr="009F6017" w:rsidRDefault="005C05F2" w:rsidP="005C05F2">
      <w:pPr>
        <w:spacing w:line="360" w:lineRule="auto"/>
        <w:ind w:left="1070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O teor do depoimento juntado seria suficiente para caracterizar o dolo?;</w:t>
      </w:r>
    </w:p>
    <w:p w:rsidR="005C05F2" w:rsidRPr="009F6017" w:rsidRDefault="005C05F2" w:rsidP="005C05F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É suficiente a confissão de um terceiro indiciado? É necessário o exame de outras evidências?;</w:t>
      </w:r>
    </w:p>
    <w:p w:rsidR="005C05F2" w:rsidRPr="009F6017" w:rsidRDefault="005C05F2" w:rsidP="005C05F2">
      <w:pPr>
        <w:spacing w:line="360" w:lineRule="auto"/>
        <w:ind w:left="1070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Indaga, diante do conjunto probatório posto, se existem elementos suficientes hábeis a configurar dolo continuado, ensejando assim a revisão dos empreendimentos de fls. 06/11?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Fixados os pontos, é certo que SUREM admitiu não apenas a hipótese de incidência do artigo 173, inciso I à espécie, como também entendeu </w:t>
      </w:r>
      <w:r w:rsidRPr="009F6017">
        <w:rPr>
          <w:rFonts w:ascii="Arial" w:hAnsi="Arial" w:cs="Arial"/>
          <w:i/>
          <w:sz w:val="24"/>
          <w:szCs w:val="24"/>
        </w:rPr>
        <w:t>justificável o entendimento trazido no ofício inaugural, qual seja, considerar a data da formalização do ilícito como dies a quo do prazo decadencial para ulterior lançamento.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Em palavras mais resumidas, a problemática é a seguinte: é possível que se aplique o artigo 173, inciso I à espécie e, em caso positivo, é possível, ainda assim, ampliar o termo </w:t>
      </w:r>
      <w:r w:rsidRPr="009F6017">
        <w:rPr>
          <w:rFonts w:ascii="Arial" w:hAnsi="Arial" w:cs="Arial"/>
          <w:i/>
          <w:sz w:val="24"/>
          <w:szCs w:val="24"/>
        </w:rPr>
        <w:t>a quo</w:t>
      </w:r>
      <w:r w:rsidRPr="009F6017">
        <w:rPr>
          <w:rFonts w:ascii="Arial" w:hAnsi="Arial" w:cs="Arial"/>
          <w:sz w:val="24"/>
          <w:szCs w:val="24"/>
        </w:rPr>
        <w:t xml:space="preserve"> do prazo para a data da formalização (ciência) do ilícito?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DE1D3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Pontuadas as indagações adentraremos nos pontos que consideramos relevantes sobre a aplicação do prazo decadencial que entendemos legalmente aplicada no caso em análise.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1D32" w:rsidRPr="009F6017" w:rsidRDefault="00DE1D32" w:rsidP="005C05F2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9F6017">
        <w:rPr>
          <w:rFonts w:ascii="Arial" w:hAnsi="Arial" w:cs="Arial"/>
          <w:b/>
          <w:i/>
          <w:sz w:val="24"/>
          <w:szCs w:val="24"/>
        </w:rPr>
        <w:t>Sobre a aplicação do prazo de decadência - objeto dolo.</w:t>
      </w:r>
    </w:p>
    <w:p w:rsidR="00DE1D32" w:rsidRPr="009F6017" w:rsidRDefault="00DE1D3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Inicialmente, deve-se destacar que nas tributações ocorridas no âmbito da “Máfia dos Fiscais” calculava-se um suposto tributo devido, em valor bastante inferior ao correto, em vista do conluio entre contribuinte e fiscal, efetivando-se um “recolhimento a menor” aos cofres públicos.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Em outras palavras, havia, sem dúvidas, um lançamento. Lançamento viciado, contudo.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O lançamento tributário, como se sabe, não se petrifica no tempo. É possível, nos termos das disposições do artigo 149 do CTN sua revisão, de ofício, quando constatados fatos relevantes lá prescritos. Nessa linha é a jurisprudência do Superior Tribunal de Justiça: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 xml:space="preserve">(...) O princípio da imutabilidade do lançamento tributário, insculpido no artigo 145, do CTN, prenuncia que o poder-dever de autotutela da Administração Tributária, consubstanciado na possibilidade de revisão do ato administrativo constitutivo do crédito tributário, somente pode ser exercido nas hipóteses elencadas no artigo 149, do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Codex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 Tributário, e desde que não ultimada a extinção do crédito pelo decurso do prazo decadencial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qüinqüenal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, em homenagem ao princípio da proteção à confiança do contribuinte (encartado no artigo 146) e no respeito ao ato jurídico perfeito. (...) (STJ, RESP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n.°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 1.115.501, Relator Ministro Luiz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Fux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>)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Nesse sentido, de forma coerente com o sistema do CTN, o parágrafo único do artigo 149 prescreve que </w:t>
      </w:r>
      <w:r w:rsidRPr="009F6017">
        <w:rPr>
          <w:rFonts w:ascii="Arial" w:hAnsi="Arial" w:cs="Arial"/>
          <w:i/>
          <w:sz w:val="24"/>
          <w:szCs w:val="24"/>
        </w:rPr>
        <w:t>a revisão do lançamento só pode ser iniciada enquanto não extinto o direito da Fazenda Pública</w:t>
      </w:r>
      <w:r w:rsidRPr="009F6017">
        <w:rPr>
          <w:rFonts w:ascii="Arial" w:hAnsi="Arial" w:cs="Arial"/>
          <w:sz w:val="24"/>
          <w:szCs w:val="24"/>
        </w:rPr>
        <w:t>, firme na premissa da segurança jurídica.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Indubitavelmente, a situação posta </w:t>
      </w:r>
      <w:r w:rsidR="00DE1D32" w:rsidRPr="009F6017">
        <w:rPr>
          <w:rFonts w:ascii="Arial" w:hAnsi="Arial" w:cs="Arial"/>
          <w:sz w:val="24"/>
          <w:szCs w:val="24"/>
        </w:rPr>
        <w:t>em análise</w:t>
      </w:r>
      <w:r w:rsidRPr="009F6017">
        <w:rPr>
          <w:rFonts w:ascii="Arial" w:hAnsi="Arial" w:cs="Arial"/>
          <w:sz w:val="24"/>
          <w:szCs w:val="24"/>
        </w:rPr>
        <w:t xml:space="preserve"> parece se amoldar à hipótese excepcional elencada no inciso VII do artigo 149, a saber: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>Art. 149 do CTN. O lançamento é efetuado e revisto de ofício pela autoridade administrativa nos seguintes casos:</w:t>
      </w: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>(...)</w:t>
      </w: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>VII – quando se comprove que o sujeito passivo, ou terceiro em benefício daquele, agiu com dolo, fraude ou simulação.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1D3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Os conceitos de dolo, fraude ou simulação são tratados de forma bastante superficial pela doutrina. Ora fala-se em dolo penal, ora fala-se em dolo civil</w:t>
      </w:r>
      <w:r w:rsidRPr="009F6017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9F6017">
        <w:rPr>
          <w:rFonts w:ascii="Arial" w:hAnsi="Arial" w:cs="Arial"/>
          <w:sz w:val="24"/>
          <w:szCs w:val="24"/>
        </w:rPr>
        <w:t xml:space="preserve">. </w:t>
      </w:r>
    </w:p>
    <w:p w:rsidR="00DE1D32" w:rsidRPr="009F6017" w:rsidRDefault="00DE1D3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Seja como for, ter-se-á configurada uma das hipóteses do inciso VII sempre que alguém, de forma consciente, agir no sentido de ludibriar, enganar ou dissimular a ocorrência do fato gerador. Não se trata aqui, frise-se, de planejamento tributário, mas de uma ação consciente (dolosa, fraudulenta ou simulada) que afasta ou diminui a tributação.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Eis o reforço da doutrina: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>(...) A fraude é vício de muitas faces. Está presente em sem-número de situações na vida social e no Direito. Sua compreensão mais acessível é a de todo artifício malicioso que uma pessoa emprega com intenção de transgredir o Direito ou de prejudicar interesses de terceiros. A má-fé encontra guarida não só na fraude, mas também em outros vícios, como dolo, coação e simulação. (Venosa, Silvio de Salvo. Direito Civil. 4ª ed. Parte Geral. Editora Altas, 2004. Página 505/506).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Do exposto, já é possível extrair uma primeira conclusão, bastante segura, salvo melhor juízo.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1D3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Diante de elementos de dolo, fraude ou simulação, como no caso dos autos, mesmo tendo havido recolhimento (a menor), passa a incidir a regra de contagem do artigo 173, inciso I do CTN. </w:t>
      </w:r>
    </w:p>
    <w:p w:rsidR="00DE1D32" w:rsidRPr="009F6017" w:rsidRDefault="00DE1D3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Eis os termos da jurisprudência do STJ, dentre outros vários precedentes: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>(...) Contudo, uma vez efetuado o pagamento antecipado pelo contribuinte, com a homologação expressa ou tácita, extingue-se o crédito tributário e, a partir de então, é vedado ao Fisco rever o lançamento ou exigir sua complementação, em obediência ao disposto no art. 150, e seu par. 4º, do CTN. Essa regra, no entanto, é excepcionada nas hipóteses em que houver prova da ocorrência de dolo, fraude ou simulação, bem como para as hipóteses em que não houve pagamento. (...) No caso em apreço, entendeu a Corte de origem que ocorreu fraude, razão pela qual, mesmo havendo pagamento a menor, afastou a aplicação do art. 150, parágrafo 4º do CTN, fazendo incidir o art. 173, I, do mesmo diploma legal</w:t>
      </w:r>
      <w:r w:rsidRPr="009F6017">
        <w:rPr>
          <w:rStyle w:val="Refdenotaderodap"/>
          <w:rFonts w:ascii="Arial" w:hAnsi="Arial" w:cs="Arial"/>
          <w:i/>
          <w:sz w:val="22"/>
          <w:szCs w:val="22"/>
        </w:rPr>
        <w:footnoteReference w:id="3"/>
      </w:r>
      <w:r w:rsidRPr="009F6017">
        <w:rPr>
          <w:rFonts w:ascii="Arial" w:hAnsi="Arial" w:cs="Arial"/>
          <w:i/>
          <w:sz w:val="22"/>
          <w:szCs w:val="22"/>
        </w:rPr>
        <w:t xml:space="preserve">. </w:t>
      </w:r>
      <w:r w:rsidRPr="009F6017">
        <w:rPr>
          <w:rFonts w:ascii="Arial" w:hAnsi="Arial" w:cs="Arial"/>
          <w:sz w:val="22"/>
          <w:szCs w:val="22"/>
        </w:rPr>
        <w:t xml:space="preserve">(STJ, </w:t>
      </w:r>
      <w:proofErr w:type="spellStart"/>
      <w:r w:rsidRPr="009F6017">
        <w:rPr>
          <w:rFonts w:ascii="Arial" w:hAnsi="Arial" w:cs="Arial"/>
          <w:sz w:val="22"/>
          <w:szCs w:val="22"/>
        </w:rPr>
        <w:t>AgRg</w:t>
      </w:r>
      <w:proofErr w:type="spellEnd"/>
      <w:r w:rsidRPr="009F6017">
        <w:rPr>
          <w:rFonts w:ascii="Arial" w:hAnsi="Arial" w:cs="Arial"/>
          <w:sz w:val="22"/>
          <w:szCs w:val="22"/>
        </w:rPr>
        <w:t xml:space="preserve"> no RESP </w:t>
      </w:r>
      <w:proofErr w:type="spellStart"/>
      <w:r w:rsidRPr="009F6017">
        <w:rPr>
          <w:rFonts w:ascii="Arial" w:hAnsi="Arial" w:cs="Arial"/>
          <w:sz w:val="22"/>
          <w:szCs w:val="22"/>
        </w:rPr>
        <w:t>n.°</w:t>
      </w:r>
      <w:proofErr w:type="spellEnd"/>
      <w:r w:rsidRPr="009F6017">
        <w:rPr>
          <w:rFonts w:ascii="Arial" w:hAnsi="Arial" w:cs="Arial"/>
          <w:sz w:val="22"/>
          <w:szCs w:val="22"/>
        </w:rPr>
        <w:t xml:space="preserve"> 1.523.619/MG, Rel. Min. Humberto Martins).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Assim, diante de elementos probatórios, mesmo que indiciários, que sugiram que determinado contribuinte (ou responsável) tenha agido no sentido de fraudar (lato sensu) o Fisco, com o intuído de não recolher ou recolher a menor, estar-se-á ativada a hipótese de aplicação do artigo 173, I do CTN.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lastRenderedPageBreak/>
        <w:t>É relevante deixar claro que quando o CTN fala em dolo, fraude ou simulação, não se deve confundir ou mesmo buscar os conceitos penais. Não é necessário para a incidência do dispositivo em apreço a abertura de processo crime ou mesmo, no extremo, a condenação penal. Pelo contrário, são elementos que podem reforçar a atuação da Administração Tributária, não a condicionando, entretanto.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A interpretação, salvo melhor juízo, somente pode encaminhar-se nesse sentido, uma vez que as expressões dolo, fraude ou simulação não podem ser interpretadas como </w:t>
      </w:r>
      <w:r w:rsidR="001973D5" w:rsidRPr="009F6017">
        <w:rPr>
          <w:rFonts w:ascii="Arial" w:hAnsi="Arial" w:cs="Arial"/>
          <w:sz w:val="24"/>
          <w:szCs w:val="24"/>
        </w:rPr>
        <w:t>sinônimas</w:t>
      </w:r>
      <w:r w:rsidRPr="009F6017">
        <w:rPr>
          <w:rFonts w:ascii="Arial" w:hAnsi="Arial" w:cs="Arial"/>
          <w:sz w:val="24"/>
          <w:szCs w:val="24"/>
        </w:rPr>
        <w:t>, para além de inexistir crime por “fraude” ou “simulação”. É certo, no âmbito do Direito Penal Brasileiro, só há falar-se em tipos dolosos ou culposos.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F6017">
        <w:rPr>
          <w:rFonts w:ascii="Arial" w:hAnsi="Arial" w:cs="Arial"/>
          <w:b/>
          <w:sz w:val="24"/>
          <w:szCs w:val="24"/>
        </w:rPr>
        <w:t>Em primeira conclusão, pode-se afirmar que, no caso concreto, diante dos elementos postos (e referidos)</w:t>
      </w:r>
      <w:r w:rsidRPr="009F6017">
        <w:rPr>
          <w:rStyle w:val="Refdenotaderodap"/>
          <w:rFonts w:ascii="Arial" w:hAnsi="Arial" w:cs="Arial"/>
          <w:b/>
          <w:sz w:val="24"/>
          <w:szCs w:val="24"/>
        </w:rPr>
        <w:footnoteReference w:id="4"/>
      </w:r>
      <w:r w:rsidRPr="009F6017">
        <w:rPr>
          <w:rFonts w:ascii="Arial" w:hAnsi="Arial" w:cs="Arial"/>
          <w:b/>
          <w:sz w:val="24"/>
          <w:szCs w:val="24"/>
        </w:rPr>
        <w:t>, é possível afirmar a ocorrência de “dolo, fraude ou simulação” que ensejam a aplicação do artigo 173, inciso I do CTN.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Contudo, é possível que a referida regra de contagem ainda não seja suficiente para alguns empreendimentos, visto que certos fatos criminosos foram praticados em datas anteriores.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3D5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Para tais hipóteses, </w:t>
      </w:r>
      <w:r w:rsidR="001973D5" w:rsidRPr="009F6017">
        <w:rPr>
          <w:rFonts w:ascii="Arial" w:hAnsi="Arial" w:cs="Arial"/>
          <w:sz w:val="24"/>
          <w:szCs w:val="24"/>
        </w:rPr>
        <w:t>nos</w:t>
      </w:r>
      <w:r w:rsidRPr="009F6017">
        <w:rPr>
          <w:rFonts w:ascii="Arial" w:hAnsi="Arial" w:cs="Arial"/>
          <w:sz w:val="24"/>
          <w:szCs w:val="24"/>
        </w:rPr>
        <w:t xml:space="preserve"> parece relevante examinar a aplicação do princípio da </w:t>
      </w:r>
      <w:proofErr w:type="spellStart"/>
      <w:r w:rsidRPr="009F6017">
        <w:rPr>
          <w:rFonts w:ascii="Arial" w:hAnsi="Arial" w:cs="Arial"/>
          <w:sz w:val="24"/>
          <w:szCs w:val="24"/>
        </w:rPr>
        <w:t>Actio</w:t>
      </w:r>
      <w:proofErr w:type="spellEnd"/>
      <w:r w:rsidRPr="009F6017">
        <w:rPr>
          <w:rFonts w:ascii="Arial" w:hAnsi="Arial" w:cs="Arial"/>
          <w:sz w:val="24"/>
          <w:szCs w:val="24"/>
        </w:rPr>
        <w:t xml:space="preserve"> Nata, uma vez que diferentemente da hipótese “comum” de exceção do parágrafo 4º, do artigo 150 do CTN, em que se parte da premissa de que o dolo, fraude ou simulação é exclusivo do contribuinte (ou responsável), no caso da “Máfia dos Fiscais” o dolo, fraude ou simulação é comum entre o particular e o agente da administração. </w:t>
      </w:r>
    </w:p>
    <w:p w:rsidR="001973D5" w:rsidRPr="009F6017" w:rsidRDefault="001973D5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Em outras palavras, a Administração, na hipótese em tela é “mais vítima” do que não hipótese prescrita pelo CTN.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lastRenderedPageBreak/>
        <w:t xml:space="preserve">Nesse sentido, a jurisprudência dos Tribunais já passa a adotar o princípio da </w:t>
      </w:r>
      <w:proofErr w:type="spellStart"/>
      <w:r w:rsidRPr="009F6017">
        <w:rPr>
          <w:rFonts w:ascii="Arial" w:hAnsi="Arial" w:cs="Arial"/>
          <w:i/>
          <w:sz w:val="24"/>
          <w:szCs w:val="24"/>
        </w:rPr>
        <w:t>Actio</w:t>
      </w:r>
      <w:proofErr w:type="spellEnd"/>
      <w:r w:rsidRPr="009F6017">
        <w:rPr>
          <w:rFonts w:ascii="Arial" w:hAnsi="Arial" w:cs="Arial"/>
          <w:i/>
          <w:sz w:val="24"/>
          <w:szCs w:val="24"/>
        </w:rPr>
        <w:t xml:space="preserve"> Nata</w:t>
      </w:r>
      <w:r w:rsidRPr="009F6017">
        <w:rPr>
          <w:rFonts w:ascii="Arial" w:hAnsi="Arial" w:cs="Arial"/>
          <w:sz w:val="24"/>
          <w:szCs w:val="24"/>
        </w:rPr>
        <w:t>, inclusive em matéria de decadência, senão vejamos: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 xml:space="preserve">(...)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Actio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 Nata é o princípio de Direito segundo o qual a prescrição e decadência só começam a correr quando o titular do direito violado toma conhecimento da existência de um fato e da extensão de suas consequências. Está encampado pelo ordenamento jurídico pátrio no Código de Defesa do Consumidor (art. 26 e 27), no Código Civil (art. 189) e também restou reconhecido na Súmula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n.°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 278 do STJ, segundo o qual ‘o termo inicial do prazo prescricional, na ação de indenização, é a data em que o segurado teve ciência inequívoca da incapacidade laboral’. (TRF 3, Rel. Des. Fed. José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Lunardelli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, Agravo Legal em Agravo de Instrumento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n.°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 0005668-73.2013.4.03.0000/SP, publicado aos 06/08/2013)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Destaque-se, ademais, o que já firmado pelo Superior Tribunal de Justiça: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 xml:space="preserve">A decadência ou caducidade, no âmbito do Direito Tributário, importa no perecimento do direito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potestativo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 de o Fisco constituir o crédito tributário pelo lançamento, e, consoante doutrina abalizada, encontra-se regulada por cinco regras jurídicas gerais e abstratas, quais sejam: (i) regra da decadência do direito de lançar nos casos de tributos sujeitos ao lançamento de ofício, ou nos casos dos tributos sujeitos ao lançamento por homologação em que o contribuinte não efetua o pagamento antecipado; (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ii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) regra da decadência do direito de lançar nos casos em que notificado o contribuinte de medida preparatória do lançamento, em se tratando de tributos sujeitos a lançamento de ofício ou de tributos sujeitos a lançamento por homologação em que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inocorre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 o pagamento antecipado; (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iii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>) regra da decadência do direito de lançar nos casos dos tributos sujeitos a lançamento por homologação em que há parcial pagamento da exação devida; (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iv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) regra da decadência do direito de lançar em que o pagamento antecipado se dá com fraude, dolo ou simulação, ocorrendo notificação do contribuinte acerca de medida preparatória; e (v) regra da decadência do direito de lançar perante anulação do lançamento anterior (In: Decadência e Prescrição no Direito Tributário, Eurico Marcos Diniz de Santi, 3ª Ed., Max Limonad, págs. 163/210). (...)A notificação do ilícito tributário, medida indispensável para justificar a realização do ulterior lançamento, afigura-se como dies a quo do prazo decadencial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qüinqüenal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, em havendo pagamento antecipado efetuado com fraude, dolo ou simulação, regra que configura ampliação do lapso decadencial, in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casu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, reiniciado. Entrementes, "transcorridos cinco anos sem que a autoridade administrativa se pronuncie, produzindo a indigitada notificação </w:t>
      </w:r>
      <w:proofErr w:type="spellStart"/>
      <w:r w:rsidRPr="009F6017">
        <w:rPr>
          <w:rFonts w:ascii="Arial" w:hAnsi="Arial" w:cs="Arial"/>
          <w:i/>
          <w:sz w:val="22"/>
          <w:szCs w:val="22"/>
        </w:rPr>
        <w:t>formalizadora</w:t>
      </w:r>
      <w:proofErr w:type="spellEnd"/>
      <w:r w:rsidRPr="009F6017">
        <w:rPr>
          <w:rFonts w:ascii="Arial" w:hAnsi="Arial" w:cs="Arial"/>
          <w:i/>
          <w:sz w:val="22"/>
          <w:szCs w:val="22"/>
        </w:rPr>
        <w:t xml:space="preserve"> do ilícito, operar-se-á ao mesmo tempo a decadência do direito de lançar de ofício, a decadência do direito de constituir juridicamente o dolo, fraude ou simulação para os efeitos do art. 173, parágrafo único, do CTN e a extinção do crédito tributário em razão da homologação tácita do pagamento antecipado" </w:t>
      </w:r>
      <w:r w:rsidRPr="009F6017">
        <w:rPr>
          <w:rFonts w:ascii="Arial" w:hAnsi="Arial" w:cs="Arial"/>
          <w:i/>
          <w:sz w:val="22"/>
          <w:szCs w:val="22"/>
        </w:rPr>
        <w:lastRenderedPageBreak/>
        <w:t xml:space="preserve">(Eurico Marcos Diniz de Santi, in obra citada, pág. 171). </w:t>
      </w:r>
      <w:r w:rsidRPr="009F6017">
        <w:rPr>
          <w:rFonts w:ascii="Arial" w:hAnsi="Arial" w:cs="Arial"/>
          <w:sz w:val="22"/>
          <w:szCs w:val="22"/>
        </w:rPr>
        <w:t xml:space="preserve">(STJ, RESP </w:t>
      </w:r>
      <w:proofErr w:type="spellStart"/>
      <w:r w:rsidRPr="009F6017">
        <w:rPr>
          <w:rFonts w:ascii="Arial" w:hAnsi="Arial" w:cs="Arial"/>
          <w:sz w:val="22"/>
          <w:szCs w:val="22"/>
        </w:rPr>
        <w:t>n.°</w:t>
      </w:r>
      <w:proofErr w:type="spellEnd"/>
      <w:r w:rsidRPr="009F6017">
        <w:rPr>
          <w:rFonts w:ascii="Arial" w:hAnsi="Arial" w:cs="Arial"/>
          <w:sz w:val="22"/>
          <w:szCs w:val="22"/>
        </w:rPr>
        <w:t xml:space="preserve"> 766.050, Rel. Min. Luiz </w:t>
      </w:r>
      <w:proofErr w:type="spellStart"/>
      <w:r w:rsidRPr="009F6017">
        <w:rPr>
          <w:rFonts w:ascii="Arial" w:hAnsi="Arial" w:cs="Arial"/>
          <w:sz w:val="22"/>
          <w:szCs w:val="22"/>
        </w:rPr>
        <w:t>Fux</w:t>
      </w:r>
      <w:proofErr w:type="spellEnd"/>
      <w:r w:rsidRPr="009F6017">
        <w:rPr>
          <w:rFonts w:ascii="Arial" w:hAnsi="Arial" w:cs="Arial"/>
          <w:sz w:val="22"/>
          <w:szCs w:val="22"/>
        </w:rPr>
        <w:t xml:space="preserve">). No mesmo sentido, cite-se o RESP </w:t>
      </w:r>
      <w:proofErr w:type="spellStart"/>
      <w:r w:rsidRPr="009F6017">
        <w:rPr>
          <w:rFonts w:ascii="Arial" w:hAnsi="Arial" w:cs="Arial"/>
          <w:sz w:val="22"/>
          <w:szCs w:val="22"/>
        </w:rPr>
        <w:t>n.°</w:t>
      </w:r>
      <w:proofErr w:type="spellEnd"/>
      <w:r w:rsidRPr="009F6017">
        <w:rPr>
          <w:rFonts w:ascii="Arial" w:hAnsi="Arial" w:cs="Arial"/>
          <w:sz w:val="22"/>
          <w:szCs w:val="22"/>
        </w:rPr>
        <w:t xml:space="preserve"> 1.044.953/SP.</w:t>
      </w:r>
    </w:p>
    <w:p w:rsidR="005C05F2" w:rsidRPr="009F6017" w:rsidRDefault="005C05F2" w:rsidP="005C05F2">
      <w:pPr>
        <w:ind w:left="2835"/>
        <w:jc w:val="both"/>
        <w:rPr>
          <w:rFonts w:ascii="Arial" w:hAnsi="Arial" w:cs="Arial"/>
          <w:i/>
          <w:sz w:val="22"/>
          <w:szCs w:val="22"/>
        </w:rPr>
      </w:pPr>
    </w:p>
    <w:p w:rsidR="005C05F2" w:rsidRPr="009F6017" w:rsidRDefault="005C05F2" w:rsidP="005C05F2">
      <w:pPr>
        <w:ind w:left="2835"/>
        <w:jc w:val="both"/>
        <w:rPr>
          <w:rFonts w:ascii="Arial" w:hAnsi="Arial" w:cs="Arial"/>
          <w:i/>
          <w:sz w:val="22"/>
          <w:szCs w:val="22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Nessa mesma linha são os esclarecimentos de Eurico Marcos Diniz de Santi: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ind w:left="1701"/>
        <w:jc w:val="both"/>
        <w:rPr>
          <w:rFonts w:ascii="Arial" w:hAnsi="Arial" w:cs="Arial"/>
          <w:i/>
          <w:sz w:val="22"/>
          <w:szCs w:val="22"/>
        </w:rPr>
      </w:pPr>
      <w:r w:rsidRPr="009F6017">
        <w:rPr>
          <w:rFonts w:ascii="Arial" w:hAnsi="Arial" w:cs="Arial"/>
          <w:i/>
          <w:sz w:val="22"/>
          <w:szCs w:val="22"/>
        </w:rPr>
        <w:t xml:space="preserve">O prazo decadencial é também de cinco anos e começa a contar do reconhecimento da incidência de dolo, fraude ou violação em procedimento administrativo, ou seja, começa a contar da constituição jurídica do ilícito, a qual deve ser notificada ao contribuinte. </w:t>
      </w:r>
      <w:r w:rsidRPr="009F6017">
        <w:rPr>
          <w:rFonts w:ascii="Arial" w:hAnsi="Arial" w:cs="Arial"/>
          <w:sz w:val="22"/>
          <w:szCs w:val="22"/>
        </w:rPr>
        <w:t>(</w:t>
      </w:r>
      <w:r w:rsidRPr="009F6017">
        <w:rPr>
          <w:rFonts w:ascii="Arial" w:hAnsi="Arial" w:cs="Arial"/>
          <w:i/>
          <w:sz w:val="22"/>
          <w:szCs w:val="22"/>
        </w:rPr>
        <w:t>Decadência e Prescrição no Direito Tributário, Eurico Marcos Diniz de Santi, 3ª Ed., Max Limonad, págs. 163/210)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>É certo que no campo que estamos a caminhar a doutrina é bastante conflitante. A obra de Luciano Amaro faz relevante estudo sobre o tema, afastando a legitimidade da tese ora defendida, inclusive (</w:t>
      </w:r>
      <w:r w:rsidRPr="009F6017">
        <w:rPr>
          <w:rFonts w:ascii="Arial" w:hAnsi="Arial" w:cs="Arial"/>
          <w:i/>
          <w:sz w:val="24"/>
          <w:szCs w:val="24"/>
        </w:rPr>
        <w:t>Direito Tributário Brasileiro, 12ª edição. Editora Saraiva. Páginas 408-413).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017">
        <w:rPr>
          <w:rFonts w:ascii="Arial" w:hAnsi="Arial" w:cs="Arial"/>
          <w:sz w:val="24"/>
          <w:szCs w:val="24"/>
        </w:rPr>
        <w:t xml:space="preserve">Assim, em segunda conclusão, pode-se afirmar ser possível, com alguns riscos, pela aplicação do princípio da </w:t>
      </w:r>
      <w:proofErr w:type="spellStart"/>
      <w:r w:rsidRPr="009F6017">
        <w:rPr>
          <w:rFonts w:ascii="Arial" w:hAnsi="Arial" w:cs="Arial"/>
          <w:i/>
          <w:sz w:val="24"/>
          <w:szCs w:val="24"/>
        </w:rPr>
        <w:t>actio</w:t>
      </w:r>
      <w:proofErr w:type="spellEnd"/>
      <w:r w:rsidRPr="009F6017">
        <w:rPr>
          <w:rFonts w:ascii="Arial" w:hAnsi="Arial" w:cs="Arial"/>
          <w:i/>
          <w:sz w:val="24"/>
          <w:szCs w:val="24"/>
        </w:rPr>
        <w:t xml:space="preserve"> nata</w:t>
      </w:r>
      <w:r w:rsidRPr="009F6017">
        <w:rPr>
          <w:rFonts w:ascii="Arial" w:hAnsi="Arial" w:cs="Arial"/>
          <w:sz w:val="24"/>
          <w:szCs w:val="24"/>
        </w:rPr>
        <w:t>, entender que diante das particularidades do ocorrido no âmbito da “Máfia dos Fiscais”, é razoável entender que para os casos em que a regra do artigo 173, inciso I do CTN não seja suficiente para resguardar o Fisco, que se aplique, excepcionalmente, como termo a quo, a data da ciência inequívoca das atividades criminosas em questão. Trata-se de ponderação razoável, sob pena de a segurança jurídica amparar aquele que locupletou o Fisco.</w:t>
      </w:r>
    </w:p>
    <w:p w:rsidR="005C05F2" w:rsidRPr="009F6017" w:rsidRDefault="005C05F2" w:rsidP="005C05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5D3E" w:rsidRPr="009F6017" w:rsidRDefault="00AC5D3E" w:rsidP="005C05F2">
      <w:pPr>
        <w:jc w:val="both"/>
      </w:pPr>
    </w:p>
    <w:sectPr w:rsidR="00AC5D3E" w:rsidRPr="009F6017" w:rsidSect="00AC5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40" w:rsidRDefault="00A54D40" w:rsidP="005C05F2">
      <w:r>
        <w:separator/>
      </w:r>
    </w:p>
  </w:endnote>
  <w:endnote w:type="continuationSeparator" w:id="0">
    <w:p w:rsidR="00A54D40" w:rsidRDefault="00A54D40" w:rsidP="005C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40" w:rsidRDefault="00A54D40" w:rsidP="005C05F2">
      <w:r>
        <w:separator/>
      </w:r>
    </w:p>
  </w:footnote>
  <w:footnote w:type="continuationSeparator" w:id="0">
    <w:p w:rsidR="00A54D40" w:rsidRDefault="00A54D40" w:rsidP="005C05F2">
      <w:r>
        <w:continuationSeparator/>
      </w:r>
    </w:p>
  </w:footnote>
  <w:footnote w:id="1">
    <w:p w:rsidR="00FD5661" w:rsidRDefault="00FD5661" w:rsidP="00FD5661">
      <w:pPr>
        <w:pStyle w:val="Textodenotaderodap"/>
        <w:spacing w:line="36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EC62C6">
        <w:rPr>
          <w:color w:val="000000" w:themeColor="text1"/>
        </w:rPr>
        <w:t>Toda obra deverá ter a autorização – Alvará de Construção – e, quando da conclusão, o habite-se. Em ambos os procedimentos administrativos há um setor específico na Prefeitura de São Paulo que fiscaliza e expede o competente documento regularizando ambas as etapas – início (Alvará de Construção) e conclusão (expedição do Habite-se).</w:t>
      </w:r>
    </w:p>
  </w:footnote>
  <w:footnote w:id="2">
    <w:p w:rsidR="005C05F2" w:rsidRDefault="005C05F2" w:rsidP="005C05F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art. 72 da Lei </w:t>
      </w:r>
      <w:proofErr w:type="spellStart"/>
      <w:r>
        <w:t>n.°</w:t>
      </w:r>
      <w:proofErr w:type="spellEnd"/>
      <w:r>
        <w:t xml:space="preserve"> 4.502/1964 nos oferece relevante conceito de fraude, no corpo de seu artigo 72: </w:t>
      </w:r>
      <w:r w:rsidRPr="000C37D6">
        <w:rPr>
          <w:i/>
        </w:rPr>
        <w:t>Fraude é toda ação ou omissão dolosa tendente a impedir ou retardar, total ou parcialmente, a ocorrência do fato gerador da obrigação tributária principal, ou a excluir ou modificar as suas características essenciais, de modo a reduzir o montante do imposto devido ou diferir o seu pagamento.</w:t>
      </w:r>
    </w:p>
  </w:footnote>
  <w:footnote w:id="3">
    <w:p w:rsidR="005C05F2" w:rsidRPr="00D14E5A" w:rsidRDefault="005C05F2" w:rsidP="001973D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É o que nos confirma a doutrina: </w:t>
      </w:r>
      <w:r>
        <w:rPr>
          <w:i/>
        </w:rPr>
        <w:t xml:space="preserve">Para o Superior Tribunal de Justiça o referido dispositivo aplica-se apenas nos casos em que haja algum pagamento a ser homologado e desde que não haja fraude ou simulação. Não se aplicando a hipótese do artigo 150, recai-se na regra geral do artigo 173 acima transcrita. </w:t>
      </w:r>
      <w:r>
        <w:t xml:space="preserve">Luís Eduardo </w:t>
      </w:r>
      <w:proofErr w:type="spellStart"/>
      <w:r>
        <w:t>Schoueri</w:t>
      </w:r>
      <w:proofErr w:type="spellEnd"/>
      <w:r>
        <w:t>. Direito Tributário. 3ª edição. Página 628</w:t>
      </w:r>
    </w:p>
  </w:footnote>
  <w:footnote w:id="4">
    <w:p w:rsidR="005C05F2" w:rsidRDefault="005C05F2" w:rsidP="001973D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Caso a tese seja aprovada, creio relevante que o GT indague o Procurador Oficiante da Controladoria no sentido de buscar mais elementos que comprovem a citada “confissão”.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7588"/>
    <w:multiLevelType w:val="hybridMultilevel"/>
    <w:tmpl w:val="42B0B326"/>
    <w:lvl w:ilvl="0" w:tplc="FD3444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E70513"/>
    <w:multiLevelType w:val="hybridMultilevel"/>
    <w:tmpl w:val="D66812F6"/>
    <w:lvl w:ilvl="0" w:tplc="E95C284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F2"/>
    <w:rsid w:val="000558B0"/>
    <w:rsid w:val="001473B2"/>
    <w:rsid w:val="001818F5"/>
    <w:rsid w:val="001973D5"/>
    <w:rsid w:val="002269F0"/>
    <w:rsid w:val="002427F5"/>
    <w:rsid w:val="003C28EA"/>
    <w:rsid w:val="00412F9F"/>
    <w:rsid w:val="004B136C"/>
    <w:rsid w:val="004B5ACA"/>
    <w:rsid w:val="00594EC6"/>
    <w:rsid w:val="005C05F2"/>
    <w:rsid w:val="00706641"/>
    <w:rsid w:val="00755E5B"/>
    <w:rsid w:val="009E73C1"/>
    <w:rsid w:val="009F6017"/>
    <w:rsid w:val="00A54D40"/>
    <w:rsid w:val="00AC5D3E"/>
    <w:rsid w:val="00BC411C"/>
    <w:rsid w:val="00CA62A0"/>
    <w:rsid w:val="00D21458"/>
    <w:rsid w:val="00DA59D5"/>
    <w:rsid w:val="00DE1D32"/>
    <w:rsid w:val="00EC62C6"/>
    <w:rsid w:val="00EF6D58"/>
    <w:rsid w:val="00F6067E"/>
    <w:rsid w:val="00FD5661"/>
    <w:rsid w:val="00F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C05F2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C05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C05F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C05F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4B136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3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6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C05F2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C05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C05F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C05F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4B136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3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F42D-4289-4F98-9744-9E342339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2482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3</cp:revision>
  <dcterms:created xsi:type="dcterms:W3CDTF">2016-08-30T13:41:00Z</dcterms:created>
  <dcterms:modified xsi:type="dcterms:W3CDTF">2016-08-30T13:44:00Z</dcterms:modified>
</cp:coreProperties>
</file>