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877" w:rsidRPr="0025120B" w:rsidRDefault="00B24B25" w:rsidP="00B31382">
      <w:pPr>
        <w:tabs>
          <w:tab w:val="left" w:pos="870"/>
          <w:tab w:val="center" w:pos="4252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AE49CE" w:rsidRPr="0025120B">
        <w:rPr>
          <w:rFonts w:ascii="Times New Roman" w:hAnsi="Times New Roman" w:cs="Times New Roman"/>
          <w:b/>
          <w:sz w:val="24"/>
          <w:szCs w:val="24"/>
        </w:rPr>
        <w:t>INCID</w:t>
      </w:r>
      <w:r>
        <w:rPr>
          <w:rFonts w:ascii="Times New Roman" w:hAnsi="Times New Roman" w:cs="Times New Roman"/>
          <w:b/>
          <w:sz w:val="24"/>
          <w:szCs w:val="24"/>
        </w:rPr>
        <w:t xml:space="preserve">ÊNCIA </w:t>
      </w:r>
      <w:r w:rsidR="00AE49CE" w:rsidRPr="0025120B">
        <w:rPr>
          <w:rFonts w:ascii="Times New Roman" w:hAnsi="Times New Roman" w:cs="Times New Roman"/>
          <w:b/>
          <w:sz w:val="24"/>
          <w:szCs w:val="24"/>
        </w:rPr>
        <w:t>DE ITBI SOBRE A TRANSMISSÃO DE IMÓVEIS CUJOS VALORES ULTRAPASSEM O CAPITAL SOCIAL</w:t>
      </w:r>
      <w:r>
        <w:rPr>
          <w:rFonts w:ascii="Times New Roman" w:hAnsi="Times New Roman" w:cs="Times New Roman"/>
          <w:b/>
          <w:sz w:val="24"/>
          <w:szCs w:val="24"/>
        </w:rPr>
        <w:t xml:space="preserve"> INTEGRALIZADO</w:t>
      </w:r>
      <w:r w:rsidR="00CC40A8" w:rsidRPr="0025120B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:rsidR="00F1024C" w:rsidRPr="0025120B" w:rsidRDefault="00F1024C" w:rsidP="00F1024C">
      <w:pPr>
        <w:tabs>
          <w:tab w:val="left" w:pos="870"/>
          <w:tab w:val="center" w:pos="425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0A8" w:rsidRPr="0025120B" w:rsidRDefault="000071DD" w:rsidP="00CC40A8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5120B">
        <w:rPr>
          <w:rFonts w:ascii="Times New Roman" w:hAnsi="Times New Roman" w:cs="Times New Roman"/>
          <w:i/>
          <w:sz w:val="20"/>
          <w:szCs w:val="20"/>
        </w:rPr>
        <w:t>Rafaela Coelho Rodrigues Lima</w:t>
      </w:r>
      <w:r w:rsidR="00CC40A8" w:rsidRPr="0025120B">
        <w:rPr>
          <w:rStyle w:val="Refdenotaderodap"/>
          <w:rFonts w:ascii="Times New Roman" w:hAnsi="Times New Roman" w:cs="Times New Roman"/>
          <w:i/>
          <w:sz w:val="20"/>
          <w:szCs w:val="20"/>
        </w:rPr>
        <w:footnoteReference w:id="2"/>
      </w:r>
    </w:p>
    <w:p w:rsidR="00CC40A8" w:rsidRPr="0025120B" w:rsidRDefault="00CC40A8" w:rsidP="00CC40A8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p w:rsidR="00F1024C" w:rsidRPr="0025120B" w:rsidRDefault="00F1024C" w:rsidP="00CC40A8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CC40A8" w:rsidRPr="0025120B" w:rsidRDefault="001C137C" w:rsidP="00F1024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20B">
        <w:rPr>
          <w:rFonts w:ascii="Times New Roman" w:hAnsi="Times New Roman" w:cs="Times New Roman"/>
          <w:b/>
          <w:sz w:val="24"/>
          <w:szCs w:val="24"/>
        </w:rPr>
        <w:t>DESCRIÇÃO DO CASO</w:t>
      </w:r>
    </w:p>
    <w:p w:rsidR="005172FF" w:rsidRPr="0025120B" w:rsidRDefault="004E1808" w:rsidP="004E1808">
      <w:pPr>
        <w:pStyle w:val="PargrafodaLista"/>
        <w:spacing w:after="0" w:line="360" w:lineRule="auto"/>
        <w:ind w:left="36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5120B">
        <w:rPr>
          <w:rFonts w:ascii="Times New Roman" w:hAnsi="Times New Roman" w:cs="Times New Roman"/>
          <w:sz w:val="24"/>
          <w:szCs w:val="24"/>
        </w:rPr>
        <w:t>Em 2015, Hetfield Participações S/A iniciou os procedimentos necessários para integrar a sociedade empresária Metalúrgica Heavy Metal Ltda, situada em São Luís/MA. Para isso, tentou promover a integralização de sua parcela no capital social, que corresponde a 500 mil reais, por meio de um oferecimento de um bem imóvel, avaliado em 750 mil</w:t>
      </w:r>
      <w:r w:rsidR="00E44EBC" w:rsidRPr="0025120B">
        <w:rPr>
          <w:rFonts w:ascii="Times New Roman" w:hAnsi="Times New Roman" w:cs="Times New Roman"/>
          <w:sz w:val="24"/>
          <w:szCs w:val="24"/>
        </w:rPr>
        <w:t xml:space="preserve">. A Secretaria de Fazenda do </w:t>
      </w:r>
      <w:r w:rsidR="007C125D" w:rsidRPr="0025120B">
        <w:rPr>
          <w:rFonts w:ascii="Times New Roman" w:hAnsi="Times New Roman" w:cs="Times New Roman"/>
          <w:sz w:val="24"/>
          <w:szCs w:val="24"/>
        </w:rPr>
        <w:t>Município</w:t>
      </w:r>
      <w:r w:rsidR="001B5949" w:rsidRPr="0025120B">
        <w:rPr>
          <w:rFonts w:ascii="Times New Roman" w:hAnsi="Times New Roman" w:cs="Times New Roman"/>
          <w:sz w:val="24"/>
          <w:szCs w:val="24"/>
        </w:rPr>
        <w:t xml:space="preserve"> de São Luí</w:t>
      </w:r>
      <w:r w:rsidR="00E44EBC" w:rsidRPr="0025120B">
        <w:rPr>
          <w:rFonts w:ascii="Times New Roman" w:hAnsi="Times New Roman" w:cs="Times New Roman"/>
          <w:sz w:val="24"/>
          <w:szCs w:val="24"/>
        </w:rPr>
        <w:t xml:space="preserve">s </w:t>
      </w:r>
      <w:r w:rsidR="007C125D" w:rsidRPr="0025120B">
        <w:rPr>
          <w:rFonts w:ascii="Times New Roman" w:hAnsi="Times New Roman" w:cs="Times New Roman"/>
          <w:sz w:val="24"/>
          <w:szCs w:val="24"/>
        </w:rPr>
        <w:t>negou-se a emitir a via de recolhimento de ITBI</w:t>
      </w:r>
      <w:r w:rsidR="008436E0" w:rsidRPr="0025120B">
        <w:rPr>
          <w:rFonts w:ascii="Times New Roman" w:hAnsi="Times New Roman" w:cs="Times New Roman"/>
          <w:sz w:val="24"/>
          <w:szCs w:val="24"/>
        </w:rPr>
        <w:t xml:space="preserve"> (Imposto sobre a Transmissão de Bens Imóveis)</w:t>
      </w:r>
      <w:r w:rsidR="007C125D" w:rsidRPr="0025120B">
        <w:rPr>
          <w:rFonts w:ascii="Times New Roman" w:hAnsi="Times New Roman" w:cs="Times New Roman"/>
          <w:sz w:val="24"/>
          <w:szCs w:val="24"/>
        </w:rPr>
        <w:t xml:space="preserve"> referente ao imóvel integralizado ao capital da empresa com imunidade total. Dessa forma, o município impôs a tributação sobre o valor do imóvel incorporado que excedeu o limite do cap</w:t>
      </w:r>
      <w:r w:rsidR="005172FF" w:rsidRPr="0025120B">
        <w:rPr>
          <w:rFonts w:ascii="Times New Roman" w:hAnsi="Times New Roman" w:cs="Times New Roman"/>
          <w:sz w:val="24"/>
          <w:szCs w:val="24"/>
        </w:rPr>
        <w:t>ital social a ser integralizado, baseado no artigo 156, §2º, inciso I, da CF/88, onde a imunidade se restringe ao valor do imóvel suficiente à integralização do capital social e nesse caso, o valor da propriedade excedeu em muito o capital social.</w:t>
      </w:r>
    </w:p>
    <w:p w:rsidR="00F1024C" w:rsidRPr="0025120B" w:rsidRDefault="00F1024C" w:rsidP="00F102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137C" w:rsidRPr="0025120B" w:rsidRDefault="001C137C" w:rsidP="00F1024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20B">
        <w:rPr>
          <w:rFonts w:ascii="Times New Roman" w:hAnsi="Times New Roman" w:cs="Times New Roman"/>
          <w:b/>
          <w:sz w:val="24"/>
          <w:szCs w:val="24"/>
        </w:rPr>
        <w:t>IDENTIFICAÇÃO E ANÁLISE DO CASO</w:t>
      </w:r>
    </w:p>
    <w:p w:rsidR="001C137C" w:rsidRPr="0025120B" w:rsidRDefault="001C137C" w:rsidP="00F1024C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20B">
        <w:rPr>
          <w:rFonts w:ascii="Times New Roman" w:hAnsi="Times New Roman" w:cs="Times New Roman"/>
          <w:b/>
          <w:sz w:val="24"/>
          <w:szCs w:val="24"/>
        </w:rPr>
        <w:t>Descrição das decisões possíveis:</w:t>
      </w:r>
    </w:p>
    <w:p w:rsidR="001B5949" w:rsidRPr="0025120B" w:rsidRDefault="005235BB" w:rsidP="007215A8">
      <w:pPr>
        <w:pStyle w:val="PargrafodaLista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5120B">
        <w:rPr>
          <w:rFonts w:ascii="Times New Roman" w:hAnsi="Times New Roman" w:cs="Times New Roman"/>
          <w:sz w:val="24"/>
          <w:szCs w:val="24"/>
        </w:rPr>
        <w:t>Incide o ITBI, logo, não há que se falar na imunidade tributária presente no artigo 156, §2º, I, da CF/88 quando o imóvel superar o valor do capital social integralizado.</w:t>
      </w:r>
    </w:p>
    <w:p w:rsidR="005235BB" w:rsidRPr="0025120B" w:rsidRDefault="005235BB" w:rsidP="00193865">
      <w:pPr>
        <w:pStyle w:val="PargrafodaLista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5120B">
        <w:rPr>
          <w:rFonts w:ascii="Times New Roman" w:hAnsi="Times New Roman" w:cs="Times New Roman"/>
          <w:sz w:val="24"/>
          <w:szCs w:val="24"/>
        </w:rPr>
        <w:t>Não incide o ITBI, logo, há a imunidade tributária prevista no artigo 156, §2º, I, da CF/88 quando o imóvel superar o valor do capital social integralizado.</w:t>
      </w:r>
    </w:p>
    <w:p w:rsidR="00F1024C" w:rsidRPr="0025120B" w:rsidRDefault="005235BB" w:rsidP="005235BB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512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37C" w:rsidRPr="0025120B" w:rsidRDefault="001C137C" w:rsidP="00F1024C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20B">
        <w:rPr>
          <w:rFonts w:ascii="Times New Roman" w:hAnsi="Times New Roman" w:cs="Times New Roman"/>
          <w:b/>
          <w:sz w:val="24"/>
          <w:szCs w:val="24"/>
        </w:rPr>
        <w:t>Argumentos capazes de fundamentar cada decisão:</w:t>
      </w:r>
    </w:p>
    <w:p w:rsidR="008F224D" w:rsidRPr="0025120B" w:rsidRDefault="007215A8" w:rsidP="00D40D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0B">
        <w:rPr>
          <w:rFonts w:ascii="Times New Roman" w:hAnsi="Times New Roman" w:cs="Times New Roman"/>
          <w:sz w:val="24"/>
          <w:szCs w:val="24"/>
        </w:rPr>
        <w:t xml:space="preserve">O artigo 156, §2º, I da CF/88 prevê a imunidade tributária sobre a “transmissão de bens ou direitos incorporados ao patrimônio de pessoa jurídica em realização de capital”, no caso em </w:t>
      </w:r>
      <w:r w:rsidR="008436E0" w:rsidRPr="0025120B">
        <w:rPr>
          <w:rFonts w:ascii="Times New Roman" w:hAnsi="Times New Roman" w:cs="Times New Roman"/>
          <w:sz w:val="24"/>
          <w:szCs w:val="24"/>
        </w:rPr>
        <w:t>estudo a</w:t>
      </w:r>
      <w:r w:rsidRPr="0025120B">
        <w:rPr>
          <w:rFonts w:ascii="Times New Roman" w:hAnsi="Times New Roman" w:cs="Times New Roman"/>
          <w:sz w:val="24"/>
          <w:szCs w:val="24"/>
        </w:rPr>
        <w:t xml:space="preserve"> Hetfield Participações S/A tentou</w:t>
      </w:r>
      <w:r w:rsidR="00E62815" w:rsidRPr="0025120B">
        <w:rPr>
          <w:rFonts w:ascii="Times New Roman" w:hAnsi="Times New Roman" w:cs="Times New Roman"/>
          <w:sz w:val="24"/>
          <w:szCs w:val="24"/>
        </w:rPr>
        <w:t xml:space="preserve"> promover a integralização de sua parcela no capital social junto</w:t>
      </w:r>
      <w:r w:rsidRPr="0025120B">
        <w:rPr>
          <w:rFonts w:ascii="Times New Roman" w:hAnsi="Times New Roman" w:cs="Times New Roman"/>
          <w:sz w:val="24"/>
          <w:szCs w:val="24"/>
        </w:rPr>
        <w:t xml:space="preserve"> à pessoa jurídica Heavy Metal Ltda que tinha</w:t>
      </w:r>
      <w:r w:rsidRPr="0025120B">
        <w:rPr>
          <w:rFonts w:ascii="Times New Roman" w:hAnsi="Times New Roman" w:cs="Times New Roman"/>
          <w:b/>
          <w:sz w:val="24"/>
          <w:szCs w:val="24"/>
          <w:u w:val="single"/>
        </w:rPr>
        <w:t xml:space="preserve"> imunidade total</w:t>
      </w:r>
      <w:r w:rsidR="009C383B" w:rsidRPr="0025120B">
        <w:rPr>
          <w:rFonts w:ascii="Times New Roman" w:hAnsi="Times New Roman" w:cs="Times New Roman"/>
          <w:b/>
          <w:sz w:val="24"/>
          <w:szCs w:val="24"/>
          <w:u w:val="single"/>
        </w:rPr>
        <w:t>, por intermédio de um bem imóvel que corre</w:t>
      </w:r>
      <w:r w:rsidR="00D40DFA" w:rsidRPr="0025120B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9C383B" w:rsidRPr="0025120B">
        <w:rPr>
          <w:rFonts w:ascii="Times New Roman" w:hAnsi="Times New Roman" w:cs="Times New Roman"/>
          <w:b/>
          <w:sz w:val="24"/>
          <w:szCs w:val="24"/>
          <w:u w:val="single"/>
        </w:rPr>
        <w:t>ponde ao montante de 750 mil reais</w:t>
      </w:r>
      <w:r w:rsidRPr="0025120B">
        <w:rPr>
          <w:rFonts w:ascii="Times New Roman" w:hAnsi="Times New Roman" w:cs="Times New Roman"/>
          <w:sz w:val="24"/>
          <w:szCs w:val="24"/>
        </w:rPr>
        <w:t xml:space="preserve">. </w:t>
      </w:r>
      <w:r w:rsidR="00E62815" w:rsidRPr="0025120B">
        <w:rPr>
          <w:rFonts w:ascii="Times New Roman" w:hAnsi="Times New Roman" w:cs="Times New Roman"/>
          <w:sz w:val="24"/>
          <w:szCs w:val="24"/>
        </w:rPr>
        <w:t>É válido salientar</w:t>
      </w:r>
      <w:r w:rsidR="009C383B" w:rsidRPr="0025120B">
        <w:rPr>
          <w:rFonts w:ascii="Times New Roman" w:hAnsi="Times New Roman" w:cs="Times New Roman"/>
          <w:sz w:val="24"/>
          <w:szCs w:val="24"/>
        </w:rPr>
        <w:t xml:space="preserve">, omo foi dito inicialmente na descrição do caso, que </w:t>
      </w:r>
      <w:r w:rsidRPr="0025120B">
        <w:rPr>
          <w:rFonts w:ascii="Times New Roman" w:hAnsi="Times New Roman" w:cs="Times New Roman"/>
          <w:sz w:val="24"/>
          <w:szCs w:val="24"/>
        </w:rPr>
        <w:t>o valor do imóvel ultrapassa</w:t>
      </w:r>
      <w:r w:rsidR="008F224D" w:rsidRPr="0025120B">
        <w:rPr>
          <w:rFonts w:ascii="Times New Roman" w:hAnsi="Times New Roman" w:cs="Times New Roman"/>
          <w:sz w:val="24"/>
          <w:szCs w:val="24"/>
        </w:rPr>
        <w:t xml:space="preserve"> </w:t>
      </w:r>
      <w:r w:rsidRPr="0025120B">
        <w:rPr>
          <w:rFonts w:ascii="Times New Roman" w:hAnsi="Times New Roman" w:cs="Times New Roman"/>
          <w:sz w:val="24"/>
          <w:szCs w:val="24"/>
        </w:rPr>
        <w:t xml:space="preserve">o valor do capital </w:t>
      </w:r>
      <w:r w:rsidRPr="0025120B">
        <w:rPr>
          <w:rFonts w:ascii="Times New Roman" w:hAnsi="Times New Roman" w:cs="Times New Roman"/>
          <w:sz w:val="24"/>
          <w:szCs w:val="24"/>
        </w:rPr>
        <w:lastRenderedPageBreak/>
        <w:t>social</w:t>
      </w:r>
      <w:r w:rsidR="008F224D" w:rsidRPr="0025120B">
        <w:rPr>
          <w:rFonts w:ascii="Times New Roman" w:hAnsi="Times New Roman" w:cs="Times New Roman"/>
          <w:sz w:val="24"/>
          <w:szCs w:val="24"/>
        </w:rPr>
        <w:t xml:space="preserve"> e </w:t>
      </w:r>
      <w:r w:rsidR="00D40DFA" w:rsidRPr="0025120B">
        <w:rPr>
          <w:rFonts w:ascii="Times New Roman" w:hAnsi="Times New Roman" w:cs="Times New Roman"/>
          <w:sz w:val="24"/>
          <w:szCs w:val="24"/>
        </w:rPr>
        <w:t xml:space="preserve"> como cabe</w:t>
      </w:r>
      <w:r w:rsidR="00D40DFA" w:rsidRPr="0025120B">
        <w:rPr>
          <w:rFonts w:ascii="ArialMT" w:eastAsia="ArialMT" w:cs="ArialMT"/>
          <w:sz w:val="29"/>
          <w:szCs w:val="29"/>
        </w:rPr>
        <w:t xml:space="preserve"> </w:t>
      </w:r>
      <w:r w:rsidR="00D40DFA" w:rsidRPr="0025120B">
        <w:rPr>
          <w:rFonts w:ascii="Times New Roman" w:eastAsia="ArialMT" w:hAnsi="Times New Roman" w:cs="Times New Roman"/>
          <w:sz w:val="24"/>
          <w:szCs w:val="24"/>
        </w:rPr>
        <w:t>aos Municípios, mediante a edição de lei ordinária municipal, a instituição do e</w:t>
      </w:r>
      <w:r w:rsidR="008F224D" w:rsidRPr="0025120B">
        <w:rPr>
          <w:rFonts w:ascii="Times New Roman" w:hAnsi="Times New Roman" w:cs="Times New Roman"/>
          <w:sz w:val="24"/>
          <w:szCs w:val="24"/>
        </w:rPr>
        <w:t xml:space="preserve"> a Constituição nada diz sobr</w:t>
      </w:r>
      <w:r w:rsidR="009C383B" w:rsidRPr="0025120B">
        <w:rPr>
          <w:rFonts w:ascii="Times New Roman" w:hAnsi="Times New Roman" w:cs="Times New Roman"/>
          <w:sz w:val="24"/>
          <w:szCs w:val="24"/>
        </w:rPr>
        <w:t>e essa possibilidade, cabe ao ente municipal</w:t>
      </w:r>
      <w:r w:rsidR="008F224D" w:rsidRPr="0025120B">
        <w:rPr>
          <w:rFonts w:ascii="Times New Roman" w:hAnsi="Times New Roman" w:cs="Times New Roman"/>
          <w:sz w:val="24"/>
          <w:szCs w:val="24"/>
        </w:rPr>
        <w:t xml:space="preserve"> completar o sentido da norma presente no artigo 156, §2º, I, CF.</w:t>
      </w:r>
    </w:p>
    <w:p w:rsidR="0025120B" w:rsidRPr="0025120B" w:rsidRDefault="0025120B" w:rsidP="0025120B">
      <w:pPr>
        <w:shd w:val="clear" w:color="auto" w:fill="FFFFFF"/>
        <w:spacing w:after="0" w:line="360" w:lineRule="auto"/>
        <w:ind w:firstLine="113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12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argumento utilizado a favor da incidência do ITBI, é que a imunidade estabelecida no artigo 156, § 2º, inciso I, da Carta da República atinge única e exclusivamente ao valor do imóvel suficiente à integralização do capital social, tendo em vista que o desejo do legislador foi facilitar a criação de novas sociedades e a movimentação dos bens correspondentes ao respectivo capital. </w:t>
      </w:r>
      <w:r w:rsidR="00252B7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252B75" w:rsidRPr="00252B75">
        <w:rPr>
          <w:rFonts w:ascii="Times New Roman" w:hAnsi="Times New Roman" w:cs="Times New Roman"/>
          <w:color w:val="385260"/>
          <w:sz w:val="24"/>
          <w:szCs w:val="24"/>
          <w:shd w:val="clear" w:color="auto" w:fill="FFFFFF"/>
        </w:rPr>
        <w:t>Recurso Extraordinário nº 796.376/SC</w:t>
      </w:r>
      <w:r w:rsidR="00252B75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p w:rsidR="0025120B" w:rsidRPr="0025120B" w:rsidRDefault="0025120B" w:rsidP="0025120B">
      <w:pPr>
        <w:shd w:val="clear" w:color="auto" w:fill="FFFFFF"/>
        <w:spacing w:after="0" w:line="360" w:lineRule="auto"/>
        <w:ind w:firstLine="113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120B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Contudo, vem a tona o entendimento de que , no artigo 36 do CTN,ao tratar da não incidência do ITBI, o faz de forma  restrita ao capital subscrito</w:t>
      </w:r>
      <w:r w:rsidRPr="0025120B">
        <w:rPr>
          <w:rFonts w:ascii="Times New Roman" w:eastAsia="Times New Roman" w:hAnsi="Times New Roman" w:cs="Times New Roman"/>
          <w:sz w:val="24"/>
          <w:szCs w:val="24"/>
          <w:lang w:eastAsia="pt-BR"/>
        </w:rPr>
        <w:t>, não sendo razoável a concessão de imunidade quanto ao valor total do imóvel incorporado, se excedente. OU seja, a imunidade diz respeito apenas no valor referente à parcela do imóvel necessária à integralização do capital social, incidindo o ITBI sobre a parte que exceder. Segue decisão nesse sentido:</w:t>
      </w:r>
    </w:p>
    <w:p w:rsidR="0025120B" w:rsidRPr="0025120B" w:rsidRDefault="0025120B" w:rsidP="0025120B">
      <w:pPr>
        <w:shd w:val="clear" w:color="auto" w:fill="FFFFFF"/>
        <w:spacing w:after="0" w:line="240" w:lineRule="auto"/>
        <w:ind w:left="2268"/>
        <w:jc w:val="both"/>
        <w:textAlignment w:val="top"/>
        <w:rPr>
          <w:rFonts w:ascii="Times New Roman" w:eastAsia="Times New Roman" w:hAnsi="Times New Roman" w:cs="Times New Roman"/>
          <w:sz w:val="17"/>
          <w:szCs w:val="17"/>
          <w:lang w:eastAsia="pt-BR"/>
        </w:rPr>
      </w:pPr>
    </w:p>
    <w:p w:rsidR="0025120B" w:rsidRPr="0025120B" w:rsidRDefault="0025120B" w:rsidP="0025120B">
      <w:pPr>
        <w:shd w:val="clear" w:color="auto" w:fill="FFFFFF"/>
        <w:spacing w:after="0" w:line="240" w:lineRule="auto"/>
        <w:ind w:left="2268"/>
        <w:jc w:val="both"/>
        <w:textAlignment w:val="top"/>
        <w:rPr>
          <w:rFonts w:ascii="Times New Roman" w:eastAsia="Times New Roman" w:hAnsi="Times New Roman" w:cs="Times New Roman"/>
          <w:sz w:val="17"/>
          <w:szCs w:val="17"/>
          <w:lang w:eastAsia="pt-BR"/>
        </w:rPr>
      </w:pPr>
      <w:r w:rsidRPr="0025120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5120B" w:rsidRPr="0025120B" w:rsidRDefault="0025120B" w:rsidP="0025120B">
      <w:pPr>
        <w:shd w:val="clear" w:color="auto" w:fill="FFFFFF"/>
        <w:spacing w:after="0" w:line="240" w:lineRule="auto"/>
        <w:ind w:left="2268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5120B">
        <w:rPr>
          <w:rFonts w:ascii="Times New Roman" w:eastAsia="Times New Roman" w:hAnsi="Times New Roman" w:cs="Times New Roman"/>
          <w:sz w:val="20"/>
          <w:szCs w:val="20"/>
          <w:lang w:eastAsia="pt-BR"/>
        </w:rPr>
        <w:t>TRIBUTÁRIO - ITBI - INCORPORAÇÃO DE IMÓVEIS PARA INTEGRALIZAÇÃO DE CAPITAL SOCIAL DE PESSOA JURÍDICA - IMUNIDADE TRIBUTÁRIA (ART. 156, § 2º, INCISO II, DA CF/1988) - VALOR DOS IMÓVEIS SUPERIOR AO DO CAPITAL SOCIAL INTEGRALIZADO E DAS COTAS DOS SÓCIOS RESPECTIVOS - IMUNIDADE QUE ALCANÇA APENAS O LIMITE DO CAPITAL E DAS COTAS INTEGRALIZADAS COM IMÓVEIS - EXCEDENTE SUJEITO À TRIBUTAÇÃO - SENTENÇA REFORMADA.</w:t>
      </w:r>
    </w:p>
    <w:p w:rsidR="0025120B" w:rsidRPr="0025120B" w:rsidRDefault="0025120B" w:rsidP="0025120B">
      <w:pPr>
        <w:shd w:val="clear" w:color="auto" w:fill="FFFFFF"/>
        <w:spacing w:after="0" w:line="240" w:lineRule="auto"/>
        <w:ind w:left="2268"/>
        <w:jc w:val="both"/>
        <w:textAlignment w:val="top"/>
        <w:rPr>
          <w:rFonts w:ascii="Times New Roman" w:eastAsia="Times New Roman" w:hAnsi="Times New Roman" w:cs="Times New Roman"/>
          <w:sz w:val="17"/>
          <w:szCs w:val="17"/>
          <w:lang w:eastAsia="pt-BR"/>
        </w:rPr>
      </w:pPr>
    </w:p>
    <w:p w:rsidR="0025120B" w:rsidRPr="0025120B" w:rsidRDefault="0025120B" w:rsidP="0025120B">
      <w:pPr>
        <w:shd w:val="clear" w:color="auto" w:fill="FFFFFF"/>
        <w:spacing w:after="0" w:line="360" w:lineRule="auto"/>
        <w:ind w:firstLine="1134"/>
        <w:jc w:val="both"/>
        <w:textAlignment w:val="top"/>
        <w:rPr>
          <w:rFonts w:ascii="Times New Roman" w:eastAsia="Times New Roman" w:hAnsi="Times New Roman" w:cs="Times New Roman"/>
          <w:sz w:val="17"/>
          <w:szCs w:val="17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Nesse sentido, a</w:t>
      </w:r>
      <w:r w:rsidRPr="002512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imunidade tributária prevista n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início</w:t>
      </w:r>
      <w:r w:rsidRPr="002512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inciso II do § 2º do art. 156, da Constituição Federal de 1988 impede a incidência do imposto de transmissão de bens imóveis "inter vivos" somente sobre o valor do imóvel necessário à integralização da cota do capital social. Vale dizer, sobre o valor do imóvel incorporado que excede o limite do capital social a ser integralizado ou da própria cota do sócio respectivo, haverá incidência do tributo.</w:t>
      </w:r>
    </w:p>
    <w:p w:rsidR="009C383B" w:rsidRPr="0025120B" w:rsidRDefault="0025120B" w:rsidP="00252B75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Portanto, </w:t>
      </w:r>
      <w:r w:rsidR="009C383B" w:rsidRPr="0025120B">
        <w:rPr>
          <w:rFonts w:ascii="Times New Roman" w:hAnsi="Times New Roman" w:cs="Times New Roman"/>
          <w:sz w:val="24"/>
          <w:szCs w:val="24"/>
        </w:rPr>
        <w:t>A alternativa intentada pelo município</w:t>
      </w:r>
      <w:r>
        <w:rPr>
          <w:rFonts w:ascii="Times New Roman" w:hAnsi="Times New Roman" w:cs="Times New Roman"/>
          <w:sz w:val="24"/>
          <w:szCs w:val="24"/>
        </w:rPr>
        <w:t xml:space="preserve"> do caso em questão, demonstra-se em consonância com esse entendimento</w:t>
      </w:r>
      <w:r w:rsidR="009C383B" w:rsidRPr="0025120B">
        <w:rPr>
          <w:rFonts w:ascii="Times New Roman" w:hAnsi="Times New Roman" w:cs="Times New Roman"/>
          <w:sz w:val="24"/>
          <w:szCs w:val="24"/>
        </w:rPr>
        <w:t>:</w:t>
      </w:r>
      <w:r w:rsidR="002A15F4" w:rsidRPr="0025120B">
        <w:rPr>
          <w:rFonts w:ascii="Times New Roman" w:hAnsi="Times New Roman" w:cs="Times New Roman"/>
          <w:sz w:val="24"/>
          <w:szCs w:val="24"/>
        </w:rPr>
        <w:t xml:space="preserve"> </w:t>
      </w:r>
      <w:r w:rsidR="009C383B" w:rsidRPr="0025120B">
        <w:rPr>
          <w:rFonts w:ascii="Times New Roman" w:hAnsi="Times New Roman" w:cs="Times New Roman"/>
          <w:sz w:val="24"/>
          <w:szCs w:val="24"/>
        </w:rPr>
        <w:t>o valor do capital social tratava-se de 500 mil reais, enquanto o bem imóvel foi avaliado em 750 mil reais</w:t>
      </w:r>
      <w:r w:rsidR="002A15F4" w:rsidRPr="0025120B">
        <w:rPr>
          <w:rFonts w:ascii="Times New Roman" w:hAnsi="Times New Roman" w:cs="Times New Roman"/>
          <w:sz w:val="24"/>
          <w:szCs w:val="24"/>
        </w:rPr>
        <w:t>,</w:t>
      </w:r>
      <w:r w:rsidR="009C383B" w:rsidRPr="0025120B">
        <w:rPr>
          <w:rFonts w:ascii="Times New Roman" w:hAnsi="Times New Roman" w:cs="Times New Roman"/>
          <w:sz w:val="24"/>
          <w:szCs w:val="24"/>
        </w:rPr>
        <w:t xml:space="preserve"> fazendo o desconto entre os valores há um excedente de 250 mil reais, o qual seria utilizado para quitar o </w:t>
      </w:r>
      <w:r w:rsidR="002A15F4" w:rsidRPr="0025120B">
        <w:rPr>
          <w:rFonts w:ascii="Times New Roman" w:hAnsi="Times New Roman" w:cs="Times New Roman"/>
          <w:sz w:val="24"/>
          <w:szCs w:val="24"/>
        </w:rPr>
        <w:t>imposto</w:t>
      </w:r>
      <w:r w:rsidR="009C383B" w:rsidRPr="0025120B">
        <w:rPr>
          <w:rFonts w:ascii="Times New Roman" w:hAnsi="Times New Roman" w:cs="Times New Roman"/>
          <w:sz w:val="24"/>
          <w:szCs w:val="24"/>
        </w:rPr>
        <w:t>,</w:t>
      </w:r>
      <w:r w:rsidR="002A15F4" w:rsidRPr="0025120B">
        <w:rPr>
          <w:rFonts w:ascii="Times New Roman" w:hAnsi="Times New Roman" w:cs="Times New Roman"/>
          <w:sz w:val="24"/>
          <w:szCs w:val="24"/>
        </w:rPr>
        <w:t xml:space="preserve"> enquanto</w:t>
      </w:r>
      <w:r w:rsidR="009C383B" w:rsidRPr="0025120B">
        <w:rPr>
          <w:rFonts w:ascii="Times New Roman" w:hAnsi="Times New Roman" w:cs="Times New Roman"/>
          <w:sz w:val="24"/>
          <w:szCs w:val="24"/>
        </w:rPr>
        <w:t xml:space="preserve"> isso,</w:t>
      </w:r>
      <w:r w:rsidR="002A15F4" w:rsidRPr="0025120B">
        <w:rPr>
          <w:rFonts w:ascii="Times New Roman" w:hAnsi="Times New Roman" w:cs="Times New Roman"/>
          <w:sz w:val="24"/>
          <w:szCs w:val="24"/>
        </w:rPr>
        <w:t xml:space="preserve"> o valor correspondente ao capital social receberia a imunidade</w:t>
      </w:r>
      <w:r w:rsidR="002B7FAA" w:rsidRPr="0025120B">
        <w:rPr>
          <w:rFonts w:ascii="Times New Roman" w:hAnsi="Times New Roman" w:cs="Times New Roman"/>
          <w:sz w:val="24"/>
          <w:szCs w:val="24"/>
        </w:rPr>
        <w:t>.</w:t>
      </w:r>
      <w:r w:rsidR="009C383B" w:rsidRPr="002512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D0B" w:rsidRPr="0025120B" w:rsidRDefault="00BB20D4" w:rsidP="00BB20D4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12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Dessa forma, </w:t>
      </w:r>
      <w:r w:rsidR="00252B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passando para o conceito de capital subscrito, </w:t>
      </w:r>
      <w:r w:rsidRPr="002512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entende-se </w:t>
      </w:r>
      <w:r w:rsidR="00252B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</w:t>
      </w:r>
      <w:r w:rsidR="00F16D0B" w:rsidRPr="0025120B">
        <w:rPr>
          <w:rFonts w:ascii="Times New Roman" w:eastAsia="Times New Roman" w:hAnsi="Times New Roman" w:cs="Times New Roman"/>
          <w:sz w:val="24"/>
          <w:szCs w:val="24"/>
          <w:lang w:eastAsia="pt-BR"/>
        </w:rPr>
        <w:t>aquele registrado em documento correspondente na junta comercial, é um “ato de declaração judicial feito pelo sócio de aquisição das cotas ou das ações, d</w:t>
      </w:r>
      <w:r w:rsidR="00252B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entro de um prazo estabelecido” </w:t>
      </w:r>
      <w:r w:rsidR="00F16D0B" w:rsidRPr="0025120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Marcio Morena. Logo, para integralizá-lo Hetfield Participações S/A teria que pagar apenas R$ 500.000,00.</w:t>
      </w:r>
    </w:p>
    <w:p w:rsidR="00BB20D4" w:rsidRPr="00FA2D03" w:rsidRDefault="00252B75" w:rsidP="00FA2D03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 sentido contrário ao que já foi explanado, o</w:t>
      </w:r>
      <w:r w:rsidR="00D31120" w:rsidRPr="002512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ITBI</w:t>
      </w:r>
      <w:r w:rsidR="00701D77" w:rsidRPr="002512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acordo com o artigo 156, §2º, I não incidirá sobre a transmissão de bens incorporados ao patrimônio da pessoa jurídica em realização do capital.</w:t>
      </w:r>
      <w:r w:rsidR="00FA2D03" w:rsidRPr="00FA2D03">
        <w:rPr>
          <w:rFonts w:ascii="ArialMT" w:eastAsia="ArialMT" w:cs="ArialMT"/>
          <w:color w:val="231F20"/>
          <w:sz w:val="29"/>
          <w:szCs w:val="29"/>
        </w:rPr>
        <w:t xml:space="preserve"> </w:t>
      </w:r>
      <w:r w:rsidR="00FA2D03" w:rsidRPr="00FA2D03">
        <w:rPr>
          <w:rFonts w:ascii="Times New Roman" w:eastAsia="ArialMT" w:hAnsi="Times New Roman" w:cs="Times New Roman"/>
          <w:color w:val="231F20"/>
          <w:sz w:val="24"/>
          <w:szCs w:val="24"/>
        </w:rPr>
        <w:t>Para Ricardo Lobo Torres</w:t>
      </w:r>
      <w:r w:rsidR="000A2181">
        <w:rPr>
          <w:rFonts w:ascii="Times New Roman" w:eastAsia="ArialMT" w:hAnsi="Times New Roman" w:cs="Times New Roman"/>
          <w:color w:val="231F20"/>
          <w:sz w:val="24"/>
          <w:szCs w:val="24"/>
        </w:rPr>
        <w:t xml:space="preserve"> (2005, p.371)</w:t>
      </w:r>
      <w:r w:rsidR="00FA2D03" w:rsidRPr="00FA2D03">
        <w:rPr>
          <w:rFonts w:ascii="Times New Roman" w:eastAsia="ArialMT" w:hAnsi="Times New Roman" w:cs="Times New Roman"/>
          <w:color w:val="231F20"/>
          <w:sz w:val="24"/>
          <w:szCs w:val="24"/>
        </w:rPr>
        <w:t>, o contexto dessa desoneração liga-se a uma</w:t>
      </w:r>
      <w:r w:rsidR="00FA2D03">
        <w:rPr>
          <w:rFonts w:ascii="Times New Roman" w:eastAsia="ArialMT" w:hAnsi="Times New Roman" w:cs="Times New Roman"/>
          <w:color w:val="231F20"/>
          <w:sz w:val="24"/>
          <w:szCs w:val="24"/>
        </w:rPr>
        <w:t xml:space="preserve"> </w:t>
      </w:r>
      <w:r w:rsidR="00FA2D03" w:rsidRPr="00FA2D03">
        <w:rPr>
          <w:rFonts w:ascii="Times New Roman" w:eastAsia="ArialMT" w:hAnsi="Times New Roman" w:cs="Times New Roman"/>
          <w:color w:val="231F20"/>
          <w:sz w:val="24"/>
          <w:szCs w:val="24"/>
        </w:rPr>
        <w:t>“não incidência constitucionalmente qualificada, ditada por motivos conjunturais, inconfundível</w:t>
      </w:r>
      <w:r w:rsidR="00FA2D03">
        <w:rPr>
          <w:rFonts w:ascii="Times New Roman" w:eastAsia="ArialMT" w:hAnsi="Times New Roman" w:cs="Times New Roman"/>
          <w:color w:val="231F20"/>
          <w:sz w:val="24"/>
          <w:szCs w:val="24"/>
        </w:rPr>
        <w:t xml:space="preserve"> </w:t>
      </w:r>
      <w:r w:rsidR="00FA2D03" w:rsidRPr="00FA2D03">
        <w:rPr>
          <w:rFonts w:ascii="Times New Roman" w:eastAsia="ArialMT" w:hAnsi="Times New Roman" w:cs="Times New Roman"/>
          <w:color w:val="231F20"/>
          <w:sz w:val="24"/>
          <w:szCs w:val="24"/>
        </w:rPr>
        <w:t>com a imunidade, que protege os direitos humanos. O objetivo da norma superior é promover</w:t>
      </w:r>
      <w:r w:rsidR="00FA2D03">
        <w:rPr>
          <w:rFonts w:ascii="Times New Roman" w:eastAsia="ArialMT" w:hAnsi="Times New Roman" w:cs="Times New Roman"/>
          <w:color w:val="231F20"/>
          <w:sz w:val="24"/>
          <w:szCs w:val="24"/>
        </w:rPr>
        <w:t xml:space="preserve"> </w:t>
      </w:r>
      <w:r w:rsidR="00FA2D03" w:rsidRPr="00FA2D03">
        <w:rPr>
          <w:rFonts w:ascii="Times New Roman" w:eastAsia="ArialMT" w:hAnsi="Times New Roman" w:cs="Times New Roman"/>
          <w:color w:val="231F20"/>
          <w:sz w:val="24"/>
          <w:szCs w:val="24"/>
        </w:rPr>
        <w:t>a capitalização e o desenvolvimento das empresas. O CTN regulamenta o dispositivo</w:t>
      </w:r>
      <w:r w:rsidR="00FA2D03">
        <w:rPr>
          <w:rFonts w:ascii="Times New Roman" w:eastAsia="ArialMT" w:hAnsi="Times New Roman" w:cs="Times New Roman"/>
          <w:color w:val="231F20"/>
          <w:sz w:val="24"/>
          <w:szCs w:val="24"/>
        </w:rPr>
        <w:t xml:space="preserve"> </w:t>
      </w:r>
      <w:r w:rsidR="00FA2D03" w:rsidRPr="00FA2D03">
        <w:rPr>
          <w:rFonts w:ascii="Times New Roman" w:eastAsia="ArialMT" w:hAnsi="Times New Roman" w:cs="Times New Roman"/>
          <w:color w:val="231F20"/>
          <w:sz w:val="24"/>
          <w:szCs w:val="24"/>
        </w:rPr>
        <w:t>constitucional descendo as minúcias (arts. 26 e 37)”.</w:t>
      </w:r>
    </w:p>
    <w:p w:rsidR="000A62AD" w:rsidRDefault="00817363" w:rsidP="009C5E0B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120B">
        <w:rPr>
          <w:rFonts w:ascii="Times New Roman" w:eastAsia="Times New Roman" w:hAnsi="Times New Roman" w:cs="Times New Roman"/>
          <w:sz w:val="24"/>
          <w:szCs w:val="24"/>
          <w:lang w:eastAsia="pt-BR"/>
        </w:rPr>
        <w:t>Com base nos artigos 5º, inciso II</w:t>
      </w:r>
      <w:r w:rsidR="009C5E0B" w:rsidRPr="0025120B">
        <w:rPr>
          <w:rFonts w:ascii="Times New Roman" w:eastAsia="Times New Roman" w:hAnsi="Times New Roman" w:cs="Times New Roman"/>
          <w:sz w:val="24"/>
          <w:szCs w:val="24"/>
          <w:lang w:eastAsia="pt-BR"/>
        </w:rPr>
        <w:t>, 37, caput e o já citado anteriormente, todos da</w:t>
      </w:r>
      <w:r w:rsidRPr="002512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Constituição </w:t>
      </w:r>
      <w:r w:rsidR="009C5E0B" w:rsidRPr="0025120B">
        <w:rPr>
          <w:rFonts w:ascii="Times New Roman" w:eastAsia="Times New Roman" w:hAnsi="Times New Roman" w:cs="Times New Roman"/>
          <w:sz w:val="24"/>
          <w:szCs w:val="24"/>
          <w:lang w:eastAsia="pt-BR"/>
        </w:rPr>
        <w:t>Federal. “Ninguém será obrigado a fazer ou deixar de fazer alguma coisa senão em virtude de lei”, “</w:t>
      </w:r>
      <w:r w:rsidR="009C5E0B" w:rsidRPr="0025120B">
        <w:rPr>
          <w:rFonts w:ascii="Times New Roman" w:hAnsi="Times New Roman" w:cs="Times New Roman"/>
          <w:sz w:val="24"/>
          <w:szCs w:val="24"/>
          <w:shd w:val="clear" w:color="auto" w:fill="FFFFFF"/>
        </w:rPr>
        <w:t>A administração pública direta e indireta de qualquer dos Poderes da União, dos Estados, do Distrito Federal e dos Municípios obedecerá aos princípios de legalidade (...)”, dessa forma, não há na lei nenhum dispositivo que fale sobre a incidência do ITBI quando a transmissão do bem imóvel exceder o capital social, portanto,</w:t>
      </w:r>
      <w:r w:rsidR="00327F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ampliar o grau de abstração do</w:t>
      </w:r>
      <w:r w:rsidR="009C5E0B" w:rsidRPr="002512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dispositivo </w:t>
      </w:r>
      <w:r w:rsidR="00327F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positivo na Constituição, de </w:t>
      </w:r>
      <w:r w:rsidR="009C5E0B" w:rsidRPr="002512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forma que </w:t>
      </w:r>
      <w:r w:rsidR="00327F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venha prejudicar </w:t>
      </w:r>
      <w:r w:rsidR="000A62AD" w:rsidRPr="002512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é </w:t>
      </w:r>
      <w:r w:rsidR="00327F1F">
        <w:rPr>
          <w:rFonts w:ascii="Times New Roman" w:hAnsi="Times New Roman" w:cs="Times New Roman"/>
          <w:sz w:val="24"/>
          <w:szCs w:val="24"/>
          <w:shd w:val="clear" w:color="auto" w:fill="FFFFFF"/>
        </w:rPr>
        <w:t>de certo modo dezarrazoado</w:t>
      </w:r>
      <w:r w:rsidR="000A62AD" w:rsidRPr="0025120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17363" w:rsidRPr="00327F1F" w:rsidRDefault="00327F1F" w:rsidP="00327F1F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Partindo desse pressuposto, o intuito da não incidência do ITBI em determinados casos</w:t>
      </w:r>
      <w:r w:rsidR="000A62AD" w:rsidRPr="0025120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visa fomentar a livre iniciativa, o que implica dizer que o</w:t>
      </w:r>
      <w:r w:rsidR="000A62AD" w:rsidRPr="002512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fato de não haver dispositivo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legal prevendo a incidência do ITBI à quantia que excede ao valor do capital a ser integralizado,</w:t>
      </w:r>
      <w:r w:rsidR="000A62AD" w:rsidRPr="002512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fere o princípio da legalidade,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princípio este que é norteador d</w:t>
      </w:r>
      <w:r w:rsidR="000A62AD" w:rsidRPr="002512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Direito Tributário. </w:t>
      </w:r>
    </w:p>
    <w:p w:rsidR="00814E35" w:rsidRPr="0025120B" w:rsidRDefault="002D7366" w:rsidP="002D7366">
      <w:pPr>
        <w:tabs>
          <w:tab w:val="left" w:pos="6212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5120B">
        <w:rPr>
          <w:rFonts w:ascii="Times New Roman" w:hAnsi="Times New Roman" w:cs="Times New Roman"/>
          <w:sz w:val="24"/>
          <w:szCs w:val="24"/>
        </w:rPr>
        <w:tab/>
      </w:r>
    </w:p>
    <w:p w:rsidR="005235BB" w:rsidRPr="0025120B" w:rsidRDefault="005235BB" w:rsidP="005235BB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120B">
        <w:rPr>
          <w:rFonts w:ascii="Times New Roman" w:hAnsi="Times New Roman" w:cs="Times New Roman"/>
          <w:sz w:val="24"/>
          <w:szCs w:val="24"/>
        </w:rPr>
        <w:t>2.2.1 Qual a regra-matriz de incidência tributária do ITBI?</w:t>
      </w:r>
    </w:p>
    <w:p w:rsidR="00327F1F" w:rsidRPr="00327F1F" w:rsidRDefault="00D16BED" w:rsidP="00327F1F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327F1F">
        <w:rPr>
          <w:rFonts w:ascii="Times New Roman" w:hAnsi="Times New Roman" w:cs="Times New Roman"/>
          <w:sz w:val="24"/>
          <w:szCs w:val="24"/>
        </w:rPr>
        <w:t xml:space="preserve">A regra-matriz </w:t>
      </w:r>
      <w:r w:rsidR="00327F1F" w:rsidRPr="00327F1F">
        <w:rPr>
          <w:rFonts w:ascii="Times New Roman" w:hAnsi="Times New Roman" w:cs="Times New Roman"/>
          <w:sz w:val="24"/>
          <w:szCs w:val="24"/>
        </w:rPr>
        <w:t xml:space="preserve">tem por definição uma equação </w:t>
      </w:r>
      <w:r w:rsidRPr="00327F1F">
        <w:rPr>
          <w:rFonts w:ascii="Times New Roman" w:hAnsi="Times New Roman" w:cs="Times New Roman"/>
          <w:sz w:val="24"/>
          <w:szCs w:val="24"/>
        </w:rPr>
        <w:t>lógica e condicional que revela a estrutura das normas jurídicas</w:t>
      </w:r>
      <w:r w:rsidR="00327F1F" w:rsidRPr="00327F1F">
        <w:rPr>
          <w:rFonts w:ascii="Times New Roman" w:hAnsi="Times New Roman" w:cs="Times New Roman"/>
          <w:sz w:val="24"/>
          <w:szCs w:val="24"/>
        </w:rPr>
        <w:t xml:space="preserve">, há </w:t>
      </w:r>
      <w:r w:rsidR="0097368D" w:rsidRPr="00327F1F">
        <w:rPr>
          <w:rFonts w:ascii="Times New Roman" w:hAnsi="Times New Roman" w:cs="Times New Roman"/>
          <w:sz w:val="24"/>
          <w:szCs w:val="24"/>
        </w:rPr>
        <w:t xml:space="preserve">em sua estrutura elementos </w:t>
      </w:r>
      <w:r w:rsidR="007351CF">
        <w:rPr>
          <w:rFonts w:ascii="Times New Roman" w:hAnsi="Times New Roman" w:cs="Times New Roman"/>
          <w:sz w:val="24"/>
          <w:szCs w:val="24"/>
        </w:rPr>
        <w:t>de hipótese e consequente</w:t>
      </w:r>
      <w:r w:rsidR="00327F1F" w:rsidRPr="00327F1F">
        <w:rPr>
          <w:rFonts w:ascii="Times New Roman" w:hAnsi="Times New Roman" w:cs="Times New Roman"/>
          <w:sz w:val="24"/>
          <w:szCs w:val="24"/>
        </w:rPr>
        <w:t>, onde o primeiro</w:t>
      </w:r>
      <w:r w:rsidR="0097368D" w:rsidRPr="00327F1F">
        <w:rPr>
          <w:rFonts w:ascii="Times New Roman" w:hAnsi="Times New Roman" w:cs="Times New Roman"/>
          <w:sz w:val="24"/>
          <w:szCs w:val="24"/>
        </w:rPr>
        <w:t xml:space="preserve"> especifica sua hipótese de incidência e o segundo ocorre quando acontece o fato previsto na norma e daí decorrem os efeitos jurídicos. </w:t>
      </w:r>
      <w:r w:rsidR="00327F1F" w:rsidRPr="00327F1F">
        <w:rPr>
          <w:rFonts w:ascii="Times New Roman" w:hAnsi="Times New Roman" w:cs="Times New Roman"/>
        </w:rPr>
        <w:t>É um instrumento aonde vamos verificar com o fato gerador do tributo a sua vinculação com a obrigação tributária</w:t>
      </w:r>
      <w:r w:rsidR="007351CF">
        <w:rPr>
          <w:rFonts w:ascii="Times New Roman" w:hAnsi="Times New Roman" w:cs="Times New Roman"/>
        </w:rPr>
        <w:t>, e</w:t>
      </w:r>
      <w:r w:rsidR="00327F1F" w:rsidRPr="00327F1F">
        <w:rPr>
          <w:rFonts w:ascii="Times New Roman" w:hAnsi="Times New Roman" w:cs="Times New Roman"/>
        </w:rPr>
        <w:t xml:space="preserve">ssa ferramenta auxilia no estudo do fato gerador e da obrigação tributária. </w:t>
      </w:r>
      <w:r w:rsidR="000A2181">
        <w:rPr>
          <w:rFonts w:ascii="Times New Roman" w:hAnsi="Times New Roman" w:cs="Times New Roman"/>
        </w:rPr>
        <w:t>(CARVALHO,2010</w:t>
      </w:r>
      <w:r w:rsidR="00327F1F">
        <w:rPr>
          <w:rFonts w:ascii="Times New Roman" w:hAnsi="Times New Roman" w:cs="Times New Roman"/>
        </w:rPr>
        <w:t>)</w:t>
      </w:r>
    </w:p>
    <w:p w:rsidR="00327F1F" w:rsidRDefault="00327F1F" w:rsidP="00705D82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7368D" w:rsidRPr="0025120B" w:rsidRDefault="0097368D" w:rsidP="00705D82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5120B">
        <w:rPr>
          <w:rFonts w:ascii="Times New Roman" w:hAnsi="Times New Roman" w:cs="Times New Roman"/>
          <w:sz w:val="24"/>
          <w:szCs w:val="24"/>
        </w:rPr>
        <w:t>São critérios da regra matriz:</w:t>
      </w:r>
    </w:p>
    <w:p w:rsidR="002D7366" w:rsidRPr="0025120B" w:rsidRDefault="003E48CA" w:rsidP="003E48CA">
      <w:pPr>
        <w:pStyle w:val="PargrafodaLista"/>
        <w:numPr>
          <w:ilvl w:val="0"/>
          <w:numId w:val="4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5120B">
        <w:rPr>
          <w:rFonts w:ascii="Times New Roman" w:hAnsi="Times New Roman" w:cs="Times New Roman"/>
          <w:sz w:val="24"/>
          <w:szCs w:val="24"/>
        </w:rPr>
        <w:lastRenderedPageBreak/>
        <w:t xml:space="preserve">Critério Material (Cm): </w:t>
      </w:r>
      <w:r w:rsidR="00420598" w:rsidRPr="0025120B">
        <w:rPr>
          <w:rFonts w:ascii="Times New Roman" w:hAnsi="Times New Roman" w:cs="Times New Roman"/>
          <w:sz w:val="24"/>
          <w:szCs w:val="24"/>
        </w:rPr>
        <w:t>é a essência do fato descrito na hipótese de incidência. É um verbo + o seu complemento, no caso do ITBI, o verbo seria “transmissão por ‘inter vivos’, a qualquer título, por ato oneroso” + os complementos “de bem imóvel por natureza ou acessão física</w:t>
      </w:r>
      <w:r w:rsidR="00B913E1" w:rsidRPr="0025120B">
        <w:rPr>
          <w:rFonts w:ascii="Times New Roman" w:hAnsi="Times New Roman" w:cs="Times New Roman"/>
          <w:sz w:val="24"/>
          <w:szCs w:val="24"/>
        </w:rPr>
        <w:t>”; “de direitos reais sobre imóveis, exceto de garantia” e “bem como cessão de direitos à aquisição de bem imóvel”.</w:t>
      </w:r>
      <w:r w:rsidR="00420598" w:rsidRPr="0025120B">
        <w:rPr>
          <w:rFonts w:ascii="Times New Roman" w:hAnsi="Times New Roman" w:cs="Times New Roman"/>
          <w:sz w:val="24"/>
          <w:szCs w:val="24"/>
        </w:rPr>
        <w:t xml:space="preserve"> </w:t>
      </w:r>
      <w:r w:rsidRPr="002512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7FE" w:rsidRPr="0025120B" w:rsidRDefault="00B913E1" w:rsidP="00B913E1">
      <w:pPr>
        <w:pStyle w:val="PargrafodaLista"/>
        <w:numPr>
          <w:ilvl w:val="0"/>
          <w:numId w:val="4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5120B">
        <w:rPr>
          <w:rFonts w:ascii="Times New Roman" w:hAnsi="Times New Roman" w:cs="Times New Roman"/>
          <w:sz w:val="24"/>
          <w:szCs w:val="24"/>
        </w:rPr>
        <w:t>Critério Temporal (Ct): indica o momento que o fato ocorreu</w:t>
      </w:r>
      <w:r w:rsidR="0030786E" w:rsidRPr="0025120B">
        <w:rPr>
          <w:rFonts w:ascii="Times New Roman" w:hAnsi="Times New Roman" w:cs="Times New Roman"/>
          <w:sz w:val="24"/>
          <w:szCs w:val="24"/>
        </w:rPr>
        <w:t xml:space="preserve"> e isso irá determinar a lei que será usada, será usada a lei que estiver vigendo no município </w:t>
      </w:r>
      <w:r w:rsidR="007351CF">
        <w:rPr>
          <w:rFonts w:ascii="Times New Roman" w:hAnsi="Times New Roman" w:cs="Times New Roman"/>
          <w:sz w:val="24"/>
          <w:szCs w:val="24"/>
        </w:rPr>
        <w:t>à época</w:t>
      </w:r>
      <w:r w:rsidR="0030786E" w:rsidRPr="0025120B">
        <w:rPr>
          <w:rFonts w:ascii="Times New Roman" w:hAnsi="Times New Roman" w:cs="Times New Roman"/>
          <w:sz w:val="24"/>
          <w:szCs w:val="24"/>
        </w:rPr>
        <w:t xml:space="preserve"> da transmissão do bem imóvel de Hetfield Participações S/A para a Metalúrgica Heavy Metal Ltda, ou seja, a lei vigente em 2015.</w:t>
      </w:r>
    </w:p>
    <w:p w:rsidR="0030786E" w:rsidRPr="0025120B" w:rsidRDefault="0030786E" w:rsidP="00B913E1">
      <w:pPr>
        <w:pStyle w:val="PargrafodaLista"/>
        <w:numPr>
          <w:ilvl w:val="0"/>
          <w:numId w:val="4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5120B">
        <w:rPr>
          <w:rFonts w:ascii="Times New Roman" w:hAnsi="Times New Roman" w:cs="Times New Roman"/>
          <w:sz w:val="24"/>
          <w:szCs w:val="24"/>
        </w:rPr>
        <w:t>Critério Espacial (Ce): é o</w:t>
      </w:r>
      <w:r w:rsidR="007351CF">
        <w:rPr>
          <w:rFonts w:ascii="Times New Roman" w:hAnsi="Times New Roman" w:cs="Times New Roman"/>
          <w:sz w:val="24"/>
          <w:szCs w:val="24"/>
        </w:rPr>
        <w:t xml:space="preserve"> local</w:t>
      </w:r>
      <w:r w:rsidRPr="0025120B">
        <w:rPr>
          <w:rFonts w:ascii="Times New Roman" w:hAnsi="Times New Roman" w:cs="Times New Roman"/>
          <w:sz w:val="24"/>
          <w:szCs w:val="24"/>
        </w:rPr>
        <w:t xml:space="preserve"> onde ocorreu aquela relação jurídica, no caso em </w:t>
      </w:r>
      <w:r w:rsidR="007351CF">
        <w:rPr>
          <w:rFonts w:ascii="Times New Roman" w:hAnsi="Times New Roman" w:cs="Times New Roman"/>
          <w:sz w:val="24"/>
          <w:szCs w:val="24"/>
        </w:rPr>
        <w:t>apreço</w:t>
      </w:r>
      <w:r w:rsidRPr="0025120B">
        <w:rPr>
          <w:rFonts w:ascii="Times New Roman" w:hAnsi="Times New Roman" w:cs="Times New Roman"/>
          <w:sz w:val="24"/>
          <w:szCs w:val="24"/>
        </w:rPr>
        <w:t xml:space="preserve">, o espaço é São Luís e como o ITBI é um imposto municipal, </w:t>
      </w:r>
      <w:r w:rsidR="007351CF">
        <w:rPr>
          <w:rFonts w:ascii="Times New Roman" w:hAnsi="Times New Roman" w:cs="Times New Roman"/>
          <w:sz w:val="24"/>
          <w:szCs w:val="24"/>
        </w:rPr>
        <w:t xml:space="preserve">conforme </w:t>
      </w:r>
      <w:r w:rsidRPr="0025120B">
        <w:rPr>
          <w:rFonts w:ascii="Times New Roman" w:hAnsi="Times New Roman" w:cs="Times New Roman"/>
          <w:sz w:val="24"/>
          <w:szCs w:val="24"/>
        </w:rPr>
        <w:t>o artigo 156, §2º, II. A competência é de São Luís.</w:t>
      </w:r>
    </w:p>
    <w:p w:rsidR="0030786E" w:rsidRPr="0025120B" w:rsidRDefault="00EB4A63" w:rsidP="00EB4A63">
      <w:pPr>
        <w:pStyle w:val="PargrafodaLista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5120B">
        <w:rPr>
          <w:rFonts w:ascii="Times New Roman" w:hAnsi="Times New Roman" w:cs="Times New Roman"/>
          <w:sz w:val="24"/>
          <w:szCs w:val="24"/>
        </w:rPr>
        <w:t>Como elementos de consequência, tem-se os critérios:</w:t>
      </w:r>
    </w:p>
    <w:p w:rsidR="00EB4A63" w:rsidRPr="0025120B" w:rsidRDefault="00EB4A63" w:rsidP="00EB4A63">
      <w:pPr>
        <w:pStyle w:val="PargrafodaLista"/>
        <w:numPr>
          <w:ilvl w:val="0"/>
          <w:numId w:val="5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5120B">
        <w:rPr>
          <w:rFonts w:ascii="Times New Roman" w:hAnsi="Times New Roman" w:cs="Times New Roman"/>
          <w:sz w:val="24"/>
          <w:szCs w:val="24"/>
        </w:rPr>
        <w:t xml:space="preserve">Critério Pessoal: </w:t>
      </w:r>
      <w:r w:rsidR="007351CF">
        <w:rPr>
          <w:rFonts w:ascii="Times New Roman" w:hAnsi="Times New Roman" w:cs="Times New Roman"/>
          <w:sz w:val="24"/>
          <w:szCs w:val="24"/>
        </w:rPr>
        <w:t>“é o feixe de informações contid</w:t>
      </w:r>
      <w:r w:rsidR="00D85B95">
        <w:rPr>
          <w:rFonts w:ascii="Times New Roman" w:hAnsi="Times New Roman" w:cs="Times New Roman"/>
          <w:sz w:val="24"/>
          <w:szCs w:val="24"/>
        </w:rPr>
        <w:t>o</w:t>
      </w:r>
      <w:r w:rsidR="007351CF">
        <w:rPr>
          <w:rFonts w:ascii="Times New Roman" w:hAnsi="Times New Roman" w:cs="Times New Roman"/>
          <w:sz w:val="24"/>
          <w:szCs w:val="24"/>
        </w:rPr>
        <w:t xml:space="preserve"> no consequente normativo que nos permite identificar, com exatidão </w:t>
      </w:r>
      <w:r w:rsidR="009C1443">
        <w:rPr>
          <w:rFonts w:ascii="Times New Roman" w:hAnsi="Times New Roman" w:cs="Times New Roman"/>
          <w:sz w:val="24"/>
          <w:szCs w:val="24"/>
        </w:rPr>
        <w:t>o sujeito da relação jurídica a ser instaurada quando da constituição do fato jurídico”. (CARVALHO, p. 3</w:t>
      </w:r>
      <w:r w:rsidR="00A9708D">
        <w:rPr>
          <w:rFonts w:ascii="Times New Roman" w:hAnsi="Times New Roman" w:cs="Times New Roman"/>
          <w:sz w:val="24"/>
          <w:szCs w:val="24"/>
        </w:rPr>
        <w:t>88, 201</w:t>
      </w:r>
      <w:r w:rsidR="000A2181">
        <w:rPr>
          <w:rFonts w:ascii="Times New Roman" w:hAnsi="Times New Roman" w:cs="Times New Roman"/>
          <w:sz w:val="24"/>
          <w:szCs w:val="24"/>
        </w:rPr>
        <w:t>0</w:t>
      </w:r>
      <w:r w:rsidR="009C1443">
        <w:rPr>
          <w:rFonts w:ascii="Times New Roman" w:hAnsi="Times New Roman" w:cs="Times New Roman"/>
          <w:sz w:val="24"/>
          <w:szCs w:val="24"/>
        </w:rPr>
        <w:t xml:space="preserve">). O sujeito ativo dessa relação em análise </w:t>
      </w:r>
      <w:r w:rsidR="00D85B95">
        <w:rPr>
          <w:rFonts w:ascii="Times New Roman" w:hAnsi="Times New Roman" w:cs="Times New Roman"/>
          <w:sz w:val="24"/>
          <w:szCs w:val="24"/>
        </w:rPr>
        <w:t xml:space="preserve">é </w:t>
      </w:r>
      <w:r w:rsidRPr="0025120B">
        <w:rPr>
          <w:rFonts w:ascii="Times New Roman" w:hAnsi="Times New Roman" w:cs="Times New Roman"/>
          <w:sz w:val="24"/>
          <w:szCs w:val="24"/>
        </w:rPr>
        <w:t>o município de São Luís, pois é ele quem está apto a receber esse tributo e o passivo,</w:t>
      </w:r>
      <w:r w:rsidR="00D85B95">
        <w:rPr>
          <w:rFonts w:ascii="Times New Roman" w:hAnsi="Times New Roman" w:cs="Times New Roman"/>
          <w:sz w:val="24"/>
          <w:szCs w:val="24"/>
        </w:rPr>
        <w:t xml:space="preserve"> seria</w:t>
      </w:r>
      <w:r w:rsidRPr="0025120B">
        <w:rPr>
          <w:rFonts w:ascii="Times New Roman" w:hAnsi="Times New Roman" w:cs="Times New Roman"/>
          <w:sz w:val="24"/>
          <w:szCs w:val="24"/>
        </w:rPr>
        <w:t xml:space="preserve"> a Hetfield Participações S/A que é quem está realizando o ato.</w:t>
      </w:r>
    </w:p>
    <w:p w:rsidR="00002A79" w:rsidRPr="0025120B" w:rsidRDefault="00EB4A63" w:rsidP="00002A79">
      <w:pPr>
        <w:pStyle w:val="PargrafodaLista"/>
        <w:numPr>
          <w:ilvl w:val="0"/>
          <w:numId w:val="5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5120B">
        <w:rPr>
          <w:rFonts w:ascii="Times New Roman" w:hAnsi="Times New Roman" w:cs="Times New Roman"/>
          <w:sz w:val="24"/>
          <w:szCs w:val="24"/>
        </w:rPr>
        <w:t>Critério Quantitativo (Cq): esse critério corresponde ao valor a ser pago por esse tributo, deve ser levado em consideração a base de cálculo + a alíquota</w:t>
      </w:r>
      <w:r w:rsidR="00002A79" w:rsidRPr="0025120B">
        <w:rPr>
          <w:rFonts w:ascii="Times New Roman" w:hAnsi="Times New Roman" w:cs="Times New Roman"/>
          <w:sz w:val="24"/>
          <w:szCs w:val="24"/>
        </w:rPr>
        <w:t>, a base de cálculo é a grandeza para mensurar a materialidade</w:t>
      </w:r>
      <w:r w:rsidR="00D85B95">
        <w:rPr>
          <w:rFonts w:ascii="Times New Roman" w:hAnsi="Times New Roman" w:cs="Times New Roman"/>
          <w:sz w:val="24"/>
          <w:szCs w:val="24"/>
        </w:rPr>
        <w:t>, ou seja, quanto irá se pagar de tributo</w:t>
      </w:r>
      <w:r w:rsidR="00002A79" w:rsidRPr="0025120B">
        <w:rPr>
          <w:rFonts w:ascii="Times New Roman" w:hAnsi="Times New Roman" w:cs="Times New Roman"/>
          <w:sz w:val="24"/>
          <w:szCs w:val="24"/>
        </w:rPr>
        <w:t xml:space="preserve"> e a alíquota é um fator complementar aplicável sobre a base de cálculo. No caso do ITBI, seria aplicado alíquota de 2% sobre o valor do imóvel, de acordo com a Lei nº 5822/2013 que é a lei que</w:t>
      </w:r>
      <w:r w:rsidR="00D85B95">
        <w:rPr>
          <w:rFonts w:ascii="Times New Roman" w:hAnsi="Times New Roman" w:cs="Times New Roman"/>
          <w:sz w:val="24"/>
          <w:szCs w:val="24"/>
        </w:rPr>
        <w:t xml:space="preserve"> rege a incidência do </w:t>
      </w:r>
      <w:r w:rsidR="00002A79" w:rsidRPr="0025120B">
        <w:rPr>
          <w:rFonts w:ascii="Times New Roman" w:hAnsi="Times New Roman" w:cs="Times New Roman"/>
          <w:sz w:val="24"/>
          <w:szCs w:val="24"/>
        </w:rPr>
        <w:t>ITBI em São Luís.</w:t>
      </w:r>
    </w:p>
    <w:p w:rsidR="00002A79" w:rsidRPr="0025120B" w:rsidRDefault="00002A79" w:rsidP="00002A79">
      <w:pPr>
        <w:pStyle w:val="PargrafodaLista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5235BB" w:rsidRPr="0025120B" w:rsidRDefault="005235BB" w:rsidP="005235BB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120B">
        <w:rPr>
          <w:rFonts w:ascii="Times New Roman" w:hAnsi="Times New Roman" w:cs="Times New Roman"/>
          <w:sz w:val="24"/>
          <w:szCs w:val="24"/>
        </w:rPr>
        <w:t>2.2.2 Qual o conceito de imunidade tributária?</w:t>
      </w:r>
    </w:p>
    <w:p w:rsidR="00D85B95" w:rsidRDefault="00D85B95" w:rsidP="002D7366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314FF" w:rsidRDefault="009B0266" w:rsidP="00D85B95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5120B">
        <w:rPr>
          <w:rFonts w:ascii="Times New Roman" w:hAnsi="Times New Roman" w:cs="Times New Roman"/>
          <w:sz w:val="24"/>
          <w:szCs w:val="24"/>
        </w:rPr>
        <w:t xml:space="preserve">Imunidade significa está liberado, </w:t>
      </w:r>
      <w:r w:rsidR="00D85B95">
        <w:rPr>
          <w:rFonts w:ascii="Times New Roman" w:hAnsi="Times New Roman" w:cs="Times New Roman"/>
          <w:sz w:val="24"/>
          <w:szCs w:val="24"/>
        </w:rPr>
        <w:t xml:space="preserve">isento daquela prestação </w:t>
      </w:r>
      <w:r w:rsidRPr="0025120B">
        <w:rPr>
          <w:rFonts w:ascii="Times New Roman" w:hAnsi="Times New Roman" w:cs="Times New Roman"/>
          <w:sz w:val="24"/>
          <w:szCs w:val="24"/>
        </w:rPr>
        <w:t xml:space="preserve">dessa forma, quando se fala em imunidade tributária, </w:t>
      </w:r>
      <w:r w:rsidR="00D85B95">
        <w:rPr>
          <w:rFonts w:ascii="Times New Roman" w:hAnsi="Times New Roman" w:cs="Times New Roman"/>
          <w:sz w:val="24"/>
          <w:szCs w:val="24"/>
        </w:rPr>
        <w:t>presume-se</w:t>
      </w:r>
      <w:r w:rsidRPr="0025120B">
        <w:rPr>
          <w:rFonts w:ascii="Times New Roman" w:hAnsi="Times New Roman" w:cs="Times New Roman"/>
          <w:sz w:val="24"/>
          <w:szCs w:val="24"/>
        </w:rPr>
        <w:t xml:space="preserve"> que, bens, pessoas e fatos deixam de ser alcançados pela tributação.</w:t>
      </w:r>
    </w:p>
    <w:p w:rsidR="00D85B95" w:rsidRDefault="00D85B95" w:rsidP="00D85B95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="ArialMT" w:hAnsi="Times New Roman" w:cs="Times New Roman"/>
          <w:color w:val="231F20"/>
          <w:sz w:val="24"/>
          <w:szCs w:val="24"/>
        </w:rPr>
      </w:pPr>
      <w:r w:rsidRPr="00D85B95">
        <w:rPr>
          <w:rFonts w:ascii="Times New Roman" w:eastAsia="ArialMT" w:hAnsi="Times New Roman" w:cs="Times New Roman"/>
          <w:color w:val="231F20"/>
          <w:sz w:val="24"/>
          <w:szCs w:val="24"/>
        </w:rPr>
        <w:t>Sacha Calmon Navarro Coêlho</w:t>
      </w:r>
      <w:r w:rsidR="003D25C7">
        <w:rPr>
          <w:rFonts w:ascii="Times New Roman" w:eastAsia="ArialMT" w:hAnsi="Times New Roman" w:cs="Times New Roman"/>
          <w:color w:val="231F20"/>
          <w:sz w:val="24"/>
          <w:szCs w:val="24"/>
        </w:rPr>
        <w:t xml:space="preserve"> (</w:t>
      </w:r>
      <w:r w:rsidR="003D25C7" w:rsidRPr="003D25C7">
        <w:rPr>
          <w:rFonts w:ascii="Times New Roman" w:eastAsia="ArialMT" w:hAnsi="Times New Roman" w:cs="Times New Roman"/>
          <w:i/>
          <w:color w:val="231F20"/>
          <w:sz w:val="24"/>
          <w:szCs w:val="24"/>
        </w:rPr>
        <w:t>apud</w:t>
      </w:r>
      <w:r w:rsidR="003D25C7">
        <w:rPr>
          <w:rFonts w:ascii="Times New Roman" w:eastAsia="ArialMT" w:hAnsi="Times New Roman" w:cs="Times New Roman"/>
          <w:color w:val="231F20"/>
          <w:sz w:val="24"/>
          <w:szCs w:val="24"/>
        </w:rPr>
        <w:t xml:space="preserve"> SABBAG, 2014, p.1035)</w:t>
      </w:r>
      <w:r w:rsidRPr="00D85B95">
        <w:rPr>
          <w:rFonts w:ascii="Times New Roman" w:eastAsia="ArialMT" w:hAnsi="Times New Roman" w:cs="Times New Roman"/>
          <w:color w:val="231F20"/>
          <w:sz w:val="24"/>
          <w:szCs w:val="24"/>
        </w:rPr>
        <w:t xml:space="preserve">, </w:t>
      </w:r>
      <w:r>
        <w:rPr>
          <w:rFonts w:ascii="Times New Roman" w:eastAsia="ArialMT" w:hAnsi="Times New Roman" w:cs="Times New Roman"/>
          <w:color w:val="231F20"/>
          <w:sz w:val="24"/>
          <w:szCs w:val="24"/>
        </w:rPr>
        <w:t xml:space="preserve">aduz que </w:t>
      </w:r>
      <w:r w:rsidRPr="00D85B95">
        <w:rPr>
          <w:rFonts w:ascii="Times New Roman" w:eastAsia="ArialMT" w:hAnsi="Times New Roman" w:cs="Times New Roman"/>
          <w:color w:val="231F20"/>
          <w:sz w:val="24"/>
          <w:szCs w:val="24"/>
        </w:rPr>
        <w:t>“</w:t>
      </w:r>
      <w:r>
        <w:rPr>
          <w:rFonts w:ascii="Times New Roman" w:eastAsia="ArialMT" w:hAnsi="Times New Roman" w:cs="Times New Roman"/>
          <w:color w:val="231F20"/>
          <w:sz w:val="24"/>
          <w:szCs w:val="24"/>
        </w:rPr>
        <w:t xml:space="preserve">a imunidade seria a </w:t>
      </w:r>
      <w:r w:rsidRPr="00D85B95">
        <w:rPr>
          <w:rFonts w:ascii="Times New Roman" w:eastAsia="ArialMT" w:hAnsi="Times New Roman" w:cs="Times New Roman"/>
          <w:color w:val="231F20"/>
          <w:sz w:val="24"/>
          <w:szCs w:val="24"/>
        </w:rPr>
        <w:t xml:space="preserve">não incidência </w:t>
      </w:r>
      <w:r w:rsidRPr="003D25C7">
        <w:rPr>
          <w:rFonts w:ascii="Times New Roman" w:eastAsia="ArialMT" w:hAnsi="Times New Roman" w:cs="Times New Roman"/>
          <w:b/>
          <w:color w:val="231F20"/>
          <w:sz w:val="24"/>
          <w:szCs w:val="24"/>
        </w:rPr>
        <w:t>constitucionalmente</w:t>
      </w:r>
      <w:r w:rsidRPr="00D85B95">
        <w:rPr>
          <w:rFonts w:ascii="Times New Roman" w:eastAsia="ArialMT" w:hAnsi="Times New Roman" w:cs="Times New Roman"/>
          <w:color w:val="231F20"/>
          <w:sz w:val="24"/>
          <w:szCs w:val="24"/>
        </w:rPr>
        <w:t xml:space="preserve"> qualificada</w:t>
      </w:r>
      <w:r w:rsidR="003D25C7">
        <w:rPr>
          <w:rFonts w:ascii="Times New Roman" w:eastAsia="ArialMT" w:hAnsi="Times New Roman" w:cs="Times New Roman"/>
          <w:color w:val="231F20"/>
          <w:sz w:val="24"/>
          <w:szCs w:val="24"/>
        </w:rPr>
        <w:t xml:space="preserve">, já </w:t>
      </w:r>
      <w:r w:rsidRPr="00D85B95">
        <w:rPr>
          <w:rFonts w:ascii="Times New Roman" w:eastAsia="ArialMT" w:hAnsi="Times New Roman" w:cs="Times New Roman"/>
          <w:color w:val="231F20"/>
          <w:sz w:val="24"/>
          <w:szCs w:val="24"/>
        </w:rPr>
        <w:t>a isenção</w:t>
      </w:r>
      <w:r>
        <w:rPr>
          <w:rFonts w:ascii="Times New Roman" w:eastAsia="ArialMT" w:hAnsi="Times New Roman" w:cs="Times New Roman"/>
          <w:color w:val="231F20"/>
          <w:sz w:val="24"/>
          <w:szCs w:val="24"/>
        </w:rPr>
        <w:t xml:space="preserve"> trata-se da </w:t>
      </w:r>
      <w:r w:rsidRPr="00D85B95">
        <w:rPr>
          <w:rFonts w:ascii="Times New Roman" w:eastAsia="ArialMT" w:hAnsi="Times New Roman" w:cs="Times New Roman"/>
          <w:color w:val="231F20"/>
          <w:sz w:val="24"/>
          <w:szCs w:val="24"/>
        </w:rPr>
        <w:t>não incidência</w:t>
      </w:r>
      <w:r>
        <w:rPr>
          <w:rFonts w:ascii="Times New Roman" w:eastAsia="ArialMT" w:hAnsi="Times New Roman" w:cs="Times New Roman"/>
          <w:color w:val="231F20"/>
          <w:sz w:val="24"/>
          <w:szCs w:val="24"/>
        </w:rPr>
        <w:t xml:space="preserve"> </w:t>
      </w:r>
      <w:r w:rsidRPr="003D25C7">
        <w:rPr>
          <w:rFonts w:ascii="Times New Roman" w:eastAsia="ArialMT" w:hAnsi="Times New Roman" w:cs="Times New Roman"/>
          <w:b/>
          <w:color w:val="231F20"/>
          <w:sz w:val="24"/>
          <w:szCs w:val="24"/>
        </w:rPr>
        <w:t>legalmente</w:t>
      </w:r>
      <w:r w:rsidRPr="00D85B95">
        <w:rPr>
          <w:rFonts w:ascii="Times New Roman" w:eastAsia="ArialMT" w:hAnsi="Times New Roman" w:cs="Times New Roman"/>
          <w:color w:val="231F20"/>
          <w:sz w:val="24"/>
          <w:szCs w:val="24"/>
        </w:rPr>
        <w:t xml:space="preserve"> qualificada</w:t>
      </w:r>
      <w:r w:rsidR="003D25C7">
        <w:rPr>
          <w:rFonts w:ascii="Times New Roman" w:eastAsia="ArialMT" w:hAnsi="Times New Roman" w:cs="Times New Roman"/>
          <w:color w:val="231F20"/>
          <w:sz w:val="24"/>
          <w:szCs w:val="24"/>
        </w:rPr>
        <w:t>”</w:t>
      </w:r>
      <w:r>
        <w:rPr>
          <w:rFonts w:ascii="Times New Roman" w:eastAsia="ArialMT" w:hAnsi="Times New Roman" w:cs="Times New Roman"/>
          <w:color w:val="231F20"/>
          <w:sz w:val="24"/>
          <w:szCs w:val="24"/>
        </w:rPr>
        <w:t>.</w:t>
      </w:r>
      <w:r w:rsidRPr="00D85B95">
        <w:rPr>
          <w:rFonts w:ascii="Times New Roman" w:eastAsia="ArialMT" w:hAnsi="Times New Roman" w:cs="Times New Roman"/>
          <w:color w:val="231F20"/>
          <w:sz w:val="24"/>
          <w:szCs w:val="24"/>
        </w:rPr>
        <w:t xml:space="preserve"> </w:t>
      </w:r>
    </w:p>
    <w:p w:rsidR="000A2181" w:rsidRDefault="000A2181" w:rsidP="000A218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Em relação às normas tributárias imunizantes, estas devem ser interpretadas tanto de forma restritiva quanto extensiva. Na primeira forma, a interpretação ocorre no sentido literal da letra da lei, restringindo a abrangência da hipótese em discussão; na segunda, por sua vez, há a interpretação de forma que seja ultrapassado o resultado da letra da lei, buscando as consequências daquele fato normativo (REIS JÚNIOR, 2010). </w:t>
      </w:r>
    </w:p>
    <w:p w:rsidR="000A2181" w:rsidRPr="00994AFC" w:rsidRDefault="000A2181" w:rsidP="000A2181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40855">
        <w:rPr>
          <w:rFonts w:ascii="Times New Roman" w:hAnsi="Times New Roman" w:cs="Times New Roman"/>
          <w:sz w:val="24"/>
          <w:szCs w:val="24"/>
        </w:rPr>
        <w:t>“</w:t>
      </w:r>
      <w:r w:rsidRPr="00C4085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Assim, as normas imunizantes, segundo jurisprudência e doutrina, devem ser interpretadas de forma ampla e teleológica, não no sentido de estender o sentido da norma jurídica, inovando naquilo em que o constituinte não quis expressar, mas de buscar o exato alcance e sentido que a lei maior quis trazer”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(MAZZA, 2011).</w:t>
      </w:r>
    </w:p>
    <w:p w:rsidR="000A2181" w:rsidRPr="00D85B95" w:rsidRDefault="000A2181" w:rsidP="00D85B95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235BB" w:rsidRPr="0025120B" w:rsidRDefault="005235BB" w:rsidP="005235BB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120B">
        <w:rPr>
          <w:rFonts w:ascii="Times New Roman" w:hAnsi="Times New Roman" w:cs="Times New Roman"/>
          <w:sz w:val="24"/>
          <w:szCs w:val="24"/>
        </w:rPr>
        <w:t>2.2.3 Qual o limite de interpretação das normas tributárias</w:t>
      </w:r>
      <w:r w:rsidR="00D437D7" w:rsidRPr="0025120B">
        <w:rPr>
          <w:rFonts w:ascii="Times New Roman" w:hAnsi="Times New Roman" w:cs="Times New Roman"/>
          <w:sz w:val="24"/>
          <w:szCs w:val="24"/>
        </w:rPr>
        <w:t xml:space="preserve"> imunizantes?</w:t>
      </w:r>
    </w:p>
    <w:p w:rsidR="00070707" w:rsidRPr="00070707" w:rsidRDefault="00070707" w:rsidP="0007070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707">
        <w:rPr>
          <w:rFonts w:ascii="Times New Roman" w:eastAsia="ArialMT" w:hAnsi="Times New Roman" w:cs="Times New Roman"/>
          <w:color w:val="231F20"/>
          <w:sz w:val="24"/>
          <w:szCs w:val="24"/>
        </w:rPr>
        <w:t>Para o eminente professor Paulo de Barros Carvalho</w:t>
      </w:r>
      <w:r w:rsidRPr="00070707">
        <w:rPr>
          <w:rFonts w:ascii="Times New Roman" w:eastAsia="ArialMT" w:hAnsi="Times New Roman" w:cs="Times New Roman"/>
          <w:color w:val="0000EF"/>
          <w:sz w:val="24"/>
          <w:szCs w:val="24"/>
        </w:rPr>
        <w:t>[2]</w:t>
      </w:r>
      <w:r w:rsidRPr="00070707">
        <w:rPr>
          <w:rFonts w:ascii="Times New Roman" w:eastAsia="ArialMT" w:hAnsi="Times New Roman" w:cs="Times New Roman"/>
          <w:color w:val="231F20"/>
          <w:sz w:val="24"/>
          <w:szCs w:val="24"/>
        </w:rPr>
        <w:t>, a imunidade se define como “a</w:t>
      </w:r>
      <w:r>
        <w:rPr>
          <w:rFonts w:ascii="Times New Roman" w:eastAsia="ArialMT" w:hAnsi="Times New Roman" w:cs="Times New Roman"/>
          <w:color w:val="231F20"/>
          <w:sz w:val="24"/>
          <w:szCs w:val="24"/>
        </w:rPr>
        <w:t xml:space="preserve"> </w:t>
      </w:r>
      <w:r w:rsidRPr="00070707">
        <w:rPr>
          <w:rFonts w:ascii="Times New Roman" w:eastAsia="ArialMT" w:hAnsi="Times New Roman" w:cs="Times New Roman"/>
          <w:color w:val="231F20"/>
          <w:sz w:val="24"/>
          <w:szCs w:val="24"/>
        </w:rPr>
        <w:t>classe finita e imediatamente determinável de normas jurídicas, contidas no texto da</w:t>
      </w:r>
      <w:r>
        <w:rPr>
          <w:rFonts w:ascii="Times New Roman" w:eastAsia="ArialMT" w:hAnsi="Times New Roman" w:cs="Times New Roman"/>
          <w:color w:val="231F20"/>
          <w:sz w:val="24"/>
          <w:szCs w:val="24"/>
        </w:rPr>
        <w:t xml:space="preserve"> </w:t>
      </w:r>
      <w:r w:rsidRPr="00070707">
        <w:rPr>
          <w:rFonts w:ascii="Times New Roman" w:eastAsia="ArialMT" w:hAnsi="Times New Roman" w:cs="Times New Roman"/>
          <w:color w:val="231F20"/>
          <w:sz w:val="24"/>
          <w:szCs w:val="24"/>
        </w:rPr>
        <w:t>Constituição Federal, e que estabelecem, de modo expresso, a incompetência das pessoas</w:t>
      </w:r>
      <w:r>
        <w:rPr>
          <w:rFonts w:ascii="Times New Roman" w:eastAsia="ArialMT" w:hAnsi="Times New Roman" w:cs="Times New Roman"/>
          <w:color w:val="231F20"/>
          <w:sz w:val="24"/>
          <w:szCs w:val="24"/>
        </w:rPr>
        <w:t xml:space="preserve"> </w:t>
      </w:r>
      <w:r w:rsidRPr="00070707">
        <w:rPr>
          <w:rFonts w:ascii="Times New Roman" w:eastAsia="ArialMT" w:hAnsi="Times New Roman" w:cs="Times New Roman"/>
          <w:color w:val="231F20"/>
          <w:sz w:val="24"/>
          <w:szCs w:val="24"/>
        </w:rPr>
        <w:t>políticas de direito constitucional interno para expedir regras instituidoras de tributos que</w:t>
      </w:r>
      <w:r>
        <w:rPr>
          <w:rFonts w:ascii="Times New Roman" w:eastAsia="ArialMT" w:hAnsi="Times New Roman" w:cs="Times New Roman"/>
          <w:color w:val="231F20"/>
          <w:sz w:val="24"/>
          <w:szCs w:val="24"/>
        </w:rPr>
        <w:t xml:space="preserve"> </w:t>
      </w:r>
      <w:r w:rsidRPr="00070707">
        <w:rPr>
          <w:rFonts w:ascii="Times New Roman" w:eastAsia="ArialMT" w:hAnsi="Times New Roman" w:cs="Times New Roman"/>
          <w:color w:val="231F20"/>
          <w:sz w:val="24"/>
          <w:szCs w:val="24"/>
        </w:rPr>
        <w:t>alcancem situações específicas e suficientemente caracterizadas</w:t>
      </w:r>
    </w:p>
    <w:p w:rsidR="00D85EE2" w:rsidRDefault="00D85EE2" w:rsidP="00D85EE2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5EE2" w:rsidRPr="00967595" w:rsidRDefault="00D85EE2" w:rsidP="009675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5EE2" w:rsidRPr="0025120B" w:rsidRDefault="00D85EE2" w:rsidP="00D85EE2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24C" w:rsidRDefault="00F1024C" w:rsidP="00F102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B75" w:rsidRDefault="00252B75" w:rsidP="00F102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B75" w:rsidRDefault="00252B75" w:rsidP="00F102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B75" w:rsidRDefault="00252B75" w:rsidP="00F102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B75" w:rsidRDefault="00252B75" w:rsidP="00F102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B75" w:rsidRDefault="00252B75" w:rsidP="00F102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B75" w:rsidRDefault="00252B75" w:rsidP="00F102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B75" w:rsidRDefault="00252B75" w:rsidP="00F102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B75" w:rsidRDefault="00252B75" w:rsidP="00F102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B75" w:rsidRDefault="00252B75" w:rsidP="00F102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B75" w:rsidRDefault="00252B75" w:rsidP="00F102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B75" w:rsidRDefault="00252B75" w:rsidP="00F102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B75" w:rsidRDefault="00252B75" w:rsidP="00F102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B75" w:rsidRDefault="00252B75" w:rsidP="00F102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B75" w:rsidRDefault="00252B75" w:rsidP="00F102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B75" w:rsidRDefault="00252B75" w:rsidP="00F102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B75" w:rsidRDefault="00252B75" w:rsidP="00F102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B75" w:rsidRDefault="00252B75" w:rsidP="00F102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B75" w:rsidRDefault="00252B75" w:rsidP="00F102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B75" w:rsidRDefault="00252B75" w:rsidP="00F102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B75" w:rsidRDefault="00252B75" w:rsidP="00F102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B75" w:rsidRPr="0025120B" w:rsidRDefault="00252B75" w:rsidP="00F102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08D" w:rsidRDefault="00EB3CC1" w:rsidP="000A2181">
      <w:pPr>
        <w:pStyle w:val="PargrafodaLista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20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D47E7" wp14:editId="555C44C7">
                <wp:simplePos x="0" y="0"/>
                <wp:positionH relativeFrom="column">
                  <wp:posOffset>5588552</wp:posOffset>
                </wp:positionH>
                <wp:positionV relativeFrom="paragraph">
                  <wp:posOffset>-801563</wp:posOffset>
                </wp:positionV>
                <wp:extent cx="914400" cy="914400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CC1" w:rsidRDefault="00EB3CC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1D47E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40.05pt;margin-top:-63.1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" fillcolor="white [3212]" stroked="f" strokeweight=".5pt">
                <v:textbox>
                  <w:txbxContent>
                    <w:p w:rsidR="00EB3CC1" w:rsidRDefault="00EB3CC1"/>
                  </w:txbxContent>
                </v:textbox>
              </v:shape>
            </w:pict>
          </mc:Fallback>
        </mc:AlternateContent>
      </w:r>
      <w:r w:rsidR="00475448" w:rsidRPr="0025120B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0A2181" w:rsidRPr="009B009F" w:rsidRDefault="000A2181" w:rsidP="000A2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</w:t>
      </w:r>
      <w:r>
        <w:rPr>
          <w:rFonts w:ascii="Times New Roman" w:hAnsi="Times New Roman" w:cs="Times New Roman"/>
          <w:b/>
          <w:sz w:val="24"/>
          <w:szCs w:val="24"/>
        </w:rPr>
        <w:t>Código Tributário Nacional</w:t>
      </w:r>
      <w:r>
        <w:rPr>
          <w:rFonts w:ascii="Times New Roman" w:hAnsi="Times New Roman" w:cs="Times New Roman"/>
          <w:sz w:val="24"/>
          <w:szCs w:val="24"/>
        </w:rPr>
        <w:t>. Disponível em: &lt;</w:t>
      </w:r>
      <w:r w:rsidRPr="009B009F">
        <w:rPr>
          <w:rFonts w:ascii="Times New Roman" w:hAnsi="Times New Roman" w:cs="Times New Roman"/>
          <w:sz w:val="24"/>
          <w:szCs w:val="24"/>
        </w:rPr>
        <w:t>http://www.planalto.gov.br/ccivil_03/leis/l5172.htm</w:t>
      </w:r>
      <w:r>
        <w:rPr>
          <w:rFonts w:ascii="Times New Roman" w:hAnsi="Times New Roman" w:cs="Times New Roman"/>
          <w:sz w:val="24"/>
          <w:szCs w:val="24"/>
        </w:rPr>
        <w:t>&gt;. Acesso em: 21 mar. de 2015.</w:t>
      </w:r>
    </w:p>
    <w:p w:rsidR="000A2181" w:rsidRDefault="000A2181" w:rsidP="000A2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181" w:rsidRDefault="000A2181" w:rsidP="000A2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Constituição (1988).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Constituição da República Federativa do Brasil: </w:t>
      </w:r>
      <w:r>
        <w:rPr>
          <w:rFonts w:ascii="Times New Roman" w:hAnsi="Times New Roman" w:cs="Times New Roman"/>
          <w:sz w:val="24"/>
          <w:szCs w:val="24"/>
        </w:rPr>
        <w:t>promulgada em 5 de outubro de 1988. Organização do texto: Juarez de Oliveira. 4. ed. São Paulo: Saraiva, 1990. 168 p. (Série Legislação Brasileira)</w:t>
      </w:r>
    </w:p>
    <w:p w:rsidR="000A2181" w:rsidRDefault="000A2181" w:rsidP="000A2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181" w:rsidRDefault="000A2181" w:rsidP="000A2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CARVALHO, Aurora Tomazini de. </w:t>
      </w:r>
      <w:r>
        <w:rPr>
          <w:rFonts w:ascii="Times New Roman" w:hAnsi="Times New Roman" w:cs="Times New Roman"/>
          <w:b/>
          <w:sz w:val="24"/>
          <w:szCs w:val="24"/>
        </w:rPr>
        <w:t xml:space="preserve">Curso de Teoria Geral do Direito: </w:t>
      </w:r>
      <w:r>
        <w:rPr>
          <w:rFonts w:ascii="Times New Roman" w:hAnsi="Times New Roman" w:cs="Times New Roman"/>
          <w:sz w:val="24"/>
          <w:szCs w:val="24"/>
        </w:rPr>
        <w:t>o constructivismo lógico-semântico. São Paulo: Noeses, 2010.</w:t>
      </w:r>
    </w:p>
    <w:p w:rsidR="000A2181" w:rsidRPr="00A9708D" w:rsidRDefault="000A2181" w:rsidP="000A2181">
      <w:pPr>
        <w:pStyle w:val="PargrafodaLista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A2181" w:rsidRPr="009B009F" w:rsidRDefault="000A2181" w:rsidP="000A2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Decreto nº 33.144/07. </w:t>
      </w:r>
      <w:r>
        <w:rPr>
          <w:rFonts w:ascii="Times New Roman" w:hAnsi="Times New Roman" w:cs="Times New Roman"/>
          <w:b/>
          <w:sz w:val="24"/>
          <w:szCs w:val="24"/>
        </w:rPr>
        <w:t xml:space="preserve">Consolida a Legislação Tributária do Município de São Luís. </w:t>
      </w:r>
      <w:r>
        <w:rPr>
          <w:rFonts w:ascii="Times New Roman" w:hAnsi="Times New Roman" w:cs="Times New Roman"/>
          <w:sz w:val="24"/>
          <w:szCs w:val="24"/>
        </w:rPr>
        <w:t>Disponível em: &lt;</w:t>
      </w:r>
      <w:r w:rsidRPr="009B009F">
        <w:t xml:space="preserve"> </w:t>
      </w:r>
      <w:r w:rsidRPr="009B009F">
        <w:rPr>
          <w:rFonts w:ascii="Times New Roman" w:hAnsi="Times New Roman" w:cs="Times New Roman"/>
          <w:sz w:val="24"/>
          <w:szCs w:val="24"/>
        </w:rPr>
        <w:t>http://www.fiscosoft.com.br/g/4s9v/decreto-do-municipio-de-sao-luisma-n-33144-de-28122007</w:t>
      </w:r>
      <w:r>
        <w:rPr>
          <w:rFonts w:ascii="Times New Roman" w:hAnsi="Times New Roman" w:cs="Times New Roman"/>
          <w:sz w:val="24"/>
          <w:szCs w:val="24"/>
        </w:rPr>
        <w:t>&gt;. Acesso em: 22 mar. 2015.</w:t>
      </w:r>
    </w:p>
    <w:p w:rsidR="000A2181" w:rsidRDefault="000A2181" w:rsidP="000A2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181" w:rsidRDefault="000A2181" w:rsidP="000A218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734E">
        <w:rPr>
          <w:rFonts w:ascii="Times New Roman" w:hAnsi="Times New Roman" w:cs="Times New Roman"/>
          <w:sz w:val="24"/>
          <w:szCs w:val="24"/>
          <w:shd w:val="clear" w:color="auto" w:fill="FFFFFF"/>
        </w:rPr>
        <w:t>MAZZA, Willame Parente.</w:t>
      </w:r>
      <w:r w:rsidRPr="0041734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A2181">
        <w:rPr>
          <w:rFonts w:ascii="Times New Roman" w:hAnsi="Times New Roman" w:cs="Times New Roman"/>
          <w:b/>
          <w:sz w:val="24"/>
          <w:szCs w:val="24"/>
        </w:rPr>
        <w:t>Interpretação das normas de imunidade tributária</w:t>
      </w:r>
      <w:r w:rsidRPr="0041734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1734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1734E">
        <w:rPr>
          <w:rStyle w:val="Forte"/>
          <w:rFonts w:ascii="Times New Roman" w:hAnsi="Times New Roman" w:cs="Times New Roman"/>
          <w:sz w:val="24"/>
          <w:szCs w:val="24"/>
        </w:rPr>
        <w:t>Jus Navigandi</w:t>
      </w:r>
      <w:r w:rsidRPr="0041734E">
        <w:rPr>
          <w:rFonts w:ascii="Times New Roman" w:hAnsi="Times New Roman" w:cs="Times New Roman"/>
          <w:sz w:val="24"/>
          <w:szCs w:val="24"/>
          <w:shd w:val="clear" w:color="auto" w:fill="FFFFFF"/>
        </w:rPr>
        <w:t>, Teresina,</w:t>
      </w:r>
      <w:r w:rsidRPr="0041734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history="1">
        <w:r w:rsidRPr="0041734E">
          <w:rPr>
            <w:rStyle w:val="Hyperlink"/>
            <w:rFonts w:ascii="Times New Roman" w:hAnsi="Times New Roman" w:cs="Times New Roman"/>
            <w:sz w:val="24"/>
            <w:szCs w:val="24"/>
          </w:rPr>
          <w:t>ano 16</w:t>
        </w:r>
      </w:hyperlink>
      <w:r w:rsidRPr="0041734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1734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history="1">
        <w:r w:rsidRPr="0041734E">
          <w:rPr>
            <w:rStyle w:val="Hyperlink"/>
            <w:rFonts w:ascii="Times New Roman" w:hAnsi="Times New Roman" w:cs="Times New Roman"/>
            <w:sz w:val="24"/>
            <w:szCs w:val="24"/>
          </w:rPr>
          <w:t>n. 3054</w:t>
        </w:r>
      </w:hyperlink>
      <w:r w:rsidRPr="0041734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1734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41734E">
          <w:rPr>
            <w:rStyle w:val="Hyperlink"/>
            <w:rFonts w:ascii="Times New Roman" w:hAnsi="Times New Roman" w:cs="Times New Roman"/>
            <w:sz w:val="24"/>
            <w:szCs w:val="24"/>
          </w:rPr>
          <w:t>11</w:t>
        </w:r>
      </w:hyperlink>
      <w:r w:rsidRPr="0041734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41734E">
          <w:rPr>
            <w:rStyle w:val="Hyperlink"/>
            <w:rFonts w:ascii="Times New Roman" w:hAnsi="Times New Roman" w:cs="Times New Roman"/>
            <w:sz w:val="24"/>
            <w:szCs w:val="24"/>
          </w:rPr>
          <w:t>nov.</w:t>
        </w:r>
      </w:hyperlink>
      <w:r w:rsidRPr="0041734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2" w:history="1">
        <w:r w:rsidRPr="0041734E">
          <w:rPr>
            <w:rStyle w:val="Hyperlink"/>
            <w:rFonts w:ascii="Times New Roman" w:hAnsi="Times New Roman" w:cs="Times New Roman"/>
            <w:sz w:val="24"/>
            <w:szCs w:val="24"/>
          </w:rPr>
          <w:t>2011</w:t>
        </w:r>
      </w:hyperlink>
      <w:r w:rsidRPr="0041734E">
        <w:rPr>
          <w:rFonts w:ascii="Times New Roman" w:hAnsi="Times New Roman" w:cs="Times New Roman"/>
          <w:sz w:val="24"/>
          <w:szCs w:val="24"/>
          <w:shd w:val="clear" w:color="auto" w:fill="FFFFFF"/>
        </w:rPr>
        <w:t>. Disponível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</w:t>
      </w:r>
      <w:r w:rsidRPr="0041734E">
        <w:rPr>
          <w:rFonts w:ascii="Times New Roman" w:hAnsi="Times New Roman" w:cs="Times New Roman"/>
          <w:sz w:val="24"/>
          <w:szCs w:val="24"/>
          <w:shd w:val="clear" w:color="auto" w:fill="FFFFFF"/>
        </w:rPr>
        <w:t>m:</w:t>
      </w:r>
      <w:r w:rsidRPr="0041734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1734E">
        <w:rPr>
          <w:rStyle w:val="url"/>
          <w:rFonts w:ascii="Times New Roman" w:hAnsi="Times New Roman" w:cs="Times New Roman"/>
          <w:sz w:val="24"/>
          <w:szCs w:val="24"/>
        </w:rPr>
        <w:t>&lt;http://jus.com.br/artigos/20403&gt;</w:t>
      </w:r>
      <w:r w:rsidRPr="0041734E">
        <w:rPr>
          <w:rFonts w:ascii="Times New Roman" w:hAnsi="Times New Roman" w:cs="Times New Roman"/>
          <w:sz w:val="24"/>
          <w:szCs w:val="24"/>
          <w:shd w:val="clear" w:color="auto" w:fill="FFFFFF"/>
        </w:rPr>
        <w:t>. Acesso em:</w:t>
      </w:r>
      <w:r w:rsidRPr="0041734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41734E">
        <w:rPr>
          <w:rFonts w:ascii="Times New Roman" w:hAnsi="Times New Roman" w:cs="Times New Roman"/>
          <w:sz w:val="24"/>
          <w:szCs w:val="24"/>
        </w:rPr>
        <w:t xml:space="preserve"> mar. 2015</w:t>
      </w:r>
      <w:r w:rsidRPr="0041734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A2181" w:rsidRDefault="000A2181" w:rsidP="000A218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A2181" w:rsidRPr="00C24066" w:rsidRDefault="000A2181" w:rsidP="000A2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0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RECURSO EXTRAORDINÁRIO, </w:t>
      </w:r>
      <w:r w:rsidRPr="00C24066">
        <w:rPr>
          <w:rFonts w:ascii="Times New Roman" w:hAnsi="Times New Roman" w:cs="Times New Roman"/>
          <w:b/>
          <w:color w:val="000000"/>
          <w:sz w:val="24"/>
          <w:szCs w:val="24"/>
        </w:rPr>
        <w:t>RE 796376</w:t>
      </w:r>
      <w:r w:rsidRPr="00C24066">
        <w:rPr>
          <w:rFonts w:ascii="Times New Roman" w:hAnsi="Times New Roman" w:cs="Times New Roman"/>
          <w:color w:val="000000"/>
          <w:sz w:val="24"/>
          <w:szCs w:val="24"/>
        </w:rPr>
        <w:t xml:space="preserve"> RG, Relator(a): Min. Marco Aurélio, julgado em 05/03/2015, processo eletrônico dje-055 divulg 19-03-2015 public 20-03-2015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24066">
        <w:rPr>
          <w:rFonts w:ascii="Times New Roman" w:hAnsi="Times New Roman" w:cs="Times New Roman"/>
          <w:sz w:val="24"/>
          <w:szCs w:val="24"/>
        </w:rPr>
        <w:br/>
      </w:r>
    </w:p>
    <w:p w:rsidR="000A2181" w:rsidRDefault="000A2181" w:rsidP="000A218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734E">
        <w:rPr>
          <w:rFonts w:ascii="Times New Roman" w:hAnsi="Times New Roman" w:cs="Times New Roman"/>
          <w:sz w:val="24"/>
          <w:szCs w:val="24"/>
          <w:shd w:val="clear" w:color="auto" w:fill="FFFFFF"/>
        </w:rPr>
        <w:t>REIS JÚNIOR, Ari Timóteo dos.</w:t>
      </w:r>
      <w:r w:rsidRPr="0041734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A2181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Imunidade tributária</w:t>
      </w:r>
      <w:r w:rsidRPr="0041734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1734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1734E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Jus Navigandi</w:t>
      </w:r>
      <w:r w:rsidRPr="0041734E">
        <w:rPr>
          <w:rFonts w:ascii="Times New Roman" w:hAnsi="Times New Roman" w:cs="Times New Roman"/>
          <w:sz w:val="24"/>
          <w:szCs w:val="24"/>
          <w:shd w:val="clear" w:color="auto" w:fill="FFFFFF"/>
        </w:rPr>
        <w:t>, Teresina,</w:t>
      </w:r>
      <w:r w:rsidRPr="0041734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3" w:history="1">
        <w:r w:rsidRPr="0041734E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ano 15</w:t>
        </w:r>
      </w:hyperlink>
      <w:r w:rsidRPr="0041734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1734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4" w:history="1">
        <w:r w:rsidRPr="0041734E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n. 2613</w:t>
        </w:r>
      </w:hyperlink>
      <w:r w:rsidRPr="0041734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1734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5" w:history="1">
        <w:r w:rsidRPr="0041734E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27</w:t>
        </w:r>
      </w:hyperlink>
      <w:r w:rsidRPr="0041734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6" w:history="1">
        <w:r w:rsidRPr="0041734E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ago.</w:t>
        </w:r>
      </w:hyperlink>
      <w:r w:rsidRPr="0041734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7" w:history="1">
        <w:r w:rsidRPr="0041734E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2010</w:t>
        </w:r>
      </w:hyperlink>
      <w:r w:rsidRPr="0041734E">
        <w:rPr>
          <w:rFonts w:ascii="Times New Roman" w:hAnsi="Times New Roman" w:cs="Times New Roman"/>
          <w:sz w:val="24"/>
          <w:szCs w:val="24"/>
          <w:shd w:val="clear" w:color="auto" w:fill="FFFFFF"/>
        </w:rPr>
        <w:t>. Disponível em:</w:t>
      </w:r>
      <w:r w:rsidRPr="0041734E">
        <w:rPr>
          <w:rStyle w:val="url"/>
          <w:rFonts w:ascii="Times New Roman" w:hAnsi="Times New Roman" w:cs="Times New Roman"/>
          <w:sz w:val="24"/>
          <w:szCs w:val="24"/>
          <w:shd w:val="clear" w:color="auto" w:fill="FFFFFF"/>
        </w:rPr>
        <w:t>&lt;http://jus.com.br/artigos/17284&gt;</w:t>
      </w:r>
      <w:r w:rsidRPr="0041734E">
        <w:rPr>
          <w:rFonts w:ascii="Times New Roman" w:hAnsi="Times New Roman" w:cs="Times New Roman"/>
          <w:sz w:val="24"/>
          <w:szCs w:val="24"/>
          <w:shd w:val="clear" w:color="auto" w:fill="FFFFFF"/>
        </w:rPr>
        <w:t>. Acesso em:</w:t>
      </w:r>
      <w:r w:rsidRPr="0041734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23</w:t>
      </w:r>
      <w:r w:rsidRPr="004173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mar. 2015.</w:t>
      </w:r>
    </w:p>
    <w:p w:rsidR="000A2181" w:rsidRDefault="000A2181" w:rsidP="000A218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231F20"/>
          <w:sz w:val="24"/>
          <w:szCs w:val="24"/>
        </w:rPr>
      </w:pPr>
    </w:p>
    <w:p w:rsidR="0062785F" w:rsidRPr="00765C69" w:rsidRDefault="0062785F" w:rsidP="0062785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SABBAG, Eduardo.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Manual de Direito Tributário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São Paulo: Saraiva, 2014.</w:t>
      </w:r>
    </w:p>
    <w:p w:rsidR="0062785F" w:rsidRDefault="0062785F" w:rsidP="000A218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231F20"/>
          <w:sz w:val="24"/>
          <w:szCs w:val="24"/>
        </w:rPr>
      </w:pPr>
    </w:p>
    <w:p w:rsidR="000A2181" w:rsidRDefault="000A2181" w:rsidP="000A218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231F20"/>
          <w:sz w:val="24"/>
          <w:szCs w:val="24"/>
        </w:rPr>
      </w:pPr>
    </w:p>
    <w:p w:rsidR="000A2181" w:rsidRPr="000A2181" w:rsidRDefault="000A2181" w:rsidP="000A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2181">
        <w:rPr>
          <w:rFonts w:ascii="Times New Roman" w:eastAsia="ArialMT" w:hAnsi="Times New Roman" w:cs="Times New Roman"/>
          <w:color w:val="231F20"/>
          <w:sz w:val="24"/>
          <w:szCs w:val="24"/>
        </w:rPr>
        <w:t xml:space="preserve">TORRES, Ricardo Lobo. </w:t>
      </w:r>
      <w:r w:rsidRPr="000A2181">
        <w:rPr>
          <w:rFonts w:ascii="Times New Roman" w:eastAsia="Arial-ItalicMT" w:hAnsi="Times New Roman" w:cs="Times New Roman"/>
          <w:i/>
          <w:iCs/>
          <w:color w:val="231F20"/>
          <w:sz w:val="24"/>
          <w:szCs w:val="24"/>
        </w:rPr>
        <w:t xml:space="preserve">Tratado </w:t>
      </w:r>
      <w:r w:rsidRPr="000A2181">
        <w:rPr>
          <w:rFonts w:ascii="Times New Roman" w:eastAsia="Arial-ItalicMT" w:hAnsi="Times New Roman" w:cs="Times New Roman"/>
          <w:b/>
          <w:iCs/>
          <w:color w:val="231F20"/>
          <w:sz w:val="24"/>
          <w:szCs w:val="24"/>
        </w:rPr>
        <w:t>de direito constitucional financeiro e tributário</w:t>
      </w:r>
      <w:r w:rsidRPr="000A2181">
        <w:rPr>
          <w:rFonts w:ascii="Times New Roman" w:eastAsia="Arial-ItalicMT" w:hAnsi="Times New Roman" w:cs="Times New Roman"/>
          <w:i/>
          <w:iCs/>
          <w:color w:val="231F20"/>
          <w:sz w:val="24"/>
          <w:szCs w:val="24"/>
        </w:rPr>
        <w:t xml:space="preserve">. </w:t>
      </w:r>
      <w:r w:rsidRPr="000A2181">
        <w:rPr>
          <w:rFonts w:ascii="Times New Roman" w:eastAsia="ArialMT" w:hAnsi="Times New Roman" w:cs="Times New Roman"/>
          <w:color w:val="231F20"/>
          <w:sz w:val="24"/>
          <w:szCs w:val="24"/>
        </w:rPr>
        <w:t xml:space="preserve">Rio de Janeiro: Renovar, 2005, v. III, </w:t>
      </w:r>
    </w:p>
    <w:p w:rsidR="00010E31" w:rsidRPr="000A2181" w:rsidRDefault="00010E31" w:rsidP="000A2181">
      <w:pPr>
        <w:pStyle w:val="PargrafodaLista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10E31" w:rsidRPr="000A2181" w:rsidSect="00B21EF4">
      <w:headerReference w:type="default" r:id="rId18"/>
      <w:headerReference w:type="first" r:id="rId19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64A" w:rsidRDefault="0018764A" w:rsidP="00CC40A8">
      <w:pPr>
        <w:spacing w:after="0" w:line="240" w:lineRule="auto"/>
      </w:pPr>
      <w:r>
        <w:separator/>
      </w:r>
    </w:p>
  </w:endnote>
  <w:endnote w:type="continuationSeparator" w:id="0">
    <w:p w:rsidR="0018764A" w:rsidRDefault="0018764A" w:rsidP="00CC4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64A" w:rsidRDefault="0018764A" w:rsidP="00CC40A8">
      <w:pPr>
        <w:spacing w:after="0" w:line="240" w:lineRule="auto"/>
      </w:pPr>
      <w:r>
        <w:separator/>
      </w:r>
    </w:p>
  </w:footnote>
  <w:footnote w:type="continuationSeparator" w:id="0">
    <w:p w:rsidR="0018764A" w:rsidRDefault="0018764A" w:rsidP="00CC40A8">
      <w:pPr>
        <w:spacing w:after="0" w:line="240" w:lineRule="auto"/>
      </w:pPr>
      <w:r>
        <w:continuationSeparator/>
      </w:r>
    </w:p>
  </w:footnote>
  <w:footnote w:id="1">
    <w:p w:rsidR="00CC40A8" w:rsidRPr="00CC40A8" w:rsidRDefault="00CC40A8">
      <w:pPr>
        <w:pStyle w:val="Textodenotaderodap"/>
        <w:rPr>
          <w:rFonts w:ascii="Times New Roman" w:hAnsi="Times New Roman" w:cs="Times New Roman"/>
        </w:rPr>
      </w:pPr>
      <w:r w:rsidRPr="00CC40A8">
        <w:rPr>
          <w:rStyle w:val="Refdenotaderodap"/>
          <w:rFonts w:ascii="Times New Roman" w:hAnsi="Times New Roman" w:cs="Times New Roman"/>
        </w:rPr>
        <w:footnoteRef/>
      </w:r>
      <w:r w:rsidRPr="00CC40A8">
        <w:rPr>
          <w:rFonts w:ascii="Times New Roman" w:hAnsi="Times New Roman" w:cs="Times New Roman"/>
        </w:rPr>
        <w:t xml:space="preserve"> Case apresentado à Disciplina </w:t>
      </w:r>
      <w:r w:rsidR="002B3BB5">
        <w:rPr>
          <w:rFonts w:ascii="Times New Roman" w:hAnsi="Times New Roman" w:cs="Times New Roman"/>
        </w:rPr>
        <w:t xml:space="preserve">Direito </w:t>
      </w:r>
      <w:r w:rsidR="00AE49CE">
        <w:rPr>
          <w:rFonts w:ascii="Times New Roman" w:hAnsi="Times New Roman" w:cs="Times New Roman"/>
        </w:rPr>
        <w:t>Tributário I</w:t>
      </w:r>
      <w:r w:rsidRPr="00CC40A8">
        <w:rPr>
          <w:rFonts w:ascii="Times New Roman" w:hAnsi="Times New Roman" w:cs="Times New Roman"/>
        </w:rPr>
        <w:t>, da Unidade de Ensino Superior Dom Bosco – UNDB.</w:t>
      </w:r>
    </w:p>
  </w:footnote>
  <w:footnote w:id="2">
    <w:p w:rsidR="00CC40A8" w:rsidRPr="00CC40A8" w:rsidRDefault="00CC40A8">
      <w:pPr>
        <w:pStyle w:val="Textodenotaderodap"/>
        <w:rPr>
          <w:rFonts w:ascii="Times New Roman" w:hAnsi="Times New Roman" w:cs="Times New Roman"/>
        </w:rPr>
      </w:pPr>
      <w:r w:rsidRPr="00CC40A8">
        <w:rPr>
          <w:rStyle w:val="Refdenotaderodap"/>
          <w:rFonts w:ascii="Times New Roman" w:hAnsi="Times New Roman" w:cs="Times New Roman"/>
        </w:rPr>
        <w:footnoteRef/>
      </w:r>
      <w:r w:rsidR="00945DD6">
        <w:rPr>
          <w:rFonts w:ascii="Times New Roman" w:hAnsi="Times New Roman" w:cs="Times New Roman"/>
        </w:rPr>
        <w:t xml:space="preserve"> Aluna do 7</w:t>
      </w:r>
      <w:r w:rsidRPr="00CC40A8">
        <w:rPr>
          <w:rFonts w:ascii="Times New Roman" w:hAnsi="Times New Roman" w:cs="Times New Roman"/>
        </w:rPr>
        <w:t>º Período, do Curso de Direito, da UNDB.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9796474"/>
      <w:docPartObj>
        <w:docPartGallery w:val="Page Numbers (Top of Page)"/>
        <w:docPartUnique/>
      </w:docPartObj>
    </w:sdtPr>
    <w:sdtEndPr/>
    <w:sdtContent>
      <w:p w:rsidR="00AB28A2" w:rsidRDefault="00AB28A2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595">
          <w:rPr>
            <w:noProof/>
          </w:rPr>
          <w:t>6</w:t>
        </w:r>
        <w:r>
          <w:fldChar w:fldCharType="end"/>
        </w:r>
      </w:p>
    </w:sdtContent>
  </w:sdt>
  <w:p w:rsidR="00AB28A2" w:rsidRDefault="00AB28A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0A8" w:rsidRDefault="00CC40A8">
    <w:pPr>
      <w:pStyle w:val="Cabealho"/>
    </w:pPr>
    <w:r>
      <w:t xml:space="preserve">                                                          </w:t>
    </w:r>
    <w:r>
      <w:rPr>
        <w:b/>
        <w:noProof/>
        <w:color w:val="000080"/>
        <w:lang w:eastAsia="pt-BR"/>
      </w:rPr>
      <w:t xml:space="preserve">  </w:t>
    </w:r>
    <w:r>
      <w:rPr>
        <w:b/>
        <w:noProof/>
        <w:color w:val="000080"/>
        <w:lang w:eastAsia="pt-BR"/>
      </w:rPr>
      <w:drawing>
        <wp:inline distT="0" distB="0" distL="0" distR="0">
          <wp:extent cx="1553210" cy="400026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644" cy="41919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1812"/>
    <w:multiLevelType w:val="hybridMultilevel"/>
    <w:tmpl w:val="4B902EB2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378527D7"/>
    <w:multiLevelType w:val="hybridMultilevel"/>
    <w:tmpl w:val="1578ECDE"/>
    <w:lvl w:ilvl="0" w:tplc="ADD2D22E">
      <w:start w:val="1"/>
      <w:numFmt w:val="lowerLetter"/>
      <w:lvlText w:val="%1)"/>
      <w:lvlJc w:val="left"/>
      <w:pPr>
        <w:ind w:left="1920" w:hanging="360"/>
      </w:pPr>
      <w:rPr>
        <w:rFonts w:ascii="Times New Roman" w:eastAsiaTheme="minorHAnsi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453E1A1E"/>
    <w:multiLevelType w:val="multilevel"/>
    <w:tmpl w:val="14C646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A841021"/>
    <w:multiLevelType w:val="hybridMultilevel"/>
    <w:tmpl w:val="FA4A96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D6049"/>
    <w:multiLevelType w:val="hybridMultilevel"/>
    <w:tmpl w:val="85C41484"/>
    <w:lvl w:ilvl="0" w:tplc="04160001">
      <w:start w:val="1"/>
      <w:numFmt w:val="bullet"/>
      <w:lvlText w:val=""/>
      <w:lvlJc w:val="left"/>
      <w:pPr>
        <w:ind w:left="190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0A8"/>
    <w:rsid w:val="00001635"/>
    <w:rsid w:val="00001A8E"/>
    <w:rsid w:val="00002A79"/>
    <w:rsid w:val="000033A1"/>
    <w:rsid w:val="00004428"/>
    <w:rsid w:val="000071DD"/>
    <w:rsid w:val="000075DF"/>
    <w:rsid w:val="00010E31"/>
    <w:rsid w:val="00025410"/>
    <w:rsid w:val="00030196"/>
    <w:rsid w:val="00032FD2"/>
    <w:rsid w:val="0003340A"/>
    <w:rsid w:val="00037A0B"/>
    <w:rsid w:val="000427BA"/>
    <w:rsid w:val="00054C54"/>
    <w:rsid w:val="0005642C"/>
    <w:rsid w:val="00056C8F"/>
    <w:rsid w:val="000579F1"/>
    <w:rsid w:val="000638A8"/>
    <w:rsid w:val="000638AE"/>
    <w:rsid w:val="00065034"/>
    <w:rsid w:val="0006595D"/>
    <w:rsid w:val="000666BD"/>
    <w:rsid w:val="00070707"/>
    <w:rsid w:val="0007622C"/>
    <w:rsid w:val="00076E39"/>
    <w:rsid w:val="00077311"/>
    <w:rsid w:val="00077739"/>
    <w:rsid w:val="00080231"/>
    <w:rsid w:val="00081244"/>
    <w:rsid w:val="00083C72"/>
    <w:rsid w:val="00086A23"/>
    <w:rsid w:val="00087291"/>
    <w:rsid w:val="00087772"/>
    <w:rsid w:val="0009216B"/>
    <w:rsid w:val="000932ED"/>
    <w:rsid w:val="0009686F"/>
    <w:rsid w:val="00096F9C"/>
    <w:rsid w:val="000A04A0"/>
    <w:rsid w:val="000A05ED"/>
    <w:rsid w:val="000A0B33"/>
    <w:rsid w:val="000A0C6E"/>
    <w:rsid w:val="000A2181"/>
    <w:rsid w:val="000A4CF8"/>
    <w:rsid w:val="000A62AD"/>
    <w:rsid w:val="000B2F97"/>
    <w:rsid w:val="000B5500"/>
    <w:rsid w:val="000B5CF3"/>
    <w:rsid w:val="000B5D03"/>
    <w:rsid w:val="000B63A6"/>
    <w:rsid w:val="000D05AB"/>
    <w:rsid w:val="000D7A37"/>
    <w:rsid w:val="000D7F32"/>
    <w:rsid w:val="000E3EBC"/>
    <w:rsid w:val="000E59E8"/>
    <w:rsid w:val="000E5AAF"/>
    <w:rsid w:val="000E7095"/>
    <w:rsid w:val="000F00C5"/>
    <w:rsid w:val="000F03FD"/>
    <w:rsid w:val="000F2473"/>
    <w:rsid w:val="000F3078"/>
    <w:rsid w:val="000F4752"/>
    <w:rsid w:val="00107E0F"/>
    <w:rsid w:val="00111A42"/>
    <w:rsid w:val="00112D3D"/>
    <w:rsid w:val="00113391"/>
    <w:rsid w:val="00113B3D"/>
    <w:rsid w:val="001206A0"/>
    <w:rsid w:val="00121BCA"/>
    <w:rsid w:val="00121BEC"/>
    <w:rsid w:val="00123309"/>
    <w:rsid w:val="001241EF"/>
    <w:rsid w:val="00124A03"/>
    <w:rsid w:val="001250B5"/>
    <w:rsid w:val="00126823"/>
    <w:rsid w:val="0012689E"/>
    <w:rsid w:val="00127147"/>
    <w:rsid w:val="00130E54"/>
    <w:rsid w:val="00132E09"/>
    <w:rsid w:val="00134CBB"/>
    <w:rsid w:val="00143468"/>
    <w:rsid w:val="001442FD"/>
    <w:rsid w:val="001449E7"/>
    <w:rsid w:val="00146AA6"/>
    <w:rsid w:val="00146CFC"/>
    <w:rsid w:val="00151328"/>
    <w:rsid w:val="0015368B"/>
    <w:rsid w:val="00154004"/>
    <w:rsid w:val="00157D0F"/>
    <w:rsid w:val="0016155C"/>
    <w:rsid w:val="00161A2D"/>
    <w:rsid w:val="00163334"/>
    <w:rsid w:val="001637BF"/>
    <w:rsid w:val="00165600"/>
    <w:rsid w:val="0016572E"/>
    <w:rsid w:val="0016660E"/>
    <w:rsid w:val="00166756"/>
    <w:rsid w:val="00166B67"/>
    <w:rsid w:val="00167BF7"/>
    <w:rsid w:val="00167C17"/>
    <w:rsid w:val="0017696D"/>
    <w:rsid w:val="00177F97"/>
    <w:rsid w:val="001811AD"/>
    <w:rsid w:val="001811EF"/>
    <w:rsid w:val="00182D38"/>
    <w:rsid w:val="00183877"/>
    <w:rsid w:val="0018764A"/>
    <w:rsid w:val="001920D6"/>
    <w:rsid w:val="0019335B"/>
    <w:rsid w:val="0019335D"/>
    <w:rsid w:val="00193865"/>
    <w:rsid w:val="001940CF"/>
    <w:rsid w:val="001971FA"/>
    <w:rsid w:val="001A0246"/>
    <w:rsid w:val="001A4265"/>
    <w:rsid w:val="001A4926"/>
    <w:rsid w:val="001A6AFF"/>
    <w:rsid w:val="001B1CD0"/>
    <w:rsid w:val="001B3A4B"/>
    <w:rsid w:val="001B5949"/>
    <w:rsid w:val="001B7C94"/>
    <w:rsid w:val="001C137C"/>
    <w:rsid w:val="001C31E7"/>
    <w:rsid w:val="001C60F0"/>
    <w:rsid w:val="001C71A5"/>
    <w:rsid w:val="001D2559"/>
    <w:rsid w:val="001D5E0F"/>
    <w:rsid w:val="001D6664"/>
    <w:rsid w:val="001E5156"/>
    <w:rsid w:val="001E55C2"/>
    <w:rsid w:val="001E6967"/>
    <w:rsid w:val="001E707C"/>
    <w:rsid w:val="001F3AA8"/>
    <w:rsid w:val="001F4060"/>
    <w:rsid w:val="001F5AEE"/>
    <w:rsid w:val="001F651B"/>
    <w:rsid w:val="001F6795"/>
    <w:rsid w:val="002001A7"/>
    <w:rsid w:val="00201F8C"/>
    <w:rsid w:val="00202025"/>
    <w:rsid w:val="00202BF6"/>
    <w:rsid w:val="00204003"/>
    <w:rsid w:val="00204118"/>
    <w:rsid w:val="002058FB"/>
    <w:rsid w:val="00205D62"/>
    <w:rsid w:val="00207F7B"/>
    <w:rsid w:val="00210C7A"/>
    <w:rsid w:val="00211FB8"/>
    <w:rsid w:val="002120B8"/>
    <w:rsid w:val="002122AD"/>
    <w:rsid w:val="00214BAC"/>
    <w:rsid w:val="00221087"/>
    <w:rsid w:val="002210F1"/>
    <w:rsid w:val="00221DC2"/>
    <w:rsid w:val="002226BB"/>
    <w:rsid w:val="00225C7E"/>
    <w:rsid w:val="00231A78"/>
    <w:rsid w:val="00235381"/>
    <w:rsid w:val="002378BE"/>
    <w:rsid w:val="00241C95"/>
    <w:rsid w:val="00244A85"/>
    <w:rsid w:val="0025120B"/>
    <w:rsid w:val="00251485"/>
    <w:rsid w:val="00251EAF"/>
    <w:rsid w:val="00252B75"/>
    <w:rsid w:val="00254B72"/>
    <w:rsid w:val="0025696F"/>
    <w:rsid w:val="00260A83"/>
    <w:rsid w:val="00260E66"/>
    <w:rsid w:val="002617EB"/>
    <w:rsid w:val="00261A69"/>
    <w:rsid w:val="00262B46"/>
    <w:rsid w:val="00262B89"/>
    <w:rsid w:val="00263371"/>
    <w:rsid w:val="00266BE7"/>
    <w:rsid w:val="0026783D"/>
    <w:rsid w:val="002678ED"/>
    <w:rsid w:val="00267A4A"/>
    <w:rsid w:val="002712C5"/>
    <w:rsid w:val="00275009"/>
    <w:rsid w:val="00275874"/>
    <w:rsid w:val="00275F10"/>
    <w:rsid w:val="00286A12"/>
    <w:rsid w:val="00286CDF"/>
    <w:rsid w:val="00286E24"/>
    <w:rsid w:val="00287CF4"/>
    <w:rsid w:val="0029496A"/>
    <w:rsid w:val="00297A0C"/>
    <w:rsid w:val="00297AB6"/>
    <w:rsid w:val="002A01FB"/>
    <w:rsid w:val="002A0A02"/>
    <w:rsid w:val="002A15F4"/>
    <w:rsid w:val="002B1C94"/>
    <w:rsid w:val="002B24A4"/>
    <w:rsid w:val="002B3BB5"/>
    <w:rsid w:val="002B3D2B"/>
    <w:rsid w:val="002B4EC8"/>
    <w:rsid w:val="002B67DE"/>
    <w:rsid w:val="002B7E18"/>
    <w:rsid w:val="002B7FAA"/>
    <w:rsid w:val="002C15AA"/>
    <w:rsid w:val="002C1FB0"/>
    <w:rsid w:val="002C416A"/>
    <w:rsid w:val="002C7484"/>
    <w:rsid w:val="002D0279"/>
    <w:rsid w:val="002D0680"/>
    <w:rsid w:val="002D28D8"/>
    <w:rsid w:val="002D3FC5"/>
    <w:rsid w:val="002D4A68"/>
    <w:rsid w:val="002D57E4"/>
    <w:rsid w:val="002D58C2"/>
    <w:rsid w:val="002D7366"/>
    <w:rsid w:val="002E1389"/>
    <w:rsid w:val="002E3204"/>
    <w:rsid w:val="002E5AE8"/>
    <w:rsid w:val="002E5E83"/>
    <w:rsid w:val="002E6D4B"/>
    <w:rsid w:val="002F0FF7"/>
    <w:rsid w:val="002F2E16"/>
    <w:rsid w:val="002F3ECF"/>
    <w:rsid w:val="002F3EDC"/>
    <w:rsid w:val="002F5A95"/>
    <w:rsid w:val="002F7103"/>
    <w:rsid w:val="002F74C5"/>
    <w:rsid w:val="00301398"/>
    <w:rsid w:val="003038ED"/>
    <w:rsid w:val="003077EB"/>
    <w:rsid w:val="0030786E"/>
    <w:rsid w:val="0031029C"/>
    <w:rsid w:val="00316017"/>
    <w:rsid w:val="00321D3A"/>
    <w:rsid w:val="00322881"/>
    <w:rsid w:val="003250D2"/>
    <w:rsid w:val="00325196"/>
    <w:rsid w:val="003270DD"/>
    <w:rsid w:val="003272D8"/>
    <w:rsid w:val="00327842"/>
    <w:rsid w:val="00327F1F"/>
    <w:rsid w:val="003370AB"/>
    <w:rsid w:val="00337660"/>
    <w:rsid w:val="00341F0A"/>
    <w:rsid w:val="00343E41"/>
    <w:rsid w:val="00350FCB"/>
    <w:rsid w:val="003512B6"/>
    <w:rsid w:val="00351A68"/>
    <w:rsid w:val="0035502C"/>
    <w:rsid w:val="00356A70"/>
    <w:rsid w:val="00356B05"/>
    <w:rsid w:val="0035777D"/>
    <w:rsid w:val="0035795F"/>
    <w:rsid w:val="0036106F"/>
    <w:rsid w:val="00365FC5"/>
    <w:rsid w:val="003703E8"/>
    <w:rsid w:val="0037192C"/>
    <w:rsid w:val="003724CE"/>
    <w:rsid w:val="00381309"/>
    <w:rsid w:val="003839C4"/>
    <w:rsid w:val="003841B1"/>
    <w:rsid w:val="00387D2C"/>
    <w:rsid w:val="0039218A"/>
    <w:rsid w:val="00392C57"/>
    <w:rsid w:val="003941C6"/>
    <w:rsid w:val="003A1692"/>
    <w:rsid w:val="003A1F1C"/>
    <w:rsid w:val="003A3A86"/>
    <w:rsid w:val="003A3C72"/>
    <w:rsid w:val="003A7AB7"/>
    <w:rsid w:val="003B1391"/>
    <w:rsid w:val="003B2F66"/>
    <w:rsid w:val="003B351D"/>
    <w:rsid w:val="003B3683"/>
    <w:rsid w:val="003B39DF"/>
    <w:rsid w:val="003B4646"/>
    <w:rsid w:val="003B6C48"/>
    <w:rsid w:val="003B7927"/>
    <w:rsid w:val="003C0DC9"/>
    <w:rsid w:val="003C23CD"/>
    <w:rsid w:val="003C34DE"/>
    <w:rsid w:val="003C4B4E"/>
    <w:rsid w:val="003C6527"/>
    <w:rsid w:val="003D0346"/>
    <w:rsid w:val="003D25C7"/>
    <w:rsid w:val="003D487A"/>
    <w:rsid w:val="003D687E"/>
    <w:rsid w:val="003D7DF2"/>
    <w:rsid w:val="003D7EA9"/>
    <w:rsid w:val="003E0AE7"/>
    <w:rsid w:val="003E48CA"/>
    <w:rsid w:val="003E4B39"/>
    <w:rsid w:val="003E5396"/>
    <w:rsid w:val="003E5925"/>
    <w:rsid w:val="003E6003"/>
    <w:rsid w:val="003E7390"/>
    <w:rsid w:val="003E7A99"/>
    <w:rsid w:val="003F0F73"/>
    <w:rsid w:val="003F216E"/>
    <w:rsid w:val="003F36D5"/>
    <w:rsid w:val="003F639A"/>
    <w:rsid w:val="003F6DBC"/>
    <w:rsid w:val="003F7CCA"/>
    <w:rsid w:val="004014C2"/>
    <w:rsid w:val="00401AC6"/>
    <w:rsid w:val="004023D3"/>
    <w:rsid w:val="0040361E"/>
    <w:rsid w:val="00405C4B"/>
    <w:rsid w:val="004109AA"/>
    <w:rsid w:val="00410C5F"/>
    <w:rsid w:val="0041265E"/>
    <w:rsid w:val="00415BBE"/>
    <w:rsid w:val="004163F9"/>
    <w:rsid w:val="00416A7C"/>
    <w:rsid w:val="00420598"/>
    <w:rsid w:val="00420FC0"/>
    <w:rsid w:val="0042190C"/>
    <w:rsid w:val="004225FC"/>
    <w:rsid w:val="00425044"/>
    <w:rsid w:val="00425E61"/>
    <w:rsid w:val="00430850"/>
    <w:rsid w:val="0043306B"/>
    <w:rsid w:val="00441D4B"/>
    <w:rsid w:val="00442799"/>
    <w:rsid w:val="00444D7A"/>
    <w:rsid w:val="0044521B"/>
    <w:rsid w:val="0044574D"/>
    <w:rsid w:val="004505B2"/>
    <w:rsid w:val="00451C27"/>
    <w:rsid w:val="00455CD6"/>
    <w:rsid w:val="00455E2B"/>
    <w:rsid w:val="004564BC"/>
    <w:rsid w:val="004611A4"/>
    <w:rsid w:val="00461BE7"/>
    <w:rsid w:val="0046368A"/>
    <w:rsid w:val="004636FF"/>
    <w:rsid w:val="004637A6"/>
    <w:rsid w:val="00465073"/>
    <w:rsid w:val="00467641"/>
    <w:rsid w:val="004705C4"/>
    <w:rsid w:val="00472C25"/>
    <w:rsid w:val="00475448"/>
    <w:rsid w:val="00480314"/>
    <w:rsid w:val="00483A6E"/>
    <w:rsid w:val="00484391"/>
    <w:rsid w:val="00485860"/>
    <w:rsid w:val="00485F38"/>
    <w:rsid w:val="00486C34"/>
    <w:rsid w:val="00486E7B"/>
    <w:rsid w:val="00487484"/>
    <w:rsid w:val="00491F85"/>
    <w:rsid w:val="0049473B"/>
    <w:rsid w:val="004963F0"/>
    <w:rsid w:val="004A0EF2"/>
    <w:rsid w:val="004A10EA"/>
    <w:rsid w:val="004A58B6"/>
    <w:rsid w:val="004A7879"/>
    <w:rsid w:val="004B17FE"/>
    <w:rsid w:val="004B1925"/>
    <w:rsid w:val="004B4968"/>
    <w:rsid w:val="004C0C87"/>
    <w:rsid w:val="004C16E3"/>
    <w:rsid w:val="004C4E52"/>
    <w:rsid w:val="004D02ED"/>
    <w:rsid w:val="004D0C05"/>
    <w:rsid w:val="004D14D6"/>
    <w:rsid w:val="004D19B4"/>
    <w:rsid w:val="004D2F4C"/>
    <w:rsid w:val="004D6F10"/>
    <w:rsid w:val="004E0358"/>
    <w:rsid w:val="004E0A81"/>
    <w:rsid w:val="004E1804"/>
    <w:rsid w:val="004E1808"/>
    <w:rsid w:val="004E466D"/>
    <w:rsid w:val="004E4C67"/>
    <w:rsid w:val="004E5F2A"/>
    <w:rsid w:val="004E6462"/>
    <w:rsid w:val="004F258E"/>
    <w:rsid w:val="004F3DA2"/>
    <w:rsid w:val="004F6960"/>
    <w:rsid w:val="00503631"/>
    <w:rsid w:val="005038A8"/>
    <w:rsid w:val="005046FC"/>
    <w:rsid w:val="0050620C"/>
    <w:rsid w:val="00510308"/>
    <w:rsid w:val="00513C66"/>
    <w:rsid w:val="005172FF"/>
    <w:rsid w:val="0052048B"/>
    <w:rsid w:val="00521220"/>
    <w:rsid w:val="00522644"/>
    <w:rsid w:val="005226F0"/>
    <w:rsid w:val="005235BB"/>
    <w:rsid w:val="00524273"/>
    <w:rsid w:val="00524B8E"/>
    <w:rsid w:val="00524DFC"/>
    <w:rsid w:val="005254FB"/>
    <w:rsid w:val="00525CDE"/>
    <w:rsid w:val="00534CE4"/>
    <w:rsid w:val="00535315"/>
    <w:rsid w:val="00536062"/>
    <w:rsid w:val="00540550"/>
    <w:rsid w:val="00542D20"/>
    <w:rsid w:val="005432BD"/>
    <w:rsid w:val="005440D8"/>
    <w:rsid w:val="00545419"/>
    <w:rsid w:val="005455DD"/>
    <w:rsid w:val="00545635"/>
    <w:rsid w:val="005463E8"/>
    <w:rsid w:val="00546B86"/>
    <w:rsid w:val="00547749"/>
    <w:rsid w:val="005554D3"/>
    <w:rsid w:val="0055762A"/>
    <w:rsid w:val="0056116D"/>
    <w:rsid w:val="00562280"/>
    <w:rsid w:val="0056699B"/>
    <w:rsid w:val="00567856"/>
    <w:rsid w:val="00572006"/>
    <w:rsid w:val="00572DCC"/>
    <w:rsid w:val="00572FE6"/>
    <w:rsid w:val="00574431"/>
    <w:rsid w:val="00576DF1"/>
    <w:rsid w:val="0058241B"/>
    <w:rsid w:val="00587252"/>
    <w:rsid w:val="005905A7"/>
    <w:rsid w:val="0059311E"/>
    <w:rsid w:val="005936BE"/>
    <w:rsid w:val="00593B13"/>
    <w:rsid w:val="00595FB7"/>
    <w:rsid w:val="005A16E4"/>
    <w:rsid w:val="005A3B33"/>
    <w:rsid w:val="005A78BB"/>
    <w:rsid w:val="005B0476"/>
    <w:rsid w:val="005B05B6"/>
    <w:rsid w:val="005B16F1"/>
    <w:rsid w:val="005B270B"/>
    <w:rsid w:val="005B42BC"/>
    <w:rsid w:val="005B58DC"/>
    <w:rsid w:val="005B5948"/>
    <w:rsid w:val="005B684C"/>
    <w:rsid w:val="005C0038"/>
    <w:rsid w:val="005C0A07"/>
    <w:rsid w:val="005C1320"/>
    <w:rsid w:val="005C1984"/>
    <w:rsid w:val="005C33EB"/>
    <w:rsid w:val="005C60FE"/>
    <w:rsid w:val="005C750F"/>
    <w:rsid w:val="005D0283"/>
    <w:rsid w:val="005D500B"/>
    <w:rsid w:val="005D5037"/>
    <w:rsid w:val="005D58F6"/>
    <w:rsid w:val="005D6571"/>
    <w:rsid w:val="005D79F4"/>
    <w:rsid w:val="005D7EAA"/>
    <w:rsid w:val="005E2D38"/>
    <w:rsid w:val="005E594C"/>
    <w:rsid w:val="005E6B76"/>
    <w:rsid w:val="005E7295"/>
    <w:rsid w:val="005F5BE8"/>
    <w:rsid w:val="005F6FF0"/>
    <w:rsid w:val="00600000"/>
    <w:rsid w:val="006010F1"/>
    <w:rsid w:val="0060258C"/>
    <w:rsid w:val="00603F84"/>
    <w:rsid w:val="006048B7"/>
    <w:rsid w:val="0061081F"/>
    <w:rsid w:val="006131F1"/>
    <w:rsid w:val="0061438E"/>
    <w:rsid w:val="0061519E"/>
    <w:rsid w:val="00615F4D"/>
    <w:rsid w:val="00621643"/>
    <w:rsid w:val="006217C1"/>
    <w:rsid w:val="00622ADA"/>
    <w:rsid w:val="0062395E"/>
    <w:rsid w:val="0062785F"/>
    <w:rsid w:val="00627CA5"/>
    <w:rsid w:val="00630886"/>
    <w:rsid w:val="00630B08"/>
    <w:rsid w:val="0063332C"/>
    <w:rsid w:val="006360CE"/>
    <w:rsid w:val="00636927"/>
    <w:rsid w:val="0064104C"/>
    <w:rsid w:val="00642765"/>
    <w:rsid w:val="00645D3D"/>
    <w:rsid w:val="00647237"/>
    <w:rsid w:val="00647A8E"/>
    <w:rsid w:val="006513CE"/>
    <w:rsid w:val="006662A3"/>
    <w:rsid w:val="00671704"/>
    <w:rsid w:val="00672E09"/>
    <w:rsid w:val="0067363B"/>
    <w:rsid w:val="006746EC"/>
    <w:rsid w:val="00677A3F"/>
    <w:rsid w:val="006802FB"/>
    <w:rsid w:val="0068198E"/>
    <w:rsid w:val="00682128"/>
    <w:rsid w:val="00682778"/>
    <w:rsid w:val="00683169"/>
    <w:rsid w:val="00683DE1"/>
    <w:rsid w:val="00686F58"/>
    <w:rsid w:val="00690323"/>
    <w:rsid w:val="00690B5B"/>
    <w:rsid w:val="0069264B"/>
    <w:rsid w:val="00694396"/>
    <w:rsid w:val="00694CB6"/>
    <w:rsid w:val="00695D05"/>
    <w:rsid w:val="00695F83"/>
    <w:rsid w:val="00697058"/>
    <w:rsid w:val="006A7C45"/>
    <w:rsid w:val="006A7E5C"/>
    <w:rsid w:val="006B2899"/>
    <w:rsid w:val="006B29A3"/>
    <w:rsid w:val="006B3241"/>
    <w:rsid w:val="006B5164"/>
    <w:rsid w:val="006B5319"/>
    <w:rsid w:val="006B5A2C"/>
    <w:rsid w:val="006B70AB"/>
    <w:rsid w:val="006C08F2"/>
    <w:rsid w:val="006C0CCD"/>
    <w:rsid w:val="006C177A"/>
    <w:rsid w:val="006C7AF6"/>
    <w:rsid w:val="006D1F03"/>
    <w:rsid w:val="006D4D40"/>
    <w:rsid w:val="006D73AA"/>
    <w:rsid w:val="006E0718"/>
    <w:rsid w:val="006E4C5B"/>
    <w:rsid w:val="006E51AE"/>
    <w:rsid w:val="006E6B34"/>
    <w:rsid w:val="006F02CC"/>
    <w:rsid w:val="006F1B59"/>
    <w:rsid w:val="006F1F1C"/>
    <w:rsid w:val="006F1FF8"/>
    <w:rsid w:val="006F42EA"/>
    <w:rsid w:val="006F4871"/>
    <w:rsid w:val="006F5FBE"/>
    <w:rsid w:val="006F6390"/>
    <w:rsid w:val="00701D77"/>
    <w:rsid w:val="00705D82"/>
    <w:rsid w:val="00711099"/>
    <w:rsid w:val="00714354"/>
    <w:rsid w:val="007161A3"/>
    <w:rsid w:val="007215A8"/>
    <w:rsid w:val="00722955"/>
    <w:rsid w:val="007233CA"/>
    <w:rsid w:val="00724649"/>
    <w:rsid w:val="00724BB8"/>
    <w:rsid w:val="00725E36"/>
    <w:rsid w:val="007351CF"/>
    <w:rsid w:val="0073724D"/>
    <w:rsid w:val="00740BAA"/>
    <w:rsid w:val="00744CB4"/>
    <w:rsid w:val="00754915"/>
    <w:rsid w:val="00755283"/>
    <w:rsid w:val="00755E6B"/>
    <w:rsid w:val="007608CB"/>
    <w:rsid w:val="00770CB7"/>
    <w:rsid w:val="00770D6F"/>
    <w:rsid w:val="00775187"/>
    <w:rsid w:val="0077594D"/>
    <w:rsid w:val="00777558"/>
    <w:rsid w:val="007822ED"/>
    <w:rsid w:val="00782CE7"/>
    <w:rsid w:val="00784A4C"/>
    <w:rsid w:val="007851D8"/>
    <w:rsid w:val="007866C0"/>
    <w:rsid w:val="00792007"/>
    <w:rsid w:val="00792A60"/>
    <w:rsid w:val="00792D2F"/>
    <w:rsid w:val="00792FFF"/>
    <w:rsid w:val="007936A3"/>
    <w:rsid w:val="007A077B"/>
    <w:rsid w:val="007A16B5"/>
    <w:rsid w:val="007A3FE5"/>
    <w:rsid w:val="007A7278"/>
    <w:rsid w:val="007B3449"/>
    <w:rsid w:val="007B4053"/>
    <w:rsid w:val="007B5D06"/>
    <w:rsid w:val="007B7169"/>
    <w:rsid w:val="007C125D"/>
    <w:rsid w:val="007C4A50"/>
    <w:rsid w:val="007C4CC3"/>
    <w:rsid w:val="007C55F7"/>
    <w:rsid w:val="007C58D3"/>
    <w:rsid w:val="007C5913"/>
    <w:rsid w:val="007C6058"/>
    <w:rsid w:val="007D1660"/>
    <w:rsid w:val="007D269E"/>
    <w:rsid w:val="007D6988"/>
    <w:rsid w:val="007D7A3C"/>
    <w:rsid w:val="007E0B46"/>
    <w:rsid w:val="007E1349"/>
    <w:rsid w:val="007E4C87"/>
    <w:rsid w:val="007E52E3"/>
    <w:rsid w:val="007E6790"/>
    <w:rsid w:val="007F0336"/>
    <w:rsid w:val="007F183D"/>
    <w:rsid w:val="007F2026"/>
    <w:rsid w:val="007F338E"/>
    <w:rsid w:val="007F566C"/>
    <w:rsid w:val="007F6DBF"/>
    <w:rsid w:val="007F7C32"/>
    <w:rsid w:val="008009A8"/>
    <w:rsid w:val="0080199E"/>
    <w:rsid w:val="00801B33"/>
    <w:rsid w:val="00811F39"/>
    <w:rsid w:val="00812EB9"/>
    <w:rsid w:val="00814E35"/>
    <w:rsid w:val="00816207"/>
    <w:rsid w:val="00817363"/>
    <w:rsid w:val="00817FEB"/>
    <w:rsid w:val="00823213"/>
    <w:rsid w:val="008246AC"/>
    <w:rsid w:val="00831C9D"/>
    <w:rsid w:val="00832427"/>
    <w:rsid w:val="00832A90"/>
    <w:rsid w:val="008355D1"/>
    <w:rsid w:val="00836F08"/>
    <w:rsid w:val="00840764"/>
    <w:rsid w:val="0084095F"/>
    <w:rsid w:val="008436E0"/>
    <w:rsid w:val="00843803"/>
    <w:rsid w:val="008457EF"/>
    <w:rsid w:val="00850659"/>
    <w:rsid w:val="00857AFC"/>
    <w:rsid w:val="008607A4"/>
    <w:rsid w:val="008645EF"/>
    <w:rsid w:val="00866F40"/>
    <w:rsid w:val="00867867"/>
    <w:rsid w:val="008767DE"/>
    <w:rsid w:val="008778EF"/>
    <w:rsid w:val="00880542"/>
    <w:rsid w:val="00883AE0"/>
    <w:rsid w:val="00885259"/>
    <w:rsid w:val="0088598D"/>
    <w:rsid w:val="00886AA9"/>
    <w:rsid w:val="00890C0C"/>
    <w:rsid w:val="00893EF5"/>
    <w:rsid w:val="0089532D"/>
    <w:rsid w:val="00896035"/>
    <w:rsid w:val="008972E5"/>
    <w:rsid w:val="00897CA8"/>
    <w:rsid w:val="008A030E"/>
    <w:rsid w:val="008A0945"/>
    <w:rsid w:val="008A1D62"/>
    <w:rsid w:val="008A704D"/>
    <w:rsid w:val="008A71AB"/>
    <w:rsid w:val="008B0CD9"/>
    <w:rsid w:val="008B1D25"/>
    <w:rsid w:val="008B221C"/>
    <w:rsid w:val="008B3A4B"/>
    <w:rsid w:val="008B4746"/>
    <w:rsid w:val="008C3E7C"/>
    <w:rsid w:val="008C4183"/>
    <w:rsid w:val="008C5E4B"/>
    <w:rsid w:val="008D16FA"/>
    <w:rsid w:val="008D1700"/>
    <w:rsid w:val="008D1EE6"/>
    <w:rsid w:val="008D220C"/>
    <w:rsid w:val="008D28FF"/>
    <w:rsid w:val="008D6934"/>
    <w:rsid w:val="008D6C82"/>
    <w:rsid w:val="008D7968"/>
    <w:rsid w:val="008E0EF0"/>
    <w:rsid w:val="008E2430"/>
    <w:rsid w:val="008E455E"/>
    <w:rsid w:val="008F1E23"/>
    <w:rsid w:val="008F224D"/>
    <w:rsid w:val="008F2902"/>
    <w:rsid w:val="008F2F3A"/>
    <w:rsid w:val="008F373A"/>
    <w:rsid w:val="008F49C4"/>
    <w:rsid w:val="008F6232"/>
    <w:rsid w:val="008F6627"/>
    <w:rsid w:val="00901ED3"/>
    <w:rsid w:val="00902B39"/>
    <w:rsid w:val="00903489"/>
    <w:rsid w:val="00904CC1"/>
    <w:rsid w:val="00905019"/>
    <w:rsid w:val="009059E2"/>
    <w:rsid w:val="00905BCB"/>
    <w:rsid w:val="0090645C"/>
    <w:rsid w:val="009110C0"/>
    <w:rsid w:val="009132E6"/>
    <w:rsid w:val="00915316"/>
    <w:rsid w:val="00915B9B"/>
    <w:rsid w:val="00917003"/>
    <w:rsid w:val="00920212"/>
    <w:rsid w:val="00920E7D"/>
    <w:rsid w:val="0092222B"/>
    <w:rsid w:val="009260FD"/>
    <w:rsid w:val="0092632D"/>
    <w:rsid w:val="00931727"/>
    <w:rsid w:val="0093457E"/>
    <w:rsid w:val="00934831"/>
    <w:rsid w:val="0093518C"/>
    <w:rsid w:val="00935624"/>
    <w:rsid w:val="0093678B"/>
    <w:rsid w:val="00940D76"/>
    <w:rsid w:val="00941085"/>
    <w:rsid w:val="0094271B"/>
    <w:rsid w:val="00942A51"/>
    <w:rsid w:val="00945DD6"/>
    <w:rsid w:val="00947C4B"/>
    <w:rsid w:val="00951910"/>
    <w:rsid w:val="00951E73"/>
    <w:rsid w:val="00954535"/>
    <w:rsid w:val="0095465E"/>
    <w:rsid w:val="00955AEB"/>
    <w:rsid w:val="00957159"/>
    <w:rsid w:val="00957365"/>
    <w:rsid w:val="00964454"/>
    <w:rsid w:val="00966810"/>
    <w:rsid w:val="00967595"/>
    <w:rsid w:val="0097006C"/>
    <w:rsid w:val="00970E58"/>
    <w:rsid w:val="0097368D"/>
    <w:rsid w:val="00973E4E"/>
    <w:rsid w:val="0097427C"/>
    <w:rsid w:val="00976C44"/>
    <w:rsid w:val="00980BEF"/>
    <w:rsid w:val="0098251A"/>
    <w:rsid w:val="00984273"/>
    <w:rsid w:val="009842DF"/>
    <w:rsid w:val="009847B9"/>
    <w:rsid w:val="00985254"/>
    <w:rsid w:val="00987B8A"/>
    <w:rsid w:val="00991CDC"/>
    <w:rsid w:val="00992812"/>
    <w:rsid w:val="00992F17"/>
    <w:rsid w:val="009956AB"/>
    <w:rsid w:val="00995D30"/>
    <w:rsid w:val="00996F2F"/>
    <w:rsid w:val="009A10C8"/>
    <w:rsid w:val="009A64E3"/>
    <w:rsid w:val="009A70BD"/>
    <w:rsid w:val="009A7A43"/>
    <w:rsid w:val="009B0266"/>
    <w:rsid w:val="009B02AC"/>
    <w:rsid w:val="009B179F"/>
    <w:rsid w:val="009B1A6F"/>
    <w:rsid w:val="009B455E"/>
    <w:rsid w:val="009B4675"/>
    <w:rsid w:val="009B54F3"/>
    <w:rsid w:val="009B59A7"/>
    <w:rsid w:val="009B6B31"/>
    <w:rsid w:val="009C1443"/>
    <w:rsid w:val="009C1BF9"/>
    <w:rsid w:val="009C383B"/>
    <w:rsid w:val="009C5E0B"/>
    <w:rsid w:val="009D3CB0"/>
    <w:rsid w:val="009D552C"/>
    <w:rsid w:val="009D5ED4"/>
    <w:rsid w:val="009D75D8"/>
    <w:rsid w:val="009E08D5"/>
    <w:rsid w:val="009E0B90"/>
    <w:rsid w:val="009E2AA3"/>
    <w:rsid w:val="009E3531"/>
    <w:rsid w:val="009E4554"/>
    <w:rsid w:val="009F0988"/>
    <w:rsid w:val="009F3730"/>
    <w:rsid w:val="009F50C1"/>
    <w:rsid w:val="009F5333"/>
    <w:rsid w:val="009F6B06"/>
    <w:rsid w:val="009F6B74"/>
    <w:rsid w:val="00A02C75"/>
    <w:rsid w:val="00A04EB9"/>
    <w:rsid w:val="00A052B4"/>
    <w:rsid w:val="00A0562E"/>
    <w:rsid w:val="00A0569B"/>
    <w:rsid w:val="00A06310"/>
    <w:rsid w:val="00A103D6"/>
    <w:rsid w:val="00A15B8D"/>
    <w:rsid w:val="00A172C8"/>
    <w:rsid w:val="00A22FA7"/>
    <w:rsid w:val="00A24C53"/>
    <w:rsid w:val="00A27AF2"/>
    <w:rsid w:val="00A329BE"/>
    <w:rsid w:val="00A336E4"/>
    <w:rsid w:val="00A34312"/>
    <w:rsid w:val="00A36CEC"/>
    <w:rsid w:val="00A37A9E"/>
    <w:rsid w:val="00A41566"/>
    <w:rsid w:val="00A43F83"/>
    <w:rsid w:val="00A44874"/>
    <w:rsid w:val="00A44AE1"/>
    <w:rsid w:val="00A44AE8"/>
    <w:rsid w:val="00A46A63"/>
    <w:rsid w:val="00A472B6"/>
    <w:rsid w:val="00A53A66"/>
    <w:rsid w:val="00A53E9D"/>
    <w:rsid w:val="00A53F67"/>
    <w:rsid w:val="00A561A9"/>
    <w:rsid w:val="00A568DB"/>
    <w:rsid w:val="00A63969"/>
    <w:rsid w:val="00A644AB"/>
    <w:rsid w:val="00A6559E"/>
    <w:rsid w:val="00A667F9"/>
    <w:rsid w:val="00A66D60"/>
    <w:rsid w:val="00A704D7"/>
    <w:rsid w:val="00A707F0"/>
    <w:rsid w:val="00A7081F"/>
    <w:rsid w:val="00A76F61"/>
    <w:rsid w:val="00A812C1"/>
    <w:rsid w:val="00A814B3"/>
    <w:rsid w:val="00A8304C"/>
    <w:rsid w:val="00A83981"/>
    <w:rsid w:val="00A83AE4"/>
    <w:rsid w:val="00A8435D"/>
    <w:rsid w:val="00A85FD0"/>
    <w:rsid w:val="00A87347"/>
    <w:rsid w:val="00A9185F"/>
    <w:rsid w:val="00A922CC"/>
    <w:rsid w:val="00A92A0F"/>
    <w:rsid w:val="00A93596"/>
    <w:rsid w:val="00A9708D"/>
    <w:rsid w:val="00A9762E"/>
    <w:rsid w:val="00AA05D3"/>
    <w:rsid w:val="00AA1E82"/>
    <w:rsid w:val="00AA23E1"/>
    <w:rsid w:val="00AA3037"/>
    <w:rsid w:val="00AA30BB"/>
    <w:rsid w:val="00AA61E9"/>
    <w:rsid w:val="00AA6DD4"/>
    <w:rsid w:val="00AA7DCD"/>
    <w:rsid w:val="00AB02C0"/>
    <w:rsid w:val="00AB2403"/>
    <w:rsid w:val="00AB28A2"/>
    <w:rsid w:val="00AB3E6A"/>
    <w:rsid w:val="00AB639F"/>
    <w:rsid w:val="00AC2DA6"/>
    <w:rsid w:val="00AC382F"/>
    <w:rsid w:val="00AC5F7E"/>
    <w:rsid w:val="00AC61B2"/>
    <w:rsid w:val="00AC6DC9"/>
    <w:rsid w:val="00AC7839"/>
    <w:rsid w:val="00AD07CF"/>
    <w:rsid w:val="00AD0D31"/>
    <w:rsid w:val="00AD4A78"/>
    <w:rsid w:val="00AD51EE"/>
    <w:rsid w:val="00AD7665"/>
    <w:rsid w:val="00AE0907"/>
    <w:rsid w:val="00AE0B74"/>
    <w:rsid w:val="00AE2096"/>
    <w:rsid w:val="00AE2FF0"/>
    <w:rsid w:val="00AE38FD"/>
    <w:rsid w:val="00AE49CE"/>
    <w:rsid w:val="00AE56CA"/>
    <w:rsid w:val="00AE6E3E"/>
    <w:rsid w:val="00AE6F4A"/>
    <w:rsid w:val="00AE7070"/>
    <w:rsid w:val="00AE70C8"/>
    <w:rsid w:val="00AF0596"/>
    <w:rsid w:val="00AF0EE1"/>
    <w:rsid w:val="00AF1517"/>
    <w:rsid w:val="00AF7820"/>
    <w:rsid w:val="00B004F4"/>
    <w:rsid w:val="00B00860"/>
    <w:rsid w:val="00B0130B"/>
    <w:rsid w:val="00B01EA0"/>
    <w:rsid w:val="00B036DD"/>
    <w:rsid w:val="00B0511D"/>
    <w:rsid w:val="00B06F56"/>
    <w:rsid w:val="00B12705"/>
    <w:rsid w:val="00B14720"/>
    <w:rsid w:val="00B15540"/>
    <w:rsid w:val="00B1737F"/>
    <w:rsid w:val="00B209B7"/>
    <w:rsid w:val="00B215CD"/>
    <w:rsid w:val="00B21EF4"/>
    <w:rsid w:val="00B2245D"/>
    <w:rsid w:val="00B24B25"/>
    <w:rsid w:val="00B24CBC"/>
    <w:rsid w:val="00B251BD"/>
    <w:rsid w:val="00B27BF7"/>
    <w:rsid w:val="00B30CAD"/>
    <w:rsid w:val="00B311E9"/>
    <w:rsid w:val="00B31382"/>
    <w:rsid w:val="00B314C3"/>
    <w:rsid w:val="00B32D3E"/>
    <w:rsid w:val="00B355EE"/>
    <w:rsid w:val="00B4136A"/>
    <w:rsid w:val="00B419F3"/>
    <w:rsid w:val="00B45019"/>
    <w:rsid w:val="00B4696B"/>
    <w:rsid w:val="00B52658"/>
    <w:rsid w:val="00B605B6"/>
    <w:rsid w:val="00B61143"/>
    <w:rsid w:val="00B63116"/>
    <w:rsid w:val="00B64D71"/>
    <w:rsid w:val="00B70F3A"/>
    <w:rsid w:val="00B718CB"/>
    <w:rsid w:val="00B75AE2"/>
    <w:rsid w:val="00B77EF8"/>
    <w:rsid w:val="00B80627"/>
    <w:rsid w:val="00B82156"/>
    <w:rsid w:val="00B823F7"/>
    <w:rsid w:val="00B82EB1"/>
    <w:rsid w:val="00B83131"/>
    <w:rsid w:val="00B84F97"/>
    <w:rsid w:val="00B8526C"/>
    <w:rsid w:val="00B85CD8"/>
    <w:rsid w:val="00B86A83"/>
    <w:rsid w:val="00B87230"/>
    <w:rsid w:val="00B8745D"/>
    <w:rsid w:val="00B913E1"/>
    <w:rsid w:val="00B928D8"/>
    <w:rsid w:val="00B969CA"/>
    <w:rsid w:val="00BA2BD0"/>
    <w:rsid w:val="00BA4699"/>
    <w:rsid w:val="00BA703B"/>
    <w:rsid w:val="00BB20D4"/>
    <w:rsid w:val="00BB278F"/>
    <w:rsid w:val="00BB31D4"/>
    <w:rsid w:val="00BB37D6"/>
    <w:rsid w:val="00BB5867"/>
    <w:rsid w:val="00BC1144"/>
    <w:rsid w:val="00BC1FB1"/>
    <w:rsid w:val="00BC2154"/>
    <w:rsid w:val="00BC562A"/>
    <w:rsid w:val="00BC5F9E"/>
    <w:rsid w:val="00BC652F"/>
    <w:rsid w:val="00BC7D05"/>
    <w:rsid w:val="00BD1534"/>
    <w:rsid w:val="00BD37D5"/>
    <w:rsid w:val="00BD64DF"/>
    <w:rsid w:val="00BD6ACE"/>
    <w:rsid w:val="00BE068C"/>
    <w:rsid w:val="00BE0E4D"/>
    <w:rsid w:val="00BE1D43"/>
    <w:rsid w:val="00BE5755"/>
    <w:rsid w:val="00BE7FDB"/>
    <w:rsid w:val="00BF49E1"/>
    <w:rsid w:val="00C038E5"/>
    <w:rsid w:val="00C0405A"/>
    <w:rsid w:val="00C0451D"/>
    <w:rsid w:val="00C06E7D"/>
    <w:rsid w:val="00C1039E"/>
    <w:rsid w:val="00C10F91"/>
    <w:rsid w:val="00C1440F"/>
    <w:rsid w:val="00C144AF"/>
    <w:rsid w:val="00C1476C"/>
    <w:rsid w:val="00C17D0B"/>
    <w:rsid w:val="00C2156A"/>
    <w:rsid w:val="00C303D7"/>
    <w:rsid w:val="00C341B3"/>
    <w:rsid w:val="00C35E8E"/>
    <w:rsid w:val="00C371FE"/>
    <w:rsid w:val="00C40EEC"/>
    <w:rsid w:val="00C43630"/>
    <w:rsid w:val="00C442A4"/>
    <w:rsid w:val="00C46788"/>
    <w:rsid w:val="00C46AE5"/>
    <w:rsid w:val="00C4758C"/>
    <w:rsid w:val="00C47736"/>
    <w:rsid w:val="00C478CF"/>
    <w:rsid w:val="00C50D0B"/>
    <w:rsid w:val="00C5215B"/>
    <w:rsid w:val="00C53A85"/>
    <w:rsid w:val="00C55368"/>
    <w:rsid w:val="00C60CE9"/>
    <w:rsid w:val="00C61665"/>
    <w:rsid w:val="00C61820"/>
    <w:rsid w:val="00C62382"/>
    <w:rsid w:val="00C6290E"/>
    <w:rsid w:val="00C63494"/>
    <w:rsid w:val="00C662CE"/>
    <w:rsid w:val="00C66525"/>
    <w:rsid w:val="00C66B5F"/>
    <w:rsid w:val="00C70C19"/>
    <w:rsid w:val="00C7168B"/>
    <w:rsid w:val="00C7211B"/>
    <w:rsid w:val="00C774C1"/>
    <w:rsid w:val="00C80FF9"/>
    <w:rsid w:val="00C812E3"/>
    <w:rsid w:val="00C8184C"/>
    <w:rsid w:val="00C81922"/>
    <w:rsid w:val="00C83B7B"/>
    <w:rsid w:val="00C8626F"/>
    <w:rsid w:val="00C8673A"/>
    <w:rsid w:val="00C90735"/>
    <w:rsid w:val="00C912E6"/>
    <w:rsid w:val="00C9181B"/>
    <w:rsid w:val="00C91AB2"/>
    <w:rsid w:val="00C93C11"/>
    <w:rsid w:val="00C93DAC"/>
    <w:rsid w:val="00C9489B"/>
    <w:rsid w:val="00C94DCE"/>
    <w:rsid w:val="00CA079B"/>
    <w:rsid w:val="00CA29B6"/>
    <w:rsid w:val="00CA34E6"/>
    <w:rsid w:val="00CA4701"/>
    <w:rsid w:val="00CB0B93"/>
    <w:rsid w:val="00CB2B9F"/>
    <w:rsid w:val="00CB3037"/>
    <w:rsid w:val="00CB4C73"/>
    <w:rsid w:val="00CC085B"/>
    <w:rsid w:val="00CC1726"/>
    <w:rsid w:val="00CC40A8"/>
    <w:rsid w:val="00CC4C56"/>
    <w:rsid w:val="00CC4F94"/>
    <w:rsid w:val="00CD0B68"/>
    <w:rsid w:val="00CD272C"/>
    <w:rsid w:val="00CD5F0C"/>
    <w:rsid w:val="00CE2090"/>
    <w:rsid w:val="00CE46A0"/>
    <w:rsid w:val="00CE58E9"/>
    <w:rsid w:val="00CE6BF2"/>
    <w:rsid w:val="00CF11C5"/>
    <w:rsid w:val="00CF2C02"/>
    <w:rsid w:val="00CF39A6"/>
    <w:rsid w:val="00CF462B"/>
    <w:rsid w:val="00CF6085"/>
    <w:rsid w:val="00CF6AC2"/>
    <w:rsid w:val="00CF7F6E"/>
    <w:rsid w:val="00D02F6B"/>
    <w:rsid w:val="00D03F53"/>
    <w:rsid w:val="00D04C07"/>
    <w:rsid w:val="00D0557A"/>
    <w:rsid w:val="00D10A5E"/>
    <w:rsid w:val="00D11320"/>
    <w:rsid w:val="00D16246"/>
    <w:rsid w:val="00D1682F"/>
    <w:rsid w:val="00D16BED"/>
    <w:rsid w:val="00D17D6E"/>
    <w:rsid w:val="00D21D03"/>
    <w:rsid w:val="00D2376C"/>
    <w:rsid w:val="00D254F2"/>
    <w:rsid w:val="00D31120"/>
    <w:rsid w:val="00D314FF"/>
    <w:rsid w:val="00D3288C"/>
    <w:rsid w:val="00D3380E"/>
    <w:rsid w:val="00D40624"/>
    <w:rsid w:val="00D40A9F"/>
    <w:rsid w:val="00D40DC1"/>
    <w:rsid w:val="00D40DFA"/>
    <w:rsid w:val="00D41F97"/>
    <w:rsid w:val="00D437D7"/>
    <w:rsid w:val="00D46A15"/>
    <w:rsid w:val="00D479EA"/>
    <w:rsid w:val="00D51226"/>
    <w:rsid w:val="00D52148"/>
    <w:rsid w:val="00D55D8B"/>
    <w:rsid w:val="00D56267"/>
    <w:rsid w:val="00D60BE8"/>
    <w:rsid w:val="00D618EB"/>
    <w:rsid w:val="00D63268"/>
    <w:rsid w:val="00D641D7"/>
    <w:rsid w:val="00D65004"/>
    <w:rsid w:val="00D651A4"/>
    <w:rsid w:val="00D6636B"/>
    <w:rsid w:val="00D7436C"/>
    <w:rsid w:val="00D76281"/>
    <w:rsid w:val="00D76F1B"/>
    <w:rsid w:val="00D77512"/>
    <w:rsid w:val="00D808FF"/>
    <w:rsid w:val="00D82095"/>
    <w:rsid w:val="00D84BCD"/>
    <w:rsid w:val="00D85B95"/>
    <w:rsid w:val="00D85EE2"/>
    <w:rsid w:val="00D86D9C"/>
    <w:rsid w:val="00D87448"/>
    <w:rsid w:val="00D918AB"/>
    <w:rsid w:val="00D946F9"/>
    <w:rsid w:val="00D958C6"/>
    <w:rsid w:val="00D96262"/>
    <w:rsid w:val="00D96B66"/>
    <w:rsid w:val="00D971E9"/>
    <w:rsid w:val="00DA184C"/>
    <w:rsid w:val="00DA6614"/>
    <w:rsid w:val="00DA77F7"/>
    <w:rsid w:val="00DB064F"/>
    <w:rsid w:val="00DB08D5"/>
    <w:rsid w:val="00DB11B7"/>
    <w:rsid w:val="00DB26B6"/>
    <w:rsid w:val="00DB326E"/>
    <w:rsid w:val="00DB38EF"/>
    <w:rsid w:val="00DB4AC4"/>
    <w:rsid w:val="00DB573E"/>
    <w:rsid w:val="00DB61A0"/>
    <w:rsid w:val="00DB6386"/>
    <w:rsid w:val="00DC131B"/>
    <w:rsid w:val="00DC1DB0"/>
    <w:rsid w:val="00DC3D47"/>
    <w:rsid w:val="00DC777A"/>
    <w:rsid w:val="00DD021F"/>
    <w:rsid w:val="00DD040C"/>
    <w:rsid w:val="00DD20E8"/>
    <w:rsid w:val="00DD4674"/>
    <w:rsid w:val="00DD4963"/>
    <w:rsid w:val="00DD73C3"/>
    <w:rsid w:val="00DE0426"/>
    <w:rsid w:val="00DE0B18"/>
    <w:rsid w:val="00DE1B62"/>
    <w:rsid w:val="00DE28A9"/>
    <w:rsid w:val="00DE4547"/>
    <w:rsid w:val="00DE5A32"/>
    <w:rsid w:val="00DE5DE6"/>
    <w:rsid w:val="00DE7926"/>
    <w:rsid w:val="00DF3BFD"/>
    <w:rsid w:val="00DF43F7"/>
    <w:rsid w:val="00DF5AA3"/>
    <w:rsid w:val="00DF6136"/>
    <w:rsid w:val="00DF65B8"/>
    <w:rsid w:val="00DF69E6"/>
    <w:rsid w:val="00DF70FC"/>
    <w:rsid w:val="00DF7F2E"/>
    <w:rsid w:val="00E024E1"/>
    <w:rsid w:val="00E03155"/>
    <w:rsid w:val="00E04DEF"/>
    <w:rsid w:val="00E04ED6"/>
    <w:rsid w:val="00E05AC6"/>
    <w:rsid w:val="00E069C2"/>
    <w:rsid w:val="00E06E39"/>
    <w:rsid w:val="00E1051F"/>
    <w:rsid w:val="00E11924"/>
    <w:rsid w:val="00E11AEA"/>
    <w:rsid w:val="00E173E2"/>
    <w:rsid w:val="00E21702"/>
    <w:rsid w:val="00E21D8E"/>
    <w:rsid w:val="00E23FD5"/>
    <w:rsid w:val="00E30010"/>
    <w:rsid w:val="00E30A78"/>
    <w:rsid w:val="00E31836"/>
    <w:rsid w:val="00E33BC5"/>
    <w:rsid w:val="00E33C7F"/>
    <w:rsid w:val="00E35F0D"/>
    <w:rsid w:val="00E40CC9"/>
    <w:rsid w:val="00E40FED"/>
    <w:rsid w:val="00E419C7"/>
    <w:rsid w:val="00E43129"/>
    <w:rsid w:val="00E44EBC"/>
    <w:rsid w:val="00E4755D"/>
    <w:rsid w:val="00E53557"/>
    <w:rsid w:val="00E5678C"/>
    <w:rsid w:val="00E62336"/>
    <w:rsid w:val="00E62815"/>
    <w:rsid w:val="00E648AB"/>
    <w:rsid w:val="00E656E8"/>
    <w:rsid w:val="00E65E49"/>
    <w:rsid w:val="00E66C4C"/>
    <w:rsid w:val="00E67AFC"/>
    <w:rsid w:val="00E73692"/>
    <w:rsid w:val="00E7473B"/>
    <w:rsid w:val="00E75ED3"/>
    <w:rsid w:val="00E76602"/>
    <w:rsid w:val="00E77C37"/>
    <w:rsid w:val="00E833CD"/>
    <w:rsid w:val="00E8354E"/>
    <w:rsid w:val="00E84D20"/>
    <w:rsid w:val="00E84DB9"/>
    <w:rsid w:val="00E8675B"/>
    <w:rsid w:val="00E87932"/>
    <w:rsid w:val="00E909D4"/>
    <w:rsid w:val="00E94618"/>
    <w:rsid w:val="00EA07E6"/>
    <w:rsid w:val="00EA1290"/>
    <w:rsid w:val="00EA3126"/>
    <w:rsid w:val="00EA637A"/>
    <w:rsid w:val="00EA7622"/>
    <w:rsid w:val="00EA7B02"/>
    <w:rsid w:val="00EB053C"/>
    <w:rsid w:val="00EB3CC1"/>
    <w:rsid w:val="00EB4A63"/>
    <w:rsid w:val="00EB4FA8"/>
    <w:rsid w:val="00EB5FE8"/>
    <w:rsid w:val="00EB6F5A"/>
    <w:rsid w:val="00EB7231"/>
    <w:rsid w:val="00EC1C43"/>
    <w:rsid w:val="00EC214C"/>
    <w:rsid w:val="00EC3275"/>
    <w:rsid w:val="00EC36B4"/>
    <w:rsid w:val="00EC5264"/>
    <w:rsid w:val="00ED1561"/>
    <w:rsid w:val="00ED16A5"/>
    <w:rsid w:val="00ED398C"/>
    <w:rsid w:val="00ED46B4"/>
    <w:rsid w:val="00EE131D"/>
    <w:rsid w:val="00EE407A"/>
    <w:rsid w:val="00EF25A2"/>
    <w:rsid w:val="00EF30C9"/>
    <w:rsid w:val="00EF4268"/>
    <w:rsid w:val="00EF4ABF"/>
    <w:rsid w:val="00EF4B19"/>
    <w:rsid w:val="00EF4D19"/>
    <w:rsid w:val="00EF75ED"/>
    <w:rsid w:val="00F02441"/>
    <w:rsid w:val="00F06353"/>
    <w:rsid w:val="00F1024C"/>
    <w:rsid w:val="00F1037D"/>
    <w:rsid w:val="00F10C79"/>
    <w:rsid w:val="00F117CC"/>
    <w:rsid w:val="00F1634B"/>
    <w:rsid w:val="00F16D0B"/>
    <w:rsid w:val="00F16F1E"/>
    <w:rsid w:val="00F171D4"/>
    <w:rsid w:val="00F26B1F"/>
    <w:rsid w:val="00F33407"/>
    <w:rsid w:val="00F40527"/>
    <w:rsid w:val="00F415BB"/>
    <w:rsid w:val="00F41C70"/>
    <w:rsid w:val="00F4300C"/>
    <w:rsid w:val="00F43C91"/>
    <w:rsid w:val="00F43E94"/>
    <w:rsid w:val="00F44477"/>
    <w:rsid w:val="00F46B63"/>
    <w:rsid w:val="00F471A6"/>
    <w:rsid w:val="00F51138"/>
    <w:rsid w:val="00F530FD"/>
    <w:rsid w:val="00F55013"/>
    <w:rsid w:val="00F55034"/>
    <w:rsid w:val="00F56083"/>
    <w:rsid w:val="00F565F1"/>
    <w:rsid w:val="00F56734"/>
    <w:rsid w:val="00F56A2D"/>
    <w:rsid w:val="00F56FCE"/>
    <w:rsid w:val="00F571E4"/>
    <w:rsid w:val="00F5789E"/>
    <w:rsid w:val="00F6720B"/>
    <w:rsid w:val="00F6775E"/>
    <w:rsid w:val="00F74EFF"/>
    <w:rsid w:val="00F74FEE"/>
    <w:rsid w:val="00F769AF"/>
    <w:rsid w:val="00F77872"/>
    <w:rsid w:val="00F8349F"/>
    <w:rsid w:val="00F91527"/>
    <w:rsid w:val="00F9152B"/>
    <w:rsid w:val="00F930B6"/>
    <w:rsid w:val="00F94011"/>
    <w:rsid w:val="00F962B9"/>
    <w:rsid w:val="00F965A8"/>
    <w:rsid w:val="00F97510"/>
    <w:rsid w:val="00FA01DB"/>
    <w:rsid w:val="00FA2C9D"/>
    <w:rsid w:val="00FA2D03"/>
    <w:rsid w:val="00FA2EC0"/>
    <w:rsid w:val="00FA41BE"/>
    <w:rsid w:val="00FB0942"/>
    <w:rsid w:val="00FB39F5"/>
    <w:rsid w:val="00FB3AE6"/>
    <w:rsid w:val="00FB7C41"/>
    <w:rsid w:val="00FC116D"/>
    <w:rsid w:val="00FC2EE1"/>
    <w:rsid w:val="00FC4419"/>
    <w:rsid w:val="00FC6249"/>
    <w:rsid w:val="00FC68A9"/>
    <w:rsid w:val="00FD0CB8"/>
    <w:rsid w:val="00FD0E57"/>
    <w:rsid w:val="00FD238E"/>
    <w:rsid w:val="00FD3FBA"/>
    <w:rsid w:val="00FD5B68"/>
    <w:rsid w:val="00FE1036"/>
    <w:rsid w:val="00FE3712"/>
    <w:rsid w:val="00FE4A82"/>
    <w:rsid w:val="00FE4BE4"/>
    <w:rsid w:val="00FE5A19"/>
    <w:rsid w:val="00FE5CCB"/>
    <w:rsid w:val="00FF29A5"/>
    <w:rsid w:val="00FF4433"/>
    <w:rsid w:val="00FF4E4F"/>
    <w:rsid w:val="00FF4F46"/>
    <w:rsid w:val="00FF51A1"/>
    <w:rsid w:val="00FF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96642E-C26F-4F12-81F1-614DEBDA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970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4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40A8"/>
  </w:style>
  <w:style w:type="paragraph" w:styleId="Rodap">
    <w:name w:val="footer"/>
    <w:basedOn w:val="Normal"/>
    <w:link w:val="RodapChar"/>
    <w:uiPriority w:val="99"/>
    <w:unhideWhenUsed/>
    <w:rsid w:val="00CC4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40A8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C40A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C40A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C40A8"/>
    <w:rPr>
      <w:vertAlign w:val="superscript"/>
    </w:rPr>
  </w:style>
  <w:style w:type="paragraph" w:customStyle="1" w:styleId="Default">
    <w:name w:val="Default"/>
    <w:rsid w:val="009A10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B05B6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D0B68"/>
  </w:style>
  <w:style w:type="character" w:styleId="Hyperlink">
    <w:name w:val="Hyperlink"/>
    <w:basedOn w:val="Fontepargpadro"/>
    <w:uiPriority w:val="99"/>
    <w:unhideWhenUsed/>
    <w:rsid w:val="00CD0B68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3A3A86"/>
    <w:rPr>
      <w:i/>
      <w:iCs/>
    </w:rPr>
  </w:style>
  <w:style w:type="character" w:styleId="Forte">
    <w:name w:val="Strong"/>
    <w:basedOn w:val="Fontepargpadro"/>
    <w:uiPriority w:val="22"/>
    <w:qFormat/>
    <w:rsid w:val="00475448"/>
    <w:rPr>
      <w:b/>
      <w:bCs/>
    </w:rPr>
  </w:style>
  <w:style w:type="character" w:customStyle="1" w:styleId="url">
    <w:name w:val="url"/>
    <w:basedOn w:val="Fontepargpadro"/>
    <w:rsid w:val="00475448"/>
  </w:style>
  <w:style w:type="paragraph" w:styleId="NormalWeb">
    <w:name w:val="Normal (Web)"/>
    <w:basedOn w:val="Normal"/>
    <w:uiPriority w:val="99"/>
    <w:semiHidden/>
    <w:unhideWhenUsed/>
    <w:rsid w:val="00AA6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FD5B68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7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71DD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A9708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7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4271">
          <w:marLeft w:val="120"/>
          <w:marRight w:val="345"/>
          <w:marTop w:val="120"/>
          <w:marBottom w:val="150"/>
          <w:divBdr>
            <w:top w:val="none" w:sz="0" w:space="2" w:color="E5E5E5"/>
            <w:left w:val="single" w:sz="18" w:space="11" w:color="E5E5E5"/>
            <w:bottom w:val="none" w:sz="0" w:space="2" w:color="E5E5E5"/>
            <w:right w:val="none" w:sz="0" w:space="0" w:color="E5E5E5"/>
          </w:divBdr>
        </w:div>
      </w:divsChild>
    </w:div>
    <w:div w:id="608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s.com.br/revista/edicoes/2011" TargetMode="External"/><Relationship Id="rId13" Type="http://schemas.openxmlformats.org/officeDocument/2006/relationships/hyperlink" Target="http://jus.com.br/revista/edicoes/201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jus.com.br/revista/edicoes/2011" TargetMode="External"/><Relationship Id="rId17" Type="http://schemas.openxmlformats.org/officeDocument/2006/relationships/hyperlink" Target="http://jus.com.br/revista/edicoes/201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jus.com.br/revista/edicoes/2010/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us.com.br/revista/edicoes/2011/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jus.com.br/revista/edicoes/2010/8/27" TargetMode="External"/><Relationship Id="rId10" Type="http://schemas.openxmlformats.org/officeDocument/2006/relationships/hyperlink" Target="http://jus.com.br/revista/edicoes/2011/11/11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jus.com.br/revista/edicoes/2011/11/11" TargetMode="External"/><Relationship Id="rId14" Type="http://schemas.openxmlformats.org/officeDocument/2006/relationships/hyperlink" Target="http://jus.com.br/revista/edicoes/2010/8/27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2AEC1-81F6-476E-A5EB-F9A4533F8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1985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Rayssa Furtado</dc:creator>
  <cp:lastModifiedBy>Rafaela Lima</cp:lastModifiedBy>
  <cp:revision>5</cp:revision>
  <dcterms:created xsi:type="dcterms:W3CDTF">2015-03-26T01:59:00Z</dcterms:created>
  <dcterms:modified xsi:type="dcterms:W3CDTF">2016-08-29T21:53:00Z</dcterms:modified>
</cp:coreProperties>
</file>