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E6" w:rsidRPr="004D28C1" w:rsidRDefault="00BB289A" w:rsidP="004D28C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SINOPSE DE CASE DE </w:t>
      </w:r>
      <w:r w:rsidR="006B1D4A" w:rsidRPr="006B1D4A">
        <w:rPr>
          <w:rFonts w:ascii="Times New Roman" w:hAnsi="Times New Roman" w:cs="Times New Roman"/>
          <w:b/>
          <w:sz w:val="24"/>
        </w:rPr>
        <w:t>PROCESSO DE EXECUÇÃO</w:t>
      </w:r>
      <w:r w:rsidR="00130BE6" w:rsidRPr="00130BE6">
        <w:rPr>
          <w:rFonts w:ascii="Times New Roman" w:hAnsi="Times New Roman" w:cs="Times New Roman"/>
          <w:sz w:val="28"/>
        </w:rPr>
        <w:t>¹</w:t>
      </w:r>
    </w:p>
    <w:p w:rsidR="00C35147" w:rsidRDefault="00C35147" w:rsidP="002B2419">
      <w:pPr>
        <w:spacing w:line="360" w:lineRule="auto"/>
        <w:rPr>
          <w:rFonts w:ascii="Tahoma" w:eastAsia="MS PGothic" w:hAnsi="Tahoma" w:cs="Tahoma"/>
          <w:b/>
          <w:bCs/>
          <w:iCs/>
          <w:color w:val="000000"/>
          <w:sz w:val="28"/>
          <w:szCs w:val="20"/>
        </w:rPr>
      </w:pPr>
    </w:p>
    <w:p w:rsidR="002B2419" w:rsidRDefault="002B2419" w:rsidP="002B2419">
      <w:pPr>
        <w:spacing w:line="360" w:lineRule="auto"/>
        <w:jc w:val="right"/>
        <w:rPr>
          <w:rFonts w:ascii="Times New Roman" w:eastAsia="MS PGothic" w:hAnsi="Times New Roman" w:cs="Times New Roman"/>
          <w:bCs/>
          <w:i/>
          <w:iCs/>
          <w:color w:val="000000"/>
          <w:sz w:val="24"/>
          <w:szCs w:val="20"/>
          <w:vertAlign w:val="superscript"/>
        </w:rPr>
      </w:pPr>
      <w:r>
        <w:rPr>
          <w:rFonts w:ascii="Times New Roman" w:eastAsia="MS PGothic" w:hAnsi="Times New Roman" w:cs="Times New Roman"/>
          <w:bCs/>
          <w:i/>
          <w:iCs/>
          <w:color w:val="000000"/>
          <w:sz w:val="24"/>
          <w:szCs w:val="20"/>
        </w:rPr>
        <w:t>Lucas Henrique de Almeida Carvalho</w:t>
      </w:r>
      <w:r>
        <w:rPr>
          <w:rFonts w:ascii="Times New Roman" w:eastAsia="MS PGothic" w:hAnsi="Times New Roman" w:cs="Times New Roman"/>
          <w:bCs/>
          <w:i/>
          <w:iCs/>
          <w:color w:val="000000"/>
          <w:sz w:val="24"/>
          <w:szCs w:val="20"/>
          <w:vertAlign w:val="superscript"/>
        </w:rPr>
        <w:t>2</w:t>
      </w:r>
    </w:p>
    <w:p w:rsidR="00130BE6" w:rsidRPr="00BF68A2" w:rsidRDefault="006B1D4A" w:rsidP="005D159D">
      <w:pPr>
        <w:spacing w:line="360" w:lineRule="auto"/>
        <w:ind w:left="5387"/>
        <w:rPr>
          <w:rFonts w:ascii="Times New Roman" w:eastAsia="MS PGothic" w:hAnsi="Times New Roman" w:cs="Times New Roman"/>
          <w:bCs/>
          <w:i/>
          <w:iCs/>
          <w:color w:val="000000"/>
          <w:sz w:val="24"/>
          <w:szCs w:val="20"/>
          <w:vertAlign w:val="superscript"/>
        </w:rPr>
      </w:pPr>
      <w:r>
        <w:rPr>
          <w:rFonts w:ascii="Times New Roman" w:eastAsia="MS PGothic" w:hAnsi="Times New Roman" w:cs="Times New Roman"/>
          <w:bCs/>
          <w:i/>
          <w:iCs/>
          <w:color w:val="000000"/>
          <w:sz w:val="24"/>
          <w:szCs w:val="20"/>
        </w:rPr>
        <w:t xml:space="preserve">     </w:t>
      </w:r>
      <w:bookmarkStart w:id="0" w:name="_GoBack"/>
      <w:bookmarkEnd w:id="0"/>
    </w:p>
    <w:p w:rsidR="00B74FBA" w:rsidRPr="00176161" w:rsidRDefault="002B2419" w:rsidP="001761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161">
        <w:rPr>
          <w:rFonts w:ascii="Times New Roman" w:hAnsi="Times New Roman" w:cs="Times New Roman"/>
          <w:b/>
          <w:sz w:val="24"/>
          <w:szCs w:val="24"/>
        </w:rPr>
        <w:t>DESCRIÇÃO DO CASO:</w:t>
      </w:r>
    </w:p>
    <w:p w:rsidR="00F620D9" w:rsidRDefault="00363043" w:rsidP="009049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Zaqueu </w:t>
      </w:r>
      <w:proofErr w:type="spellStart"/>
      <w:r>
        <w:rPr>
          <w:rFonts w:ascii="Times New Roman" w:hAnsi="Times New Roman" w:cs="Times New Roman"/>
          <w:sz w:val="24"/>
          <w:szCs w:val="24"/>
        </w:rPr>
        <w:t>Togarma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impetrou no mês de fevereiro do ano de 2015 ação judicial co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tra a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Naftali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Investimentos Ltda., buscando com esta ação a execução de títulos 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trajudiciais(cheques) emitidos pela referida empresa</w:t>
      </w:r>
      <w:r w:rsidR="007900AB">
        <w:rPr>
          <w:rFonts w:ascii="Times New Roman" w:hAnsi="Times New Roman" w:cs="Times New Roman"/>
          <w:sz w:val="24"/>
          <w:szCs w:val="24"/>
        </w:rPr>
        <w:t xml:space="preserve"> culminando</w:t>
      </w:r>
      <w:r>
        <w:rPr>
          <w:rFonts w:ascii="Times New Roman" w:hAnsi="Times New Roman" w:cs="Times New Roman"/>
          <w:sz w:val="24"/>
          <w:szCs w:val="24"/>
        </w:rPr>
        <w:t xml:space="preserve"> no valor de R$ 500.000,00. </w:t>
      </w:r>
    </w:p>
    <w:p w:rsidR="00FF7417" w:rsidRPr="00363043" w:rsidRDefault="007900AB" w:rsidP="009049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deferida a petição inicial e emitido o </w:t>
      </w:r>
      <w:r w:rsidR="000B368A">
        <w:rPr>
          <w:rFonts w:ascii="Times New Roman" w:hAnsi="Times New Roman" w:cs="Times New Roman"/>
          <w:sz w:val="24"/>
          <w:szCs w:val="24"/>
        </w:rPr>
        <w:t>mandado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r w:rsidR="000B368A">
        <w:rPr>
          <w:rFonts w:ascii="Times New Roman" w:hAnsi="Times New Roman" w:cs="Times New Roman"/>
          <w:sz w:val="24"/>
          <w:szCs w:val="24"/>
        </w:rPr>
        <w:t xml:space="preserve">que fosse efetuada </w:t>
      </w:r>
      <w:r>
        <w:rPr>
          <w:rFonts w:ascii="Times New Roman" w:hAnsi="Times New Roman" w:cs="Times New Roman"/>
          <w:sz w:val="24"/>
          <w:szCs w:val="24"/>
        </w:rPr>
        <w:t>a 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tação da reclamada, constatou-se, por meio de declaração do oficial de justiça feita nos autos</w:t>
      </w:r>
      <w:r w:rsidR="000B368A">
        <w:rPr>
          <w:rFonts w:ascii="Times New Roman" w:hAnsi="Times New Roman" w:cs="Times New Roman"/>
          <w:sz w:val="24"/>
          <w:szCs w:val="24"/>
        </w:rPr>
        <w:t xml:space="preserve">, que a empresa reclamada não mais se encontrava no endereço indicado na inicial. Tendo em vista a impossibilidade de se localizar a empresa, Zaqueu </w:t>
      </w:r>
      <w:proofErr w:type="spellStart"/>
      <w:r w:rsidR="000B368A">
        <w:rPr>
          <w:rFonts w:ascii="Times New Roman" w:hAnsi="Times New Roman" w:cs="Times New Roman"/>
          <w:sz w:val="24"/>
          <w:szCs w:val="24"/>
        </w:rPr>
        <w:t>Togarma</w:t>
      </w:r>
      <w:proofErr w:type="spellEnd"/>
      <w:r w:rsidR="000B368A">
        <w:rPr>
          <w:rFonts w:ascii="Times New Roman" w:hAnsi="Times New Roman" w:cs="Times New Roman"/>
          <w:sz w:val="24"/>
          <w:szCs w:val="24"/>
        </w:rPr>
        <w:t>, através de seu procurador, requereu a desconsideração da personalidade jurídica da empresa com base no art. 50 do CC, alegando a di</w:t>
      </w:r>
      <w:r w:rsidR="00FF7417">
        <w:rPr>
          <w:rFonts w:ascii="Times New Roman" w:hAnsi="Times New Roman" w:cs="Times New Roman"/>
          <w:sz w:val="24"/>
          <w:szCs w:val="24"/>
        </w:rPr>
        <w:t>ssolução irregular da sociedade. Pedido este acatado pelo juiz, tendo o magistr</w:t>
      </w:r>
      <w:r w:rsidR="00FF7417">
        <w:rPr>
          <w:rFonts w:ascii="Times New Roman" w:hAnsi="Times New Roman" w:cs="Times New Roman"/>
          <w:sz w:val="24"/>
          <w:szCs w:val="24"/>
        </w:rPr>
        <w:t>a</w:t>
      </w:r>
      <w:r w:rsidR="00FF7417">
        <w:rPr>
          <w:rFonts w:ascii="Times New Roman" w:hAnsi="Times New Roman" w:cs="Times New Roman"/>
          <w:sz w:val="24"/>
          <w:szCs w:val="24"/>
        </w:rPr>
        <w:t xml:space="preserve">do ainda requerido a penhora </w:t>
      </w:r>
      <w:proofErr w:type="spellStart"/>
      <w:r w:rsidR="00FF7417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="00FF74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7417">
        <w:rPr>
          <w:rFonts w:ascii="Times New Roman" w:hAnsi="Times New Roman" w:cs="Times New Roman"/>
          <w:i/>
          <w:sz w:val="24"/>
          <w:szCs w:val="24"/>
        </w:rPr>
        <w:t>line</w:t>
      </w:r>
      <w:proofErr w:type="spellEnd"/>
      <w:r w:rsidR="00FF7417">
        <w:rPr>
          <w:rFonts w:ascii="Times New Roman" w:hAnsi="Times New Roman" w:cs="Times New Roman"/>
          <w:sz w:val="24"/>
          <w:szCs w:val="24"/>
        </w:rPr>
        <w:t xml:space="preserve"> de todos os sócios da empresa</w:t>
      </w:r>
      <w:r w:rsidR="00945D87">
        <w:rPr>
          <w:rFonts w:ascii="Times New Roman" w:hAnsi="Times New Roman" w:cs="Times New Roman"/>
          <w:sz w:val="24"/>
          <w:szCs w:val="24"/>
        </w:rPr>
        <w:t xml:space="preserve">; </w:t>
      </w:r>
      <w:r w:rsidR="00FF7417">
        <w:rPr>
          <w:rFonts w:ascii="Times New Roman" w:hAnsi="Times New Roman" w:cs="Times New Roman"/>
          <w:sz w:val="24"/>
          <w:szCs w:val="24"/>
        </w:rPr>
        <w:t xml:space="preserve">penhora que só foi bem sucedida contra Levi </w:t>
      </w:r>
      <w:proofErr w:type="spellStart"/>
      <w:r w:rsidR="00FF7417">
        <w:rPr>
          <w:rFonts w:ascii="Times New Roman" w:hAnsi="Times New Roman" w:cs="Times New Roman"/>
          <w:sz w:val="24"/>
          <w:szCs w:val="24"/>
        </w:rPr>
        <w:t>Matusael</w:t>
      </w:r>
      <w:proofErr w:type="spellEnd"/>
      <w:r w:rsidR="00FF7417">
        <w:rPr>
          <w:rFonts w:ascii="Times New Roman" w:hAnsi="Times New Roman" w:cs="Times New Roman"/>
          <w:sz w:val="24"/>
          <w:szCs w:val="24"/>
        </w:rPr>
        <w:t xml:space="preserve">, tendo </w:t>
      </w:r>
      <w:proofErr w:type="spellStart"/>
      <w:r w:rsidR="00FF7417">
        <w:rPr>
          <w:rFonts w:ascii="Times New Roman" w:hAnsi="Times New Roman" w:cs="Times New Roman"/>
          <w:sz w:val="24"/>
          <w:szCs w:val="24"/>
        </w:rPr>
        <w:t>tendo</w:t>
      </w:r>
      <w:proofErr w:type="spellEnd"/>
      <w:r w:rsidR="00FF7417">
        <w:rPr>
          <w:rFonts w:ascii="Times New Roman" w:hAnsi="Times New Roman" w:cs="Times New Roman"/>
          <w:sz w:val="24"/>
          <w:szCs w:val="24"/>
        </w:rPr>
        <w:t xml:space="preserve"> sido um total de R$ 50.000,00 penhorados do sujeito</w:t>
      </w:r>
      <w:r w:rsidR="00FF7417" w:rsidRPr="00FF7417">
        <w:rPr>
          <w:rFonts w:ascii="Times New Roman" w:hAnsi="Times New Roman" w:cs="Times New Roman"/>
          <w:sz w:val="24"/>
          <w:szCs w:val="24"/>
        </w:rPr>
        <w:t xml:space="preserve"> </w:t>
      </w:r>
      <w:r w:rsidR="00FF7417">
        <w:rPr>
          <w:rFonts w:ascii="Times New Roman" w:hAnsi="Times New Roman" w:cs="Times New Roman"/>
          <w:sz w:val="24"/>
          <w:szCs w:val="24"/>
        </w:rPr>
        <w:t>sendo destes R$ 30.000,00 de uma conta poupança e R$ 20.000,00 advindos de um plano de previdência privada elaborado à moda VGBL.</w:t>
      </w:r>
    </w:p>
    <w:p w:rsidR="008A7ECD" w:rsidRPr="00891571" w:rsidRDefault="00130BE6" w:rsidP="00130B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57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54D8A">
        <w:rPr>
          <w:rFonts w:ascii="Times New Roman" w:hAnsi="Times New Roman" w:cs="Times New Roman"/>
          <w:b/>
          <w:sz w:val="24"/>
          <w:szCs w:val="24"/>
        </w:rPr>
        <w:t>Decisões Possíveis</w:t>
      </w:r>
      <w:r w:rsidR="00C35147" w:rsidRPr="0089157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30BE6" w:rsidRPr="00891571" w:rsidRDefault="00415757" w:rsidP="00130B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71">
        <w:rPr>
          <w:rFonts w:ascii="Times New Roman" w:hAnsi="Times New Roman" w:cs="Times New Roman"/>
          <w:b/>
          <w:sz w:val="24"/>
          <w:szCs w:val="24"/>
        </w:rPr>
        <w:t xml:space="preserve">1.1- </w:t>
      </w:r>
      <w:r w:rsidR="00176161">
        <w:rPr>
          <w:rFonts w:ascii="Times New Roman" w:hAnsi="Times New Roman" w:cs="Times New Roman"/>
          <w:sz w:val="24"/>
          <w:szCs w:val="24"/>
        </w:rPr>
        <w:t xml:space="preserve">A penhora dos bens de Levi </w:t>
      </w:r>
      <w:proofErr w:type="spellStart"/>
      <w:r w:rsidR="00176161">
        <w:rPr>
          <w:rFonts w:ascii="Times New Roman" w:hAnsi="Times New Roman" w:cs="Times New Roman"/>
          <w:sz w:val="24"/>
          <w:szCs w:val="24"/>
        </w:rPr>
        <w:t>Matusael</w:t>
      </w:r>
      <w:proofErr w:type="spellEnd"/>
      <w:r w:rsidR="00176161">
        <w:rPr>
          <w:rFonts w:ascii="Times New Roman" w:hAnsi="Times New Roman" w:cs="Times New Roman"/>
          <w:sz w:val="24"/>
          <w:szCs w:val="24"/>
        </w:rPr>
        <w:t xml:space="preserve"> é válida. </w:t>
      </w:r>
    </w:p>
    <w:p w:rsidR="00B74FBA" w:rsidRDefault="00415757" w:rsidP="00130B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71">
        <w:rPr>
          <w:rFonts w:ascii="Times New Roman" w:hAnsi="Times New Roman" w:cs="Times New Roman"/>
          <w:b/>
          <w:sz w:val="24"/>
          <w:szCs w:val="24"/>
        </w:rPr>
        <w:t xml:space="preserve">1.2- </w:t>
      </w:r>
      <w:r w:rsidR="00176161">
        <w:rPr>
          <w:rFonts w:ascii="Times New Roman" w:hAnsi="Times New Roman" w:cs="Times New Roman"/>
          <w:sz w:val="24"/>
          <w:szCs w:val="24"/>
        </w:rPr>
        <w:t xml:space="preserve">A penhora dos bens de Levi </w:t>
      </w:r>
      <w:proofErr w:type="spellStart"/>
      <w:r w:rsidR="00176161">
        <w:rPr>
          <w:rFonts w:ascii="Times New Roman" w:hAnsi="Times New Roman" w:cs="Times New Roman"/>
          <w:sz w:val="24"/>
          <w:szCs w:val="24"/>
        </w:rPr>
        <w:t>Matusael</w:t>
      </w:r>
      <w:proofErr w:type="spellEnd"/>
      <w:r w:rsidR="00176161">
        <w:rPr>
          <w:rFonts w:ascii="Times New Roman" w:hAnsi="Times New Roman" w:cs="Times New Roman"/>
          <w:sz w:val="24"/>
          <w:szCs w:val="24"/>
        </w:rPr>
        <w:t xml:space="preserve"> não é válida.</w:t>
      </w:r>
    </w:p>
    <w:p w:rsidR="00F15975" w:rsidRDefault="00CD7106" w:rsidP="002B24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571">
        <w:rPr>
          <w:rFonts w:ascii="Times New Roman" w:hAnsi="Times New Roman" w:cs="Times New Roman"/>
          <w:b/>
          <w:sz w:val="24"/>
          <w:szCs w:val="24"/>
        </w:rPr>
        <w:t>2. Argumentos:</w:t>
      </w:r>
    </w:p>
    <w:p w:rsidR="00B74FBA" w:rsidRDefault="00B74FBA" w:rsidP="002B2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2.1- </w:t>
      </w:r>
      <w:r w:rsidR="00176161">
        <w:rPr>
          <w:rFonts w:ascii="Times New Roman" w:hAnsi="Times New Roman" w:cs="Times New Roman"/>
          <w:sz w:val="24"/>
          <w:szCs w:val="24"/>
        </w:rPr>
        <w:t xml:space="preserve">A penhora dos bens de Levi </w:t>
      </w:r>
      <w:proofErr w:type="spellStart"/>
      <w:r w:rsidR="00176161">
        <w:rPr>
          <w:rFonts w:ascii="Times New Roman" w:hAnsi="Times New Roman" w:cs="Times New Roman"/>
          <w:sz w:val="24"/>
          <w:szCs w:val="24"/>
        </w:rPr>
        <w:t>Matusael</w:t>
      </w:r>
      <w:proofErr w:type="spellEnd"/>
      <w:r w:rsidR="00176161">
        <w:rPr>
          <w:rFonts w:ascii="Times New Roman" w:hAnsi="Times New Roman" w:cs="Times New Roman"/>
          <w:sz w:val="24"/>
          <w:szCs w:val="24"/>
        </w:rPr>
        <w:t xml:space="preserve"> é válida.</w:t>
      </w:r>
    </w:p>
    <w:p w:rsidR="00F96B7B" w:rsidRDefault="00F96B7B" w:rsidP="009049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que toca o respeito ao princípio do devido processo legal, conforme este se 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contra positivado no artigo </w:t>
      </w:r>
      <w:r w:rsidRPr="00F96B7B">
        <w:rPr>
          <w:rFonts w:ascii="Times New Roman" w:hAnsi="Times New Roman" w:cs="Times New Roman"/>
          <w:sz w:val="24"/>
          <w:szCs w:val="24"/>
        </w:rPr>
        <w:t>5º, LIV</w:t>
      </w:r>
      <w:r w:rsidR="008179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 Carta Magna nacional, percebe-se que tal princípio foi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devidamente seguido pelo magistrado em atuação na causa em tela, uma vez que, para parte da doutrina processualista nacional, </w:t>
      </w:r>
      <w:r w:rsidR="005D37F1">
        <w:rPr>
          <w:rFonts w:ascii="Times New Roman" w:hAnsi="Times New Roman" w:cs="Times New Roman"/>
          <w:sz w:val="24"/>
          <w:szCs w:val="24"/>
        </w:rPr>
        <w:t>tendo como parâmetro os princípios</w:t>
      </w:r>
      <w:r w:rsidR="0081795C">
        <w:rPr>
          <w:rFonts w:ascii="Times New Roman" w:hAnsi="Times New Roman" w:cs="Times New Roman"/>
          <w:sz w:val="24"/>
          <w:szCs w:val="24"/>
        </w:rPr>
        <w:t xml:space="preserve"> também</w:t>
      </w:r>
      <w:r w:rsidR="005D37F1">
        <w:rPr>
          <w:rFonts w:ascii="Times New Roman" w:hAnsi="Times New Roman" w:cs="Times New Roman"/>
          <w:sz w:val="24"/>
          <w:szCs w:val="24"/>
        </w:rPr>
        <w:t xml:space="preserve"> constituci</w:t>
      </w:r>
      <w:r w:rsidR="005D37F1">
        <w:rPr>
          <w:rFonts w:ascii="Times New Roman" w:hAnsi="Times New Roman" w:cs="Times New Roman"/>
          <w:sz w:val="24"/>
          <w:szCs w:val="24"/>
        </w:rPr>
        <w:t>o</w:t>
      </w:r>
      <w:r w:rsidR="005D37F1">
        <w:rPr>
          <w:rFonts w:ascii="Times New Roman" w:hAnsi="Times New Roman" w:cs="Times New Roman"/>
          <w:sz w:val="24"/>
          <w:szCs w:val="24"/>
        </w:rPr>
        <w:t xml:space="preserve">nais da instrumentalidade das formas e da </w:t>
      </w:r>
      <w:r w:rsidR="0081795C">
        <w:rPr>
          <w:rFonts w:ascii="Times New Roman" w:hAnsi="Times New Roman" w:cs="Times New Roman"/>
          <w:sz w:val="24"/>
          <w:szCs w:val="24"/>
        </w:rPr>
        <w:t>economia</w:t>
      </w:r>
      <w:r w:rsidR="005D37F1">
        <w:rPr>
          <w:rFonts w:ascii="Times New Roman" w:hAnsi="Times New Roman" w:cs="Times New Roman"/>
          <w:sz w:val="24"/>
          <w:szCs w:val="24"/>
        </w:rPr>
        <w:t xml:space="preserve"> processual, a desconsideração da pers</w:t>
      </w:r>
      <w:r w:rsidR="005D37F1">
        <w:rPr>
          <w:rFonts w:ascii="Times New Roman" w:hAnsi="Times New Roman" w:cs="Times New Roman"/>
          <w:sz w:val="24"/>
          <w:szCs w:val="24"/>
        </w:rPr>
        <w:t>o</w:t>
      </w:r>
      <w:r w:rsidR="005D37F1">
        <w:rPr>
          <w:rFonts w:ascii="Times New Roman" w:hAnsi="Times New Roman" w:cs="Times New Roman"/>
          <w:sz w:val="24"/>
          <w:szCs w:val="24"/>
        </w:rPr>
        <w:t>nalidade jurídica pode ser decretada pelo magistrado no curso do próprio processo de exec</w:t>
      </w:r>
      <w:r w:rsidR="005D37F1">
        <w:rPr>
          <w:rFonts w:ascii="Times New Roman" w:hAnsi="Times New Roman" w:cs="Times New Roman"/>
          <w:sz w:val="24"/>
          <w:szCs w:val="24"/>
        </w:rPr>
        <w:t>u</w:t>
      </w:r>
      <w:r w:rsidR="005D37F1">
        <w:rPr>
          <w:rFonts w:ascii="Times New Roman" w:hAnsi="Times New Roman" w:cs="Times New Roman"/>
          <w:sz w:val="24"/>
          <w:szCs w:val="24"/>
        </w:rPr>
        <w:t xml:space="preserve">ção por meio de uma decisão simples, ainda que o sócio executado não figure no polo passivo da demanda </w:t>
      </w:r>
      <w:r w:rsidR="005572CD">
        <w:rPr>
          <w:rFonts w:ascii="Times New Roman" w:hAnsi="Times New Roman" w:cs="Times New Roman"/>
          <w:sz w:val="24"/>
          <w:szCs w:val="24"/>
        </w:rPr>
        <w:t>em si, possibilitando, assim, a garantia dos direitos do credor, uma vez que um processo de conhecimento para decretar a desconsideração da personalidade jurídica ou até mesmo um incidente processual para a aval</w:t>
      </w:r>
      <w:r w:rsidR="0081795C">
        <w:rPr>
          <w:rFonts w:ascii="Times New Roman" w:hAnsi="Times New Roman" w:cs="Times New Roman"/>
          <w:sz w:val="24"/>
          <w:szCs w:val="24"/>
        </w:rPr>
        <w:t>iação do tema</w:t>
      </w:r>
      <w:r w:rsidR="003A1BC3">
        <w:rPr>
          <w:rFonts w:ascii="Times New Roman" w:hAnsi="Times New Roman" w:cs="Times New Roman"/>
          <w:sz w:val="24"/>
          <w:szCs w:val="24"/>
        </w:rPr>
        <w:t>, como sugerido por outros doutrin</w:t>
      </w:r>
      <w:r w:rsidR="003A1BC3">
        <w:rPr>
          <w:rFonts w:ascii="Times New Roman" w:hAnsi="Times New Roman" w:cs="Times New Roman"/>
          <w:sz w:val="24"/>
          <w:szCs w:val="24"/>
        </w:rPr>
        <w:t>a</w:t>
      </w:r>
      <w:r w:rsidR="003A1BC3">
        <w:rPr>
          <w:rFonts w:ascii="Times New Roman" w:hAnsi="Times New Roman" w:cs="Times New Roman"/>
          <w:sz w:val="24"/>
          <w:szCs w:val="24"/>
        </w:rPr>
        <w:t>dores,</w:t>
      </w:r>
      <w:r w:rsidR="0081795C">
        <w:rPr>
          <w:rFonts w:ascii="Times New Roman" w:hAnsi="Times New Roman" w:cs="Times New Roman"/>
          <w:sz w:val="24"/>
          <w:szCs w:val="24"/>
        </w:rPr>
        <w:t xml:space="preserve"> poderia trazer um</w:t>
      </w:r>
      <w:r w:rsidR="005572CD">
        <w:rPr>
          <w:rFonts w:ascii="Times New Roman" w:hAnsi="Times New Roman" w:cs="Times New Roman"/>
          <w:sz w:val="24"/>
          <w:szCs w:val="24"/>
        </w:rPr>
        <w:t xml:space="preserve"> </w:t>
      </w:r>
      <w:r w:rsidR="0081795C">
        <w:rPr>
          <w:rFonts w:ascii="Times New Roman" w:hAnsi="Times New Roman" w:cs="Times New Roman"/>
          <w:sz w:val="24"/>
          <w:szCs w:val="24"/>
        </w:rPr>
        <w:t>alongamento</w:t>
      </w:r>
      <w:r w:rsidR="005572CD">
        <w:rPr>
          <w:rFonts w:ascii="Times New Roman" w:hAnsi="Times New Roman" w:cs="Times New Roman"/>
          <w:sz w:val="24"/>
          <w:szCs w:val="24"/>
        </w:rPr>
        <w:t xml:space="preserve"> exacerbad</w:t>
      </w:r>
      <w:r w:rsidR="00737616">
        <w:rPr>
          <w:rFonts w:ascii="Times New Roman" w:hAnsi="Times New Roman" w:cs="Times New Roman"/>
          <w:sz w:val="24"/>
          <w:szCs w:val="24"/>
        </w:rPr>
        <w:t>o</w:t>
      </w:r>
      <w:r w:rsidR="005572CD">
        <w:rPr>
          <w:rFonts w:ascii="Times New Roman" w:hAnsi="Times New Roman" w:cs="Times New Roman"/>
          <w:sz w:val="24"/>
          <w:szCs w:val="24"/>
        </w:rPr>
        <w:t xml:space="preserve"> </w:t>
      </w:r>
      <w:r w:rsidR="0081795C">
        <w:rPr>
          <w:rFonts w:ascii="Times New Roman" w:hAnsi="Times New Roman" w:cs="Times New Roman"/>
          <w:sz w:val="24"/>
          <w:szCs w:val="24"/>
        </w:rPr>
        <w:t>d</w:t>
      </w:r>
      <w:r w:rsidR="005572CD">
        <w:rPr>
          <w:rFonts w:ascii="Times New Roman" w:hAnsi="Times New Roman" w:cs="Times New Roman"/>
          <w:sz w:val="24"/>
          <w:szCs w:val="24"/>
        </w:rPr>
        <w:t xml:space="preserve">o procedimento, o que </w:t>
      </w:r>
      <w:r w:rsidR="00F71E1B">
        <w:rPr>
          <w:rFonts w:ascii="Times New Roman" w:hAnsi="Times New Roman" w:cs="Times New Roman"/>
          <w:sz w:val="24"/>
          <w:szCs w:val="24"/>
        </w:rPr>
        <w:t>por sua vez traria a possibilidade de tornar ineficaz a tutela jurisdicional em tela</w:t>
      </w:r>
      <w:r w:rsidR="005572CD">
        <w:rPr>
          <w:rFonts w:ascii="Times New Roman" w:hAnsi="Times New Roman" w:cs="Times New Roman"/>
          <w:sz w:val="24"/>
          <w:szCs w:val="24"/>
        </w:rPr>
        <w:t>.</w:t>
      </w:r>
      <w:r w:rsidR="005D37F1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5572CD">
        <w:rPr>
          <w:rFonts w:ascii="Times New Roman" w:hAnsi="Times New Roman" w:cs="Times New Roman"/>
          <w:sz w:val="24"/>
          <w:szCs w:val="24"/>
        </w:rPr>
        <w:t xml:space="preserve"> </w:t>
      </w:r>
      <w:r w:rsidR="005572CD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5572CD" w:rsidRDefault="005572CD" w:rsidP="009049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no tocante ao tema do devido processo legal, tem-se que </w:t>
      </w:r>
      <w:r w:rsidR="00DD02D7">
        <w:rPr>
          <w:rFonts w:ascii="Times New Roman" w:hAnsi="Times New Roman" w:cs="Times New Roman"/>
          <w:sz w:val="24"/>
          <w:szCs w:val="24"/>
        </w:rPr>
        <w:t>a não inserção</w:t>
      </w:r>
      <w:r w:rsidR="003A1BC3">
        <w:rPr>
          <w:rFonts w:ascii="Times New Roman" w:hAnsi="Times New Roman" w:cs="Times New Roman"/>
          <w:sz w:val="24"/>
          <w:szCs w:val="24"/>
        </w:rPr>
        <w:t xml:space="preserve"> formal do sujeito Levi </w:t>
      </w:r>
      <w:proofErr w:type="spellStart"/>
      <w:r w:rsidR="003A1BC3">
        <w:rPr>
          <w:rFonts w:ascii="Times New Roman" w:hAnsi="Times New Roman" w:cs="Times New Roman"/>
          <w:sz w:val="24"/>
          <w:szCs w:val="24"/>
        </w:rPr>
        <w:t>Matusael</w:t>
      </w:r>
      <w:proofErr w:type="spellEnd"/>
      <w:r w:rsidR="00DD02D7">
        <w:rPr>
          <w:rFonts w:ascii="Times New Roman" w:hAnsi="Times New Roman" w:cs="Times New Roman"/>
          <w:sz w:val="24"/>
          <w:szCs w:val="24"/>
        </w:rPr>
        <w:t xml:space="preserve"> no polo passivo da demanda</w:t>
      </w:r>
      <w:r w:rsidR="003A1BC3">
        <w:rPr>
          <w:rFonts w:ascii="Times New Roman" w:hAnsi="Times New Roman" w:cs="Times New Roman"/>
          <w:sz w:val="24"/>
          <w:szCs w:val="24"/>
        </w:rPr>
        <w:t xml:space="preserve"> antes da declaração da desco</w:t>
      </w:r>
      <w:r w:rsidR="003A1BC3">
        <w:rPr>
          <w:rFonts w:ascii="Times New Roman" w:hAnsi="Times New Roman" w:cs="Times New Roman"/>
          <w:sz w:val="24"/>
          <w:szCs w:val="24"/>
        </w:rPr>
        <w:t>n</w:t>
      </w:r>
      <w:r w:rsidR="003A1BC3">
        <w:rPr>
          <w:rFonts w:ascii="Times New Roman" w:hAnsi="Times New Roman" w:cs="Times New Roman"/>
          <w:sz w:val="24"/>
          <w:szCs w:val="24"/>
        </w:rPr>
        <w:t>sideração da personalidade jurídica</w:t>
      </w:r>
      <w:r w:rsidR="002862A1">
        <w:rPr>
          <w:rFonts w:ascii="Times New Roman" w:hAnsi="Times New Roman" w:cs="Times New Roman"/>
          <w:sz w:val="24"/>
          <w:szCs w:val="24"/>
        </w:rPr>
        <w:t xml:space="preserve"> não gera um cerceamento do direito de defesa </w:t>
      </w:r>
      <w:r w:rsidR="002110BB">
        <w:rPr>
          <w:rFonts w:ascii="Times New Roman" w:hAnsi="Times New Roman" w:cs="Times New Roman"/>
          <w:sz w:val="24"/>
          <w:szCs w:val="24"/>
        </w:rPr>
        <w:t>do referido sócio</w:t>
      </w:r>
      <w:r w:rsidR="002862A1">
        <w:rPr>
          <w:rFonts w:ascii="Times New Roman" w:hAnsi="Times New Roman" w:cs="Times New Roman"/>
          <w:sz w:val="24"/>
          <w:szCs w:val="24"/>
        </w:rPr>
        <w:t>, vez que este já se encontrava, ainda que sob o manto da personalidade jurídica da e</w:t>
      </w:r>
      <w:r w:rsidR="002862A1">
        <w:rPr>
          <w:rFonts w:ascii="Times New Roman" w:hAnsi="Times New Roman" w:cs="Times New Roman"/>
          <w:sz w:val="24"/>
          <w:szCs w:val="24"/>
        </w:rPr>
        <w:t>m</w:t>
      </w:r>
      <w:r w:rsidR="002862A1">
        <w:rPr>
          <w:rFonts w:ascii="Times New Roman" w:hAnsi="Times New Roman" w:cs="Times New Roman"/>
          <w:sz w:val="24"/>
          <w:szCs w:val="24"/>
        </w:rPr>
        <w:t>pre</w:t>
      </w:r>
      <w:r w:rsidR="003A1BC3">
        <w:rPr>
          <w:rFonts w:ascii="Times New Roman" w:hAnsi="Times New Roman" w:cs="Times New Roman"/>
          <w:sz w:val="24"/>
          <w:szCs w:val="24"/>
        </w:rPr>
        <w:t>sa, no polo passivo da execução</w:t>
      </w:r>
      <w:r w:rsidR="00E317AE">
        <w:rPr>
          <w:rFonts w:ascii="Times New Roman" w:hAnsi="Times New Roman" w:cs="Times New Roman"/>
          <w:sz w:val="24"/>
          <w:szCs w:val="24"/>
        </w:rPr>
        <w:t>, tendo, o sujeito, plena capacidade de exercer seu contr</w:t>
      </w:r>
      <w:r w:rsidR="00E317AE">
        <w:rPr>
          <w:rFonts w:ascii="Times New Roman" w:hAnsi="Times New Roman" w:cs="Times New Roman"/>
          <w:sz w:val="24"/>
          <w:szCs w:val="24"/>
        </w:rPr>
        <w:t>a</w:t>
      </w:r>
      <w:r w:rsidR="00E317AE">
        <w:rPr>
          <w:rFonts w:ascii="Times New Roman" w:hAnsi="Times New Roman" w:cs="Times New Roman"/>
          <w:sz w:val="24"/>
          <w:szCs w:val="24"/>
        </w:rPr>
        <w:t>ditório após a constrição patrimonial mediante, inclusive, embargos ao executado.</w:t>
      </w:r>
      <w:r w:rsidR="00B46E91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B46E91">
        <w:rPr>
          <w:rFonts w:ascii="Times New Roman" w:hAnsi="Times New Roman" w:cs="Times New Roman"/>
          <w:sz w:val="24"/>
          <w:szCs w:val="24"/>
        </w:rPr>
        <w:t xml:space="preserve"> </w:t>
      </w:r>
      <w:r w:rsidR="002862A1">
        <w:rPr>
          <w:rFonts w:ascii="Times New Roman" w:hAnsi="Times New Roman" w:cs="Times New Roman"/>
          <w:sz w:val="24"/>
          <w:szCs w:val="24"/>
        </w:rPr>
        <w:t xml:space="preserve"> </w:t>
      </w:r>
      <w:r w:rsidR="002862A1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2862A1" w:rsidRDefault="002862A1" w:rsidP="009049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à legitimidade do sujeito Levi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Matusael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figurar no polo passivo da 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manda, verifica-se que esta também não encontra nenhum óbice legal, uma vez que parte dos doutrinadores do direito processual civil</w:t>
      </w:r>
      <w:r w:rsidR="003E49A2">
        <w:rPr>
          <w:rFonts w:ascii="Times New Roman" w:hAnsi="Times New Roman" w:cs="Times New Roman"/>
          <w:sz w:val="24"/>
          <w:szCs w:val="24"/>
        </w:rPr>
        <w:t xml:space="preserve"> bem como jurisprudência pátria, a exemplo do julg</w:t>
      </w:r>
      <w:r w:rsidR="003E49A2">
        <w:rPr>
          <w:rFonts w:ascii="Times New Roman" w:hAnsi="Times New Roman" w:cs="Times New Roman"/>
          <w:sz w:val="24"/>
          <w:szCs w:val="24"/>
        </w:rPr>
        <w:t>a</w:t>
      </w:r>
      <w:r w:rsidR="003E49A2">
        <w:rPr>
          <w:rFonts w:ascii="Times New Roman" w:hAnsi="Times New Roman" w:cs="Times New Roman"/>
          <w:sz w:val="24"/>
          <w:szCs w:val="24"/>
        </w:rPr>
        <w:t xml:space="preserve">do da </w:t>
      </w:r>
      <w:r w:rsidR="003E49A2" w:rsidRPr="003E49A2">
        <w:rPr>
          <w:rFonts w:ascii="Times New Roman" w:hAnsi="Times New Roman" w:cs="Times New Roman"/>
          <w:sz w:val="24"/>
          <w:szCs w:val="24"/>
        </w:rPr>
        <w:t>Apelação Cível Nº 70012605697</w:t>
      </w:r>
      <w:r w:rsidR="003E49A2">
        <w:rPr>
          <w:rFonts w:ascii="Times New Roman" w:hAnsi="Times New Roman" w:cs="Times New Roman"/>
          <w:sz w:val="24"/>
          <w:szCs w:val="24"/>
        </w:rPr>
        <w:t xml:space="preserve"> de relatoria de </w:t>
      </w:r>
      <w:proofErr w:type="spellStart"/>
      <w:r w:rsidR="003E49A2" w:rsidRPr="003E49A2">
        <w:rPr>
          <w:rFonts w:ascii="Times New Roman" w:hAnsi="Times New Roman" w:cs="Times New Roman"/>
          <w:sz w:val="24"/>
          <w:szCs w:val="24"/>
        </w:rPr>
        <w:t>Claudir</w:t>
      </w:r>
      <w:proofErr w:type="spellEnd"/>
      <w:r w:rsidR="003E49A2" w:rsidRPr="003E49A2">
        <w:rPr>
          <w:rFonts w:ascii="Times New Roman" w:hAnsi="Times New Roman" w:cs="Times New Roman"/>
          <w:sz w:val="24"/>
          <w:szCs w:val="24"/>
        </w:rPr>
        <w:t xml:space="preserve"> Fidelis </w:t>
      </w:r>
      <w:proofErr w:type="spellStart"/>
      <w:r w:rsidR="003E49A2" w:rsidRPr="003E49A2">
        <w:rPr>
          <w:rFonts w:ascii="Times New Roman" w:hAnsi="Times New Roman" w:cs="Times New Roman"/>
          <w:sz w:val="24"/>
          <w:szCs w:val="24"/>
        </w:rPr>
        <w:t>Faccenda</w:t>
      </w:r>
      <w:proofErr w:type="spellEnd"/>
      <w:r w:rsidR="003E49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sustentam a posição de que, desde que o sujeito tenha figurado no quadro de sócios da empresa à época da constituição da dívida</w:t>
      </w:r>
      <w:r w:rsidR="003E4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 da emissão do título de crédito, este pode plenamente ser acionado judicialmente </w:t>
      </w:r>
      <w:r w:rsidR="00766BEC">
        <w:rPr>
          <w:rFonts w:ascii="Times New Roman" w:hAnsi="Times New Roman" w:cs="Times New Roman"/>
          <w:sz w:val="24"/>
          <w:szCs w:val="24"/>
        </w:rPr>
        <w:t>após a decretação judicial da desconsideração da personalidade jurídica e ter seus bens levantados para garantir o pagamento daquilo que é devido ao credor</w:t>
      </w:r>
      <w:r w:rsidR="00CD2C03">
        <w:rPr>
          <w:rFonts w:ascii="Times New Roman" w:hAnsi="Times New Roman" w:cs="Times New Roman"/>
          <w:sz w:val="24"/>
          <w:szCs w:val="24"/>
        </w:rPr>
        <w:t xml:space="preserve">, sendo </w:t>
      </w:r>
      <w:r w:rsidR="00D73ED9">
        <w:rPr>
          <w:rFonts w:ascii="Times New Roman" w:hAnsi="Times New Roman" w:cs="Times New Roman"/>
          <w:sz w:val="24"/>
          <w:szCs w:val="24"/>
        </w:rPr>
        <w:t>isto</w:t>
      </w:r>
      <w:r w:rsidR="00CD2C03">
        <w:rPr>
          <w:rFonts w:ascii="Times New Roman" w:hAnsi="Times New Roman" w:cs="Times New Roman"/>
          <w:sz w:val="24"/>
          <w:szCs w:val="24"/>
        </w:rPr>
        <w:t xml:space="preserve"> justamente o que ocorre no caso em tela, vez que à data da emissão do título de crédito, jane</w:t>
      </w:r>
      <w:r w:rsidR="00CD2C03">
        <w:rPr>
          <w:rFonts w:ascii="Times New Roman" w:hAnsi="Times New Roman" w:cs="Times New Roman"/>
          <w:sz w:val="24"/>
          <w:szCs w:val="24"/>
        </w:rPr>
        <w:t>i</w:t>
      </w:r>
      <w:r w:rsidR="00CD2C03">
        <w:rPr>
          <w:rFonts w:ascii="Times New Roman" w:hAnsi="Times New Roman" w:cs="Times New Roman"/>
          <w:sz w:val="24"/>
          <w:szCs w:val="24"/>
        </w:rPr>
        <w:lastRenderedPageBreak/>
        <w:t>ro de 2014, o sujeito ainda era membro societário da empresa, tendo se retirado</w:t>
      </w:r>
      <w:r w:rsidR="00E317AE">
        <w:rPr>
          <w:rFonts w:ascii="Times New Roman" w:hAnsi="Times New Roman" w:cs="Times New Roman"/>
          <w:sz w:val="24"/>
          <w:szCs w:val="24"/>
        </w:rPr>
        <w:t xml:space="preserve"> regularmente</w:t>
      </w:r>
      <w:r w:rsidR="00CD2C03">
        <w:rPr>
          <w:rFonts w:ascii="Times New Roman" w:hAnsi="Times New Roman" w:cs="Times New Roman"/>
          <w:sz w:val="24"/>
          <w:szCs w:val="24"/>
        </w:rPr>
        <w:t xml:space="preserve"> apenas em novembro de 2014</w:t>
      </w:r>
      <w:r w:rsidR="00766BEC">
        <w:rPr>
          <w:rFonts w:ascii="Times New Roman" w:hAnsi="Times New Roman" w:cs="Times New Roman"/>
          <w:sz w:val="24"/>
          <w:szCs w:val="24"/>
        </w:rPr>
        <w:t>.</w:t>
      </w:r>
      <w:r w:rsidR="00247C35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491068">
        <w:rPr>
          <w:rFonts w:ascii="Times New Roman" w:hAnsi="Times New Roman" w:cs="Times New Roman"/>
          <w:sz w:val="24"/>
          <w:szCs w:val="24"/>
        </w:rPr>
        <w:t xml:space="preserve"> </w:t>
      </w:r>
      <w:r w:rsidR="00491068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:rsidR="00754C19" w:rsidRPr="005572CD" w:rsidRDefault="00766BEC" w:rsidP="009049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pode-se concluir que as ações desempenhadas pelo juiz no curso da causa estão de pleno acordo com </w:t>
      </w:r>
      <w:r w:rsidR="00247C35">
        <w:rPr>
          <w:rFonts w:ascii="Times New Roman" w:hAnsi="Times New Roman" w:cs="Times New Roman"/>
          <w:sz w:val="24"/>
          <w:szCs w:val="24"/>
        </w:rPr>
        <w:t>as normas do direito processual</w:t>
      </w:r>
      <w:r w:rsidR="007F2E5B">
        <w:rPr>
          <w:rFonts w:ascii="Times New Roman" w:hAnsi="Times New Roman" w:cs="Times New Roman"/>
          <w:sz w:val="24"/>
          <w:szCs w:val="24"/>
        </w:rPr>
        <w:t xml:space="preserve"> e constitucional</w:t>
      </w:r>
      <w:r w:rsidR="00247C35">
        <w:rPr>
          <w:rFonts w:ascii="Times New Roman" w:hAnsi="Times New Roman" w:cs="Times New Roman"/>
          <w:sz w:val="24"/>
          <w:szCs w:val="24"/>
        </w:rPr>
        <w:t xml:space="preserve"> nacional, </w:t>
      </w:r>
      <w:r w:rsidR="00975179">
        <w:rPr>
          <w:rFonts w:ascii="Times New Roman" w:hAnsi="Times New Roman" w:cs="Times New Roman"/>
          <w:sz w:val="24"/>
          <w:szCs w:val="24"/>
        </w:rPr>
        <w:t>sendo, portanto, plenamente vál</w:t>
      </w:r>
      <w:r w:rsidR="00247C35">
        <w:rPr>
          <w:rFonts w:ascii="Times New Roman" w:hAnsi="Times New Roman" w:cs="Times New Roman"/>
          <w:sz w:val="24"/>
          <w:szCs w:val="24"/>
        </w:rPr>
        <w:t xml:space="preserve">ida a penhora dos bens do sujeito Levi </w:t>
      </w:r>
      <w:proofErr w:type="spellStart"/>
      <w:r w:rsidR="00247C35">
        <w:rPr>
          <w:rFonts w:ascii="Times New Roman" w:hAnsi="Times New Roman" w:cs="Times New Roman"/>
          <w:sz w:val="24"/>
          <w:szCs w:val="24"/>
        </w:rPr>
        <w:t>Matusael</w:t>
      </w:r>
      <w:proofErr w:type="spellEnd"/>
      <w:r w:rsidR="00247C35">
        <w:rPr>
          <w:rFonts w:ascii="Times New Roman" w:hAnsi="Times New Roman" w:cs="Times New Roman"/>
          <w:sz w:val="24"/>
          <w:szCs w:val="24"/>
        </w:rPr>
        <w:t>.</w:t>
      </w:r>
    </w:p>
    <w:p w:rsidR="002D1DD0" w:rsidRDefault="00B74FBA" w:rsidP="002B2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2.2- </w:t>
      </w:r>
      <w:r w:rsidR="00176161">
        <w:rPr>
          <w:rFonts w:ascii="Times New Roman" w:hAnsi="Times New Roman" w:cs="Times New Roman"/>
          <w:sz w:val="24"/>
          <w:szCs w:val="24"/>
        </w:rPr>
        <w:t xml:space="preserve">A penhora dos bens de Levi </w:t>
      </w:r>
      <w:proofErr w:type="spellStart"/>
      <w:r w:rsidR="00176161">
        <w:rPr>
          <w:rFonts w:ascii="Times New Roman" w:hAnsi="Times New Roman" w:cs="Times New Roman"/>
          <w:sz w:val="24"/>
          <w:szCs w:val="24"/>
        </w:rPr>
        <w:t>Matusael</w:t>
      </w:r>
      <w:proofErr w:type="spellEnd"/>
      <w:r w:rsidR="00176161">
        <w:rPr>
          <w:rFonts w:ascii="Times New Roman" w:hAnsi="Times New Roman" w:cs="Times New Roman"/>
          <w:sz w:val="24"/>
          <w:szCs w:val="24"/>
        </w:rPr>
        <w:t xml:space="preserve"> não é válida.</w:t>
      </w:r>
    </w:p>
    <w:p w:rsidR="000D7D4F" w:rsidRDefault="00007DB3" w:rsidP="009049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um primeiro momento cabe salientar que</w:t>
      </w:r>
      <w:r w:rsidR="002D1DD0">
        <w:rPr>
          <w:rFonts w:ascii="Times New Roman" w:hAnsi="Times New Roman" w:cs="Times New Roman"/>
          <w:sz w:val="24"/>
          <w:szCs w:val="24"/>
        </w:rPr>
        <w:t xml:space="preserve"> </w:t>
      </w:r>
      <w:r w:rsidR="00D73ED9">
        <w:rPr>
          <w:rFonts w:ascii="Times New Roman" w:hAnsi="Times New Roman" w:cs="Times New Roman"/>
          <w:sz w:val="24"/>
          <w:szCs w:val="24"/>
        </w:rPr>
        <w:t>o procedimento</w:t>
      </w:r>
      <w:r>
        <w:rPr>
          <w:rFonts w:ascii="Times New Roman" w:hAnsi="Times New Roman" w:cs="Times New Roman"/>
          <w:sz w:val="24"/>
          <w:szCs w:val="24"/>
        </w:rPr>
        <w:t xml:space="preserve"> utilizad</w:t>
      </w:r>
      <w:r w:rsidR="00D73ED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pelo 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gistrado para proceder à aplicação da teoria da desconsideração da </w:t>
      </w:r>
      <w:r w:rsidR="00975179">
        <w:rPr>
          <w:rFonts w:ascii="Times New Roman" w:hAnsi="Times New Roman" w:cs="Times New Roman"/>
          <w:sz w:val="24"/>
          <w:szCs w:val="24"/>
        </w:rPr>
        <w:t>personalidade jurídica</w:t>
      </w:r>
      <w:r w:rsidR="000D7D4F">
        <w:rPr>
          <w:rFonts w:ascii="Times New Roman" w:hAnsi="Times New Roman" w:cs="Times New Roman"/>
          <w:sz w:val="24"/>
          <w:szCs w:val="24"/>
        </w:rPr>
        <w:t xml:space="preserve"> no caso em tela</w:t>
      </w:r>
      <w:r w:rsidR="00975179">
        <w:rPr>
          <w:rFonts w:ascii="Times New Roman" w:hAnsi="Times New Roman" w:cs="Times New Roman"/>
          <w:sz w:val="24"/>
          <w:szCs w:val="24"/>
        </w:rPr>
        <w:t xml:space="preserve"> padece </w:t>
      </w:r>
      <w:r w:rsidR="000D7D4F">
        <w:rPr>
          <w:rFonts w:ascii="Times New Roman" w:hAnsi="Times New Roman" w:cs="Times New Roman"/>
          <w:sz w:val="24"/>
          <w:szCs w:val="24"/>
        </w:rPr>
        <w:t>nitidamente</w:t>
      </w:r>
      <w:r w:rsidR="00975179">
        <w:rPr>
          <w:rFonts w:ascii="Times New Roman" w:hAnsi="Times New Roman" w:cs="Times New Roman"/>
          <w:sz w:val="24"/>
          <w:szCs w:val="24"/>
        </w:rPr>
        <w:t xml:space="preserve"> de vícios quanto a constitucionalidade do at</w:t>
      </w:r>
      <w:r w:rsidR="0048387F">
        <w:rPr>
          <w:rFonts w:ascii="Times New Roman" w:hAnsi="Times New Roman" w:cs="Times New Roman"/>
          <w:sz w:val="24"/>
          <w:szCs w:val="24"/>
        </w:rPr>
        <w:t xml:space="preserve">o, uma vez que, conforme leciona </w:t>
      </w:r>
      <w:proofErr w:type="spellStart"/>
      <w:r w:rsidR="0048387F">
        <w:rPr>
          <w:rFonts w:ascii="Times New Roman" w:hAnsi="Times New Roman" w:cs="Times New Roman"/>
          <w:sz w:val="24"/>
          <w:szCs w:val="24"/>
        </w:rPr>
        <w:t>Fredie</w:t>
      </w:r>
      <w:proofErr w:type="spellEnd"/>
      <w:r w:rsidR="0048387F">
        <w:rPr>
          <w:rFonts w:ascii="Times New Roman" w:hAnsi="Times New Roman" w:cs="Times New Roman"/>
          <w:sz w:val="24"/>
          <w:szCs w:val="24"/>
        </w:rPr>
        <w:t xml:space="preserve"> Didier Jr.</w:t>
      </w:r>
      <w:r w:rsidR="00D73ED9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48387F">
        <w:rPr>
          <w:rFonts w:ascii="Times New Roman" w:hAnsi="Times New Roman" w:cs="Times New Roman"/>
          <w:sz w:val="24"/>
          <w:szCs w:val="24"/>
        </w:rPr>
        <w:t>, é impossível a utilização da referida teoria sem que pr</w:t>
      </w:r>
      <w:r w:rsidR="0048387F">
        <w:rPr>
          <w:rFonts w:ascii="Times New Roman" w:hAnsi="Times New Roman" w:cs="Times New Roman"/>
          <w:sz w:val="24"/>
          <w:szCs w:val="24"/>
        </w:rPr>
        <w:t>i</w:t>
      </w:r>
      <w:r w:rsidR="0048387F">
        <w:rPr>
          <w:rFonts w:ascii="Times New Roman" w:hAnsi="Times New Roman" w:cs="Times New Roman"/>
          <w:sz w:val="24"/>
          <w:szCs w:val="24"/>
        </w:rPr>
        <w:t xml:space="preserve">mordialmente seja efetuado um juízo cognitivo sobre </w:t>
      </w:r>
      <w:r w:rsidR="006E171F">
        <w:rPr>
          <w:rFonts w:ascii="Times New Roman" w:hAnsi="Times New Roman" w:cs="Times New Roman"/>
          <w:sz w:val="24"/>
          <w:szCs w:val="24"/>
        </w:rPr>
        <w:t>o tema</w:t>
      </w:r>
      <w:r w:rsidR="0048387F">
        <w:rPr>
          <w:rFonts w:ascii="Times New Roman" w:hAnsi="Times New Roman" w:cs="Times New Roman"/>
          <w:sz w:val="24"/>
          <w:szCs w:val="24"/>
        </w:rPr>
        <w:t xml:space="preserve">, devendo, assim, </w:t>
      </w:r>
      <w:r w:rsidR="00FB5AC9">
        <w:rPr>
          <w:rFonts w:ascii="Times New Roman" w:hAnsi="Times New Roman" w:cs="Times New Roman"/>
          <w:sz w:val="24"/>
          <w:szCs w:val="24"/>
        </w:rPr>
        <w:t>tal</w:t>
      </w:r>
      <w:r w:rsidR="002D1DD0">
        <w:rPr>
          <w:rFonts w:ascii="Times New Roman" w:hAnsi="Times New Roman" w:cs="Times New Roman"/>
          <w:sz w:val="24"/>
          <w:szCs w:val="24"/>
        </w:rPr>
        <w:t xml:space="preserve"> matéria ser debatida no cerne ou de um processo de conhecimento</w:t>
      </w:r>
      <w:r w:rsidR="002978F4">
        <w:rPr>
          <w:rFonts w:ascii="Times New Roman" w:hAnsi="Times New Roman" w:cs="Times New Roman"/>
          <w:sz w:val="24"/>
          <w:szCs w:val="24"/>
        </w:rPr>
        <w:t>, como defende o supracitado autor,</w:t>
      </w:r>
      <w:r w:rsidR="002D1DD0">
        <w:rPr>
          <w:rFonts w:ascii="Times New Roman" w:hAnsi="Times New Roman" w:cs="Times New Roman"/>
          <w:sz w:val="24"/>
          <w:szCs w:val="24"/>
        </w:rPr>
        <w:t xml:space="preserve"> ou em um incidente processual nascido no bojo da própria ação de execução</w:t>
      </w:r>
      <w:r w:rsidR="002978F4">
        <w:rPr>
          <w:rFonts w:ascii="Times New Roman" w:hAnsi="Times New Roman" w:cs="Times New Roman"/>
          <w:sz w:val="24"/>
          <w:szCs w:val="24"/>
        </w:rPr>
        <w:t>, conforme defend</w:t>
      </w:r>
      <w:r w:rsidR="002978F4">
        <w:rPr>
          <w:rFonts w:ascii="Times New Roman" w:hAnsi="Times New Roman" w:cs="Times New Roman"/>
          <w:sz w:val="24"/>
          <w:szCs w:val="24"/>
        </w:rPr>
        <w:t>i</w:t>
      </w:r>
      <w:r w:rsidR="002978F4">
        <w:rPr>
          <w:rFonts w:ascii="Times New Roman" w:hAnsi="Times New Roman" w:cs="Times New Roman"/>
          <w:sz w:val="24"/>
          <w:szCs w:val="24"/>
        </w:rPr>
        <w:t>do por outra parte da doutrina</w:t>
      </w:r>
      <w:r w:rsidR="002978F4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 w:rsidR="002D1DD0">
        <w:rPr>
          <w:rFonts w:ascii="Times New Roman" w:hAnsi="Times New Roman" w:cs="Times New Roman"/>
          <w:sz w:val="24"/>
          <w:szCs w:val="24"/>
        </w:rPr>
        <w:t>,</w:t>
      </w:r>
      <w:r w:rsidR="0048387F">
        <w:rPr>
          <w:rFonts w:ascii="Times New Roman" w:hAnsi="Times New Roman" w:cs="Times New Roman"/>
          <w:sz w:val="24"/>
          <w:szCs w:val="24"/>
        </w:rPr>
        <w:t xml:space="preserve"> sob pena de se violar direito fundamental positivado no artigo 5º, LV, da  Constituição Federal, ou seja, o direito da ampla defesa e do </w:t>
      </w:r>
      <w:r w:rsidR="006E171F">
        <w:rPr>
          <w:rFonts w:ascii="Times New Roman" w:hAnsi="Times New Roman" w:cs="Times New Roman"/>
          <w:sz w:val="24"/>
          <w:szCs w:val="24"/>
        </w:rPr>
        <w:t>contraditório.</w:t>
      </w:r>
    </w:p>
    <w:p w:rsidR="00A12B5D" w:rsidRDefault="000D7D4F" w:rsidP="009049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existência de tal cerceamento de direito de defesa se faz nítida pelo fato de que,</w:t>
      </w:r>
      <w:r w:rsidR="00A12B5D">
        <w:rPr>
          <w:rFonts w:ascii="Times New Roman" w:hAnsi="Times New Roman" w:cs="Times New Roman"/>
          <w:sz w:val="24"/>
          <w:szCs w:val="24"/>
        </w:rPr>
        <w:t xml:space="preserve"> novamente conforme objetiva lição de Didier,</w:t>
      </w:r>
      <w:r w:rsidR="002D1DD0">
        <w:rPr>
          <w:rFonts w:ascii="Times New Roman" w:hAnsi="Times New Roman" w:cs="Times New Roman"/>
          <w:sz w:val="24"/>
          <w:szCs w:val="24"/>
        </w:rPr>
        <w:t xml:space="preserve"> o referido princípio apresenta no Processo de Execução uma roupagem</w:t>
      </w:r>
      <w:r w:rsidR="00A12B5D">
        <w:rPr>
          <w:rFonts w:ascii="Times New Roman" w:hAnsi="Times New Roman" w:cs="Times New Roman"/>
          <w:sz w:val="24"/>
          <w:szCs w:val="24"/>
        </w:rPr>
        <w:t xml:space="preserve"> menos intensa do que aquela presente no </w:t>
      </w:r>
      <w:r w:rsidR="00FB5AC9">
        <w:rPr>
          <w:rFonts w:ascii="Times New Roman" w:hAnsi="Times New Roman" w:cs="Times New Roman"/>
          <w:sz w:val="24"/>
          <w:szCs w:val="24"/>
        </w:rPr>
        <w:t>P</w:t>
      </w:r>
      <w:r w:rsidR="00A12B5D">
        <w:rPr>
          <w:rFonts w:ascii="Times New Roman" w:hAnsi="Times New Roman" w:cs="Times New Roman"/>
          <w:sz w:val="24"/>
          <w:szCs w:val="24"/>
        </w:rPr>
        <w:t xml:space="preserve">rocesso de </w:t>
      </w:r>
      <w:r w:rsidR="00FB5AC9">
        <w:rPr>
          <w:rFonts w:ascii="Times New Roman" w:hAnsi="Times New Roman" w:cs="Times New Roman"/>
          <w:sz w:val="24"/>
          <w:szCs w:val="24"/>
        </w:rPr>
        <w:t>Conhecime</w:t>
      </w:r>
      <w:r w:rsidR="00FB5AC9">
        <w:rPr>
          <w:rFonts w:ascii="Times New Roman" w:hAnsi="Times New Roman" w:cs="Times New Roman"/>
          <w:sz w:val="24"/>
          <w:szCs w:val="24"/>
        </w:rPr>
        <w:t>n</w:t>
      </w:r>
      <w:r w:rsidR="00FB5AC9">
        <w:rPr>
          <w:rFonts w:ascii="Times New Roman" w:hAnsi="Times New Roman" w:cs="Times New Roman"/>
          <w:sz w:val="24"/>
          <w:szCs w:val="24"/>
        </w:rPr>
        <w:t>to</w:t>
      </w:r>
      <w:r w:rsidR="00A12B5D">
        <w:rPr>
          <w:rFonts w:ascii="Times New Roman" w:hAnsi="Times New Roman" w:cs="Times New Roman"/>
          <w:sz w:val="24"/>
          <w:szCs w:val="24"/>
        </w:rPr>
        <w:t xml:space="preserve">, não propiciando, assim, as mesmas oportunidades de defesa proporcionadas ao executado </w:t>
      </w:r>
      <w:r w:rsidR="007F2E5B">
        <w:rPr>
          <w:rFonts w:ascii="Times New Roman" w:hAnsi="Times New Roman" w:cs="Times New Roman"/>
          <w:sz w:val="24"/>
          <w:szCs w:val="24"/>
        </w:rPr>
        <w:t>no âmbito da cognição processual</w:t>
      </w:r>
      <w:r w:rsidR="00FB5AC9">
        <w:rPr>
          <w:rFonts w:ascii="Times New Roman" w:hAnsi="Times New Roman" w:cs="Times New Roman"/>
          <w:sz w:val="24"/>
          <w:szCs w:val="24"/>
        </w:rPr>
        <w:t xml:space="preserve">, </w:t>
      </w:r>
      <w:r w:rsidR="0090497C">
        <w:rPr>
          <w:rFonts w:ascii="Times New Roman" w:hAnsi="Times New Roman" w:cs="Times New Roman"/>
          <w:sz w:val="24"/>
          <w:szCs w:val="24"/>
        </w:rPr>
        <w:t>já</w:t>
      </w:r>
      <w:r w:rsidR="00FB5AC9">
        <w:rPr>
          <w:rFonts w:ascii="Times New Roman" w:hAnsi="Times New Roman" w:cs="Times New Roman"/>
          <w:sz w:val="24"/>
          <w:szCs w:val="24"/>
        </w:rPr>
        <w:t xml:space="preserve"> que, em nome da celeridade processual, a defesa do ex</w:t>
      </w:r>
      <w:r w:rsidR="00FB5AC9">
        <w:rPr>
          <w:rFonts w:ascii="Times New Roman" w:hAnsi="Times New Roman" w:cs="Times New Roman"/>
          <w:sz w:val="24"/>
          <w:szCs w:val="24"/>
        </w:rPr>
        <w:t>e</w:t>
      </w:r>
      <w:r w:rsidR="00FB5AC9">
        <w:rPr>
          <w:rFonts w:ascii="Times New Roman" w:hAnsi="Times New Roman" w:cs="Times New Roman"/>
          <w:sz w:val="24"/>
          <w:szCs w:val="24"/>
        </w:rPr>
        <w:t>cutado</w:t>
      </w:r>
      <w:r w:rsidR="0090497C">
        <w:rPr>
          <w:rFonts w:ascii="Times New Roman" w:hAnsi="Times New Roman" w:cs="Times New Roman"/>
          <w:sz w:val="24"/>
          <w:szCs w:val="24"/>
        </w:rPr>
        <w:t xml:space="preserve"> no Processo de Execução</w:t>
      </w:r>
      <w:r w:rsidR="00FB5AC9">
        <w:rPr>
          <w:rFonts w:ascii="Times New Roman" w:hAnsi="Times New Roman" w:cs="Times New Roman"/>
          <w:sz w:val="24"/>
          <w:szCs w:val="24"/>
        </w:rPr>
        <w:t xml:space="preserve"> diz respeito apenas à ciência da existência do</w:t>
      </w:r>
      <w:r w:rsidR="00737616">
        <w:rPr>
          <w:rFonts w:ascii="Times New Roman" w:hAnsi="Times New Roman" w:cs="Times New Roman"/>
          <w:sz w:val="24"/>
          <w:szCs w:val="24"/>
        </w:rPr>
        <w:t xml:space="preserve"> processo de execução e outros a</w:t>
      </w:r>
      <w:r w:rsidR="00FB5AC9">
        <w:rPr>
          <w:rFonts w:ascii="Times New Roman" w:hAnsi="Times New Roman" w:cs="Times New Roman"/>
          <w:sz w:val="24"/>
          <w:szCs w:val="24"/>
        </w:rPr>
        <w:t>spectos formais</w:t>
      </w:r>
      <w:r w:rsidR="00737616">
        <w:rPr>
          <w:rFonts w:ascii="Times New Roman" w:hAnsi="Times New Roman" w:cs="Times New Roman"/>
          <w:sz w:val="24"/>
          <w:szCs w:val="24"/>
        </w:rPr>
        <w:t xml:space="preserve"> </w:t>
      </w:r>
      <w:r w:rsidR="00B46E91">
        <w:rPr>
          <w:rFonts w:ascii="Times New Roman" w:hAnsi="Times New Roman" w:cs="Times New Roman"/>
          <w:sz w:val="24"/>
          <w:szCs w:val="24"/>
        </w:rPr>
        <w:t>e não dizem diretamente respeito ao mérito da causa</w:t>
      </w:r>
      <w:r w:rsidR="00FB5AC9">
        <w:rPr>
          <w:rFonts w:ascii="Times New Roman" w:hAnsi="Times New Roman" w:cs="Times New Roman"/>
          <w:sz w:val="24"/>
          <w:szCs w:val="24"/>
        </w:rPr>
        <w:t xml:space="preserve">, </w:t>
      </w:r>
      <w:r w:rsidR="00B46E91">
        <w:rPr>
          <w:rFonts w:ascii="Times New Roman" w:hAnsi="Times New Roman" w:cs="Times New Roman"/>
          <w:sz w:val="24"/>
          <w:szCs w:val="24"/>
        </w:rPr>
        <w:t>p</w:t>
      </w:r>
      <w:r w:rsidR="00B46E91">
        <w:rPr>
          <w:rFonts w:ascii="Times New Roman" w:hAnsi="Times New Roman" w:cs="Times New Roman"/>
          <w:sz w:val="24"/>
          <w:szCs w:val="24"/>
        </w:rPr>
        <w:t>o</w:t>
      </w:r>
      <w:r w:rsidR="00B46E91">
        <w:rPr>
          <w:rFonts w:ascii="Times New Roman" w:hAnsi="Times New Roman" w:cs="Times New Roman"/>
          <w:sz w:val="24"/>
          <w:szCs w:val="24"/>
        </w:rPr>
        <w:t>dendo tal mérito só ser abordado mediante embargos do executado, que trata-se de uma ação autônoma</w:t>
      </w:r>
      <w:r w:rsidR="00FB5AC9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B46E91">
        <w:rPr>
          <w:rFonts w:ascii="Times New Roman" w:hAnsi="Times New Roman" w:cs="Times New Roman"/>
          <w:sz w:val="24"/>
          <w:szCs w:val="24"/>
        </w:rPr>
        <w:t>preleciona</w:t>
      </w:r>
      <w:r w:rsidR="00FB5AC9">
        <w:rPr>
          <w:rFonts w:ascii="Times New Roman" w:hAnsi="Times New Roman" w:cs="Times New Roman"/>
          <w:sz w:val="24"/>
          <w:szCs w:val="24"/>
        </w:rPr>
        <w:t xml:space="preserve"> de Alexandre Câmara</w:t>
      </w:r>
      <w:r w:rsidR="00A12B5D">
        <w:rPr>
          <w:rFonts w:ascii="Times New Roman" w:hAnsi="Times New Roman" w:cs="Times New Roman"/>
          <w:sz w:val="24"/>
          <w:szCs w:val="24"/>
        </w:rPr>
        <w:t xml:space="preserve">. </w:t>
      </w:r>
      <w:r w:rsidR="00A12B5D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="00A12B5D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r w:rsidR="00A12B5D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  <w:r w:rsidR="00FB5AC9">
        <w:rPr>
          <w:rStyle w:val="Refdenotaderodap"/>
          <w:rFonts w:ascii="Times New Roman" w:hAnsi="Times New Roman" w:cs="Times New Roman"/>
          <w:sz w:val="24"/>
          <w:szCs w:val="24"/>
        </w:rPr>
        <w:footnoteReference w:id="12"/>
      </w:r>
      <w:r w:rsidR="00A12B5D">
        <w:rPr>
          <w:rFonts w:ascii="Times New Roman" w:hAnsi="Times New Roman" w:cs="Times New Roman"/>
          <w:sz w:val="24"/>
          <w:szCs w:val="24"/>
        </w:rPr>
        <w:t>Portanto, tem-se que a decret</w:t>
      </w:r>
      <w:r w:rsidR="00A12B5D">
        <w:rPr>
          <w:rFonts w:ascii="Times New Roman" w:hAnsi="Times New Roman" w:cs="Times New Roman"/>
          <w:sz w:val="24"/>
          <w:szCs w:val="24"/>
        </w:rPr>
        <w:t>a</w:t>
      </w:r>
      <w:r w:rsidR="00A12B5D">
        <w:rPr>
          <w:rFonts w:ascii="Times New Roman" w:hAnsi="Times New Roman" w:cs="Times New Roman"/>
          <w:sz w:val="24"/>
          <w:szCs w:val="24"/>
        </w:rPr>
        <w:t>ção da desconsideração da personalidade jurídica</w:t>
      </w:r>
      <w:r w:rsidR="001135C5">
        <w:rPr>
          <w:rFonts w:ascii="Times New Roman" w:hAnsi="Times New Roman" w:cs="Times New Roman"/>
          <w:sz w:val="24"/>
          <w:szCs w:val="24"/>
        </w:rPr>
        <w:t xml:space="preserve"> conforme efetuada pelo magistrado</w:t>
      </w:r>
      <w:r w:rsidR="00A12B5D">
        <w:rPr>
          <w:rFonts w:ascii="Times New Roman" w:hAnsi="Times New Roman" w:cs="Times New Roman"/>
          <w:sz w:val="24"/>
          <w:szCs w:val="24"/>
        </w:rPr>
        <w:t xml:space="preserve"> </w:t>
      </w:r>
      <w:r w:rsidR="00C9051D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C9051D">
        <w:rPr>
          <w:rFonts w:ascii="Times New Roman" w:hAnsi="Times New Roman" w:cs="Times New Roman"/>
          <w:i/>
          <w:sz w:val="24"/>
          <w:szCs w:val="24"/>
        </w:rPr>
        <w:t>casu</w:t>
      </w:r>
      <w:proofErr w:type="spellEnd"/>
      <w:r w:rsidR="00C9051D">
        <w:rPr>
          <w:rFonts w:ascii="Times New Roman" w:hAnsi="Times New Roman" w:cs="Times New Roman"/>
          <w:sz w:val="24"/>
          <w:szCs w:val="24"/>
        </w:rPr>
        <w:t xml:space="preserve"> </w:t>
      </w:r>
      <w:r w:rsidR="00C9051D">
        <w:rPr>
          <w:rFonts w:ascii="Times New Roman" w:hAnsi="Times New Roman" w:cs="Times New Roman"/>
          <w:sz w:val="24"/>
          <w:szCs w:val="24"/>
        </w:rPr>
        <w:lastRenderedPageBreak/>
        <w:t xml:space="preserve">fere o princípio constitucional da </w:t>
      </w:r>
      <w:r w:rsidR="001135C5">
        <w:rPr>
          <w:rFonts w:ascii="Times New Roman" w:hAnsi="Times New Roman" w:cs="Times New Roman"/>
          <w:sz w:val="24"/>
          <w:szCs w:val="24"/>
        </w:rPr>
        <w:t>ampla defesa e do contraditório e, por conseguinte, o princ</w:t>
      </w:r>
      <w:r w:rsidR="001135C5">
        <w:rPr>
          <w:rFonts w:ascii="Times New Roman" w:hAnsi="Times New Roman" w:cs="Times New Roman"/>
          <w:sz w:val="24"/>
          <w:szCs w:val="24"/>
        </w:rPr>
        <w:t>i</w:t>
      </w:r>
      <w:r w:rsidR="001135C5">
        <w:rPr>
          <w:rFonts w:ascii="Times New Roman" w:hAnsi="Times New Roman" w:cs="Times New Roman"/>
          <w:sz w:val="24"/>
          <w:szCs w:val="24"/>
        </w:rPr>
        <w:t xml:space="preserve">pio do devido processo legal, sendo, portanto, tal decretação inconstitucional e, por </w:t>
      </w:r>
      <w:proofErr w:type="spellStart"/>
      <w:r w:rsidR="001135C5">
        <w:rPr>
          <w:rFonts w:ascii="Times New Roman" w:hAnsi="Times New Roman" w:cs="Times New Roman"/>
          <w:sz w:val="24"/>
          <w:szCs w:val="24"/>
        </w:rPr>
        <w:t>cons</w:t>
      </w:r>
      <w:r w:rsidR="001135C5">
        <w:rPr>
          <w:rFonts w:ascii="Times New Roman" w:hAnsi="Times New Roman" w:cs="Times New Roman"/>
          <w:sz w:val="24"/>
          <w:szCs w:val="24"/>
        </w:rPr>
        <w:t>e</w:t>
      </w:r>
      <w:r w:rsidR="001135C5">
        <w:rPr>
          <w:rFonts w:ascii="Times New Roman" w:hAnsi="Times New Roman" w:cs="Times New Roman"/>
          <w:sz w:val="24"/>
          <w:szCs w:val="24"/>
        </w:rPr>
        <w:t>quência,</w:t>
      </w:r>
      <w:r>
        <w:rPr>
          <w:rFonts w:ascii="Times New Roman" w:hAnsi="Times New Roman" w:cs="Times New Roman"/>
          <w:sz w:val="24"/>
          <w:szCs w:val="24"/>
        </w:rPr>
        <w:t>absolutamente</w:t>
      </w:r>
      <w:proofErr w:type="spellEnd"/>
      <w:r w:rsidR="001135C5">
        <w:rPr>
          <w:rFonts w:ascii="Times New Roman" w:hAnsi="Times New Roman" w:cs="Times New Roman"/>
          <w:sz w:val="24"/>
          <w:szCs w:val="24"/>
        </w:rPr>
        <w:t xml:space="preserve"> inválida perante o ordenamento jurídico nacional.</w:t>
      </w:r>
      <w:r w:rsidR="001135C5">
        <w:rPr>
          <w:rStyle w:val="Refdenotaderodap"/>
          <w:rFonts w:ascii="Times New Roman" w:hAnsi="Times New Roman" w:cs="Times New Roman"/>
          <w:sz w:val="24"/>
          <w:szCs w:val="24"/>
        </w:rPr>
        <w:footnoteReference w:id="13"/>
      </w:r>
    </w:p>
    <w:p w:rsidR="001135C5" w:rsidRPr="006324F5" w:rsidRDefault="001135C5" w:rsidP="009049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24F5">
        <w:rPr>
          <w:rFonts w:ascii="Times New Roman" w:hAnsi="Times New Roman" w:cs="Times New Roman"/>
          <w:sz w:val="24"/>
          <w:szCs w:val="24"/>
        </w:rPr>
        <w:t xml:space="preserve">Outra questão a ser suscitada no âmbito desta discussão é </w:t>
      </w:r>
      <w:r w:rsidR="00B53CB6">
        <w:rPr>
          <w:rFonts w:ascii="Times New Roman" w:hAnsi="Times New Roman" w:cs="Times New Roman"/>
          <w:sz w:val="24"/>
          <w:szCs w:val="24"/>
        </w:rPr>
        <w:t>aquela que diz respeito a</w:t>
      </w:r>
      <w:r w:rsidRPr="006324F5">
        <w:rPr>
          <w:rFonts w:ascii="Times New Roman" w:hAnsi="Times New Roman" w:cs="Times New Roman"/>
          <w:sz w:val="24"/>
          <w:szCs w:val="24"/>
        </w:rPr>
        <w:t>o cumprimento dos requisitos necessários para a decretação da desconsideração da person</w:t>
      </w:r>
      <w:r w:rsidRPr="006324F5">
        <w:rPr>
          <w:rFonts w:ascii="Times New Roman" w:hAnsi="Times New Roman" w:cs="Times New Roman"/>
          <w:sz w:val="24"/>
          <w:szCs w:val="24"/>
        </w:rPr>
        <w:t>a</w:t>
      </w:r>
      <w:r w:rsidRPr="006324F5">
        <w:rPr>
          <w:rFonts w:ascii="Times New Roman" w:hAnsi="Times New Roman" w:cs="Times New Roman"/>
          <w:sz w:val="24"/>
          <w:szCs w:val="24"/>
        </w:rPr>
        <w:t>lidade jurídica no caso concreto, uma vez que, segundo julgado do STJ proferido no</w:t>
      </w:r>
      <w:r w:rsidR="005E4513" w:rsidRPr="006324F5">
        <w:rPr>
          <w:rFonts w:ascii="Times New Roman" w:hAnsi="Times New Roman" w:cs="Times New Roman"/>
          <w:sz w:val="24"/>
          <w:szCs w:val="24"/>
        </w:rPr>
        <w:t xml:space="preserve"> bojo do</w:t>
      </w:r>
      <w:r w:rsidRPr="0063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F5">
        <w:rPr>
          <w:rFonts w:ascii="Times New Roman" w:hAnsi="Times New Roman" w:cs="Times New Roman"/>
          <w:sz w:val="24"/>
          <w:szCs w:val="24"/>
        </w:rPr>
        <w:t>REsp</w:t>
      </w:r>
      <w:proofErr w:type="spellEnd"/>
      <w:r w:rsidRPr="006324F5">
        <w:rPr>
          <w:rFonts w:ascii="Times New Roman" w:hAnsi="Times New Roman" w:cs="Times New Roman"/>
          <w:sz w:val="24"/>
          <w:szCs w:val="24"/>
        </w:rPr>
        <w:t xml:space="preserve"> 1.395.288/SP</w:t>
      </w:r>
      <w:r w:rsidR="00917257" w:rsidRPr="006324F5">
        <w:rPr>
          <w:rFonts w:ascii="Times New Roman" w:hAnsi="Times New Roman" w:cs="Times New Roman"/>
          <w:sz w:val="24"/>
          <w:szCs w:val="24"/>
        </w:rPr>
        <w:t xml:space="preserve">, cuja relatora foi a ministra Nancy </w:t>
      </w:r>
      <w:proofErr w:type="spellStart"/>
      <w:r w:rsidR="00917257" w:rsidRPr="006324F5">
        <w:rPr>
          <w:rFonts w:ascii="Times New Roman" w:hAnsi="Times New Roman" w:cs="Times New Roman"/>
          <w:sz w:val="24"/>
          <w:szCs w:val="24"/>
        </w:rPr>
        <w:t>Andrighi</w:t>
      </w:r>
      <w:proofErr w:type="spellEnd"/>
      <w:r w:rsidR="00917257" w:rsidRPr="006324F5">
        <w:rPr>
          <w:rFonts w:ascii="Times New Roman" w:hAnsi="Times New Roman" w:cs="Times New Roman"/>
          <w:sz w:val="24"/>
          <w:szCs w:val="24"/>
        </w:rPr>
        <w:t>, a</w:t>
      </w:r>
      <w:r w:rsidR="00591045">
        <w:rPr>
          <w:rFonts w:ascii="Times New Roman" w:hAnsi="Times New Roman" w:cs="Times New Roman"/>
          <w:sz w:val="24"/>
          <w:szCs w:val="24"/>
        </w:rPr>
        <w:t xml:space="preserve"> desconsideração não pode ter como único fundamento o encerramento irregular, devendo se fazer presente também a</w:t>
      </w:r>
      <w:r w:rsidR="00591045">
        <w:rPr>
          <w:rFonts w:ascii="Times New Roman" w:hAnsi="Times New Roman" w:cs="Times New Roman"/>
          <w:sz w:val="24"/>
          <w:szCs w:val="24"/>
        </w:rPr>
        <w:t>l</w:t>
      </w:r>
      <w:r w:rsidR="00591045">
        <w:rPr>
          <w:rFonts w:ascii="Times New Roman" w:hAnsi="Times New Roman" w:cs="Times New Roman"/>
          <w:sz w:val="24"/>
          <w:szCs w:val="24"/>
        </w:rPr>
        <w:t xml:space="preserve">gum </w:t>
      </w:r>
      <w:r w:rsidR="00917257" w:rsidRPr="006324F5">
        <w:rPr>
          <w:rFonts w:ascii="Times New Roman" w:hAnsi="Times New Roman" w:cs="Times New Roman"/>
          <w:sz w:val="24"/>
          <w:szCs w:val="24"/>
        </w:rPr>
        <w:t xml:space="preserve">indício de </w:t>
      </w:r>
      <w:r w:rsidR="007F2E5B">
        <w:rPr>
          <w:rFonts w:ascii="Times New Roman" w:hAnsi="Times New Roman" w:cs="Times New Roman"/>
          <w:sz w:val="24"/>
          <w:szCs w:val="24"/>
        </w:rPr>
        <w:t>atos ilícitos preconizados no art. 50, CC</w:t>
      </w:r>
      <w:r w:rsidR="00917257" w:rsidRPr="006324F5">
        <w:rPr>
          <w:rFonts w:ascii="Times New Roman" w:hAnsi="Times New Roman" w:cs="Times New Roman"/>
          <w:sz w:val="24"/>
          <w:szCs w:val="24"/>
        </w:rPr>
        <w:t xml:space="preserve">; é justamente o que ocorreu no caso em voga, onde a desconsideração foi aplicada apenas por conta do encerramento </w:t>
      </w:r>
      <w:r w:rsidR="00591045">
        <w:rPr>
          <w:rFonts w:ascii="Times New Roman" w:hAnsi="Times New Roman" w:cs="Times New Roman"/>
          <w:sz w:val="24"/>
          <w:szCs w:val="24"/>
        </w:rPr>
        <w:t>irregular</w:t>
      </w:r>
      <w:r w:rsidR="00917257" w:rsidRPr="006324F5">
        <w:rPr>
          <w:rFonts w:ascii="Times New Roman" w:hAnsi="Times New Roman" w:cs="Times New Roman"/>
          <w:sz w:val="24"/>
          <w:szCs w:val="24"/>
        </w:rPr>
        <w:t>.</w:t>
      </w:r>
      <w:r w:rsidR="00CD2C03" w:rsidRPr="006324F5">
        <w:rPr>
          <w:rStyle w:val="Refdenotaderodap"/>
          <w:rFonts w:ascii="Times New Roman" w:hAnsi="Times New Roman" w:cs="Times New Roman"/>
          <w:sz w:val="24"/>
          <w:szCs w:val="24"/>
        </w:rPr>
        <w:footnoteReference w:id="14"/>
      </w:r>
    </w:p>
    <w:p w:rsidR="00917257" w:rsidRDefault="008573D4" w:rsidP="009049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outro lado, ainda que os direitos fundamentais citados nos parágrafos anteri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res não houvesse</w:t>
      </w:r>
      <w:r w:rsidR="003C3F9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sido feridos e os requisitos para a aplicação no caso concreto da teoria em voga </w:t>
      </w:r>
      <w:r w:rsidR="003C3F9B">
        <w:rPr>
          <w:rFonts w:ascii="Times New Roman" w:hAnsi="Times New Roman" w:cs="Times New Roman"/>
          <w:sz w:val="24"/>
          <w:szCs w:val="24"/>
        </w:rPr>
        <w:t xml:space="preserve">tivessem </w:t>
      </w:r>
      <w:r>
        <w:rPr>
          <w:rFonts w:ascii="Times New Roman" w:hAnsi="Times New Roman" w:cs="Times New Roman"/>
          <w:sz w:val="24"/>
          <w:szCs w:val="24"/>
        </w:rPr>
        <w:t xml:space="preserve"> sido devidamente respeitados, não deve-se olvidar da</w:t>
      </w:r>
      <w:r w:rsidR="00917257">
        <w:rPr>
          <w:rFonts w:ascii="Times New Roman" w:hAnsi="Times New Roman" w:cs="Times New Roman"/>
          <w:sz w:val="24"/>
          <w:szCs w:val="24"/>
        </w:rPr>
        <w:t xml:space="preserve"> ilegitimidade </w:t>
      </w:r>
      <w:r>
        <w:rPr>
          <w:rFonts w:ascii="Times New Roman" w:hAnsi="Times New Roman" w:cs="Times New Roman"/>
          <w:sz w:val="24"/>
          <w:szCs w:val="24"/>
        </w:rPr>
        <w:t>que 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meia a inserção do sujeito Levi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Matusael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polo passivo da demanda, uma vez que, para pa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te da jurisprudência pátria</w:t>
      </w:r>
      <w:r w:rsidR="00C54D07">
        <w:rPr>
          <w:rFonts w:ascii="Times New Roman" w:hAnsi="Times New Roman" w:cs="Times New Roman"/>
          <w:sz w:val="24"/>
          <w:szCs w:val="24"/>
        </w:rPr>
        <w:t xml:space="preserve">, </w:t>
      </w:r>
      <w:r w:rsidR="00C54D07">
        <w:rPr>
          <w:rFonts w:ascii="Times New Roman" w:hAnsi="Times New Roman" w:cs="Times New Roman"/>
          <w:i/>
          <w:sz w:val="24"/>
          <w:szCs w:val="24"/>
        </w:rPr>
        <w:t xml:space="preserve">e.g. </w:t>
      </w:r>
      <w:r w:rsidR="00C54D07" w:rsidRPr="00C54D07">
        <w:rPr>
          <w:rFonts w:ascii="Times New Roman" w:hAnsi="Times New Roman" w:cs="Times New Roman"/>
          <w:sz w:val="24"/>
          <w:szCs w:val="24"/>
        </w:rPr>
        <w:t>Apelação Cível Nº 70023725823</w:t>
      </w:r>
      <w:r w:rsidR="00C54D07">
        <w:rPr>
          <w:rFonts w:ascii="Times New Roman" w:hAnsi="Times New Roman" w:cs="Times New Roman"/>
          <w:sz w:val="24"/>
          <w:szCs w:val="24"/>
        </w:rPr>
        <w:t xml:space="preserve"> de relator </w:t>
      </w:r>
      <w:r w:rsidR="00C54D07" w:rsidRPr="00C54D07">
        <w:rPr>
          <w:rFonts w:ascii="Times New Roman" w:hAnsi="Times New Roman" w:cs="Times New Roman"/>
          <w:sz w:val="24"/>
          <w:szCs w:val="24"/>
        </w:rPr>
        <w:t xml:space="preserve">Tasso </w:t>
      </w:r>
      <w:proofErr w:type="spellStart"/>
      <w:r w:rsidR="00C54D07" w:rsidRPr="00C54D07">
        <w:rPr>
          <w:rFonts w:ascii="Times New Roman" w:hAnsi="Times New Roman" w:cs="Times New Roman"/>
          <w:sz w:val="24"/>
          <w:szCs w:val="24"/>
        </w:rPr>
        <w:t>Caubi</w:t>
      </w:r>
      <w:proofErr w:type="spellEnd"/>
      <w:r w:rsidR="00C54D07" w:rsidRPr="00C54D07">
        <w:rPr>
          <w:rFonts w:ascii="Times New Roman" w:hAnsi="Times New Roman" w:cs="Times New Roman"/>
          <w:sz w:val="24"/>
          <w:szCs w:val="24"/>
        </w:rPr>
        <w:t xml:space="preserve"> So</w:t>
      </w:r>
      <w:r w:rsidR="00C54D07" w:rsidRPr="00C54D07">
        <w:rPr>
          <w:rFonts w:ascii="Times New Roman" w:hAnsi="Times New Roman" w:cs="Times New Roman"/>
          <w:sz w:val="24"/>
          <w:szCs w:val="24"/>
        </w:rPr>
        <w:t>a</w:t>
      </w:r>
      <w:r w:rsidR="00C54D07" w:rsidRPr="00C54D07">
        <w:rPr>
          <w:rFonts w:ascii="Times New Roman" w:hAnsi="Times New Roman" w:cs="Times New Roman"/>
          <w:sz w:val="24"/>
          <w:szCs w:val="24"/>
        </w:rPr>
        <w:t xml:space="preserve">res </w:t>
      </w:r>
      <w:proofErr w:type="spellStart"/>
      <w:r w:rsidR="00C54D07" w:rsidRPr="00C54D07">
        <w:rPr>
          <w:rFonts w:ascii="Times New Roman" w:hAnsi="Times New Roman" w:cs="Times New Roman"/>
          <w:sz w:val="24"/>
          <w:szCs w:val="24"/>
        </w:rPr>
        <w:t>Delabary</w:t>
      </w:r>
      <w:proofErr w:type="spellEnd"/>
      <w:r w:rsidR="00C54D07">
        <w:rPr>
          <w:rFonts w:ascii="Times New Roman" w:hAnsi="Times New Roman" w:cs="Times New Roman"/>
          <w:sz w:val="24"/>
          <w:szCs w:val="24"/>
        </w:rPr>
        <w:t xml:space="preserve">, a desconsideração </w:t>
      </w:r>
      <w:r>
        <w:rPr>
          <w:rFonts w:ascii="Times New Roman" w:hAnsi="Times New Roman" w:cs="Times New Roman"/>
          <w:sz w:val="24"/>
          <w:szCs w:val="24"/>
        </w:rPr>
        <w:t xml:space="preserve">só se aplicaria ao </w:t>
      </w:r>
      <w:r w:rsidR="00591045">
        <w:rPr>
          <w:rFonts w:ascii="Times New Roman" w:hAnsi="Times New Roman" w:cs="Times New Roman"/>
          <w:sz w:val="24"/>
          <w:szCs w:val="24"/>
        </w:rPr>
        <w:t>sujeito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D07">
        <w:rPr>
          <w:rFonts w:ascii="Times New Roman" w:hAnsi="Times New Roman" w:cs="Times New Roman"/>
          <w:sz w:val="24"/>
          <w:szCs w:val="24"/>
        </w:rPr>
        <w:t>caso fosse comprovad</w:t>
      </w:r>
      <w:r w:rsidR="00591045">
        <w:rPr>
          <w:rFonts w:ascii="Times New Roman" w:hAnsi="Times New Roman" w:cs="Times New Roman"/>
          <w:sz w:val="24"/>
          <w:szCs w:val="24"/>
        </w:rPr>
        <w:t>o que este havia praticados atos capazes de ensejar a desconsideração,</w:t>
      </w:r>
      <w:r w:rsidR="00C54D07">
        <w:rPr>
          <w:rFonts w:ascii="Times New Roman" w:hAnsi="Times New Roman" w:cs="Times New Roman"/>
          <w:sz w:val="24"/>
          <w:szCs w:val="24"/>
        </w:rPr>
        <w:t xml:space="preserve"> algo que não se verifica no caso em tela, uma vez que todos os atos fraudulentos foram praticados exclusivamente pelo </w:t>
      </w:r>
      <w:proofErr w:type="spellStart"/>
      <w:r w:rsidR="00C54D07">
        <w:rPr>
          <w:rFonts w:ascii="Times New Roman" w:hAnsi="Times New Roman" w:cs="Times New Roman"/>
          <w:sz w:val="24"/>
          <w:szCs w:val="24"/>
        </w:rPr>
        <w:t>sócio-administrador</w:t>
      </w:r>
      <w:proofErr w:type="spellEnd"/>
      <w:r w:rsidR="00C54D07">
        <w:rPr>
          <w:rFonts w:ascii="Times New Roman" w:hAnsi="Times New Roman" w:cs="Times New Roman"/>
          <w:sz w:val="24"/>
          <w:szCs w:val="24"/>
        </w:rPr>
        <w:t xml:space="preserve"> </w:t>
      </w:r>
      <w:r w:rsidR="00C54D07" w:rsidRPr="00C54D07">
        <w:rPr>
          <w:rFonts w:ascii="Times New Roman" w:hAnsi="Times New Roman" w:cs="Times New Roman"/>
          <w:sz w:val="24"/>
          <w:szCs w:val="24"/>
        </w:rPr>
        <w:t xml:space="preserve">Jetro </w:t>
      </w:r>
      <w:proofErr w:type="spellStart"/>
      <w:r w:rsidR="00C54D07" w:rsidRPr="00C54D07">
        <w:rPr>
          <w:rFonts w:ascii="Times New Roman" w:hAnsi="Times New Roman" w:cs="Times New Roman"/>
          <w:sz w:val="24"/>
          <w:szCs w:val="24"/>
        </w:rPr>
        <w:t>Zípora</w:t>
      </w:r>
      <w:proofErr w:type="spellEnd"/>
      <w:r w:rsidR="00C54D07" w:rsidRPr="00C54D07">
        <w:rPr>
          <w:rFonts w:ascii="Times New Roman" w:hAnsi="Times New Roman" w:cs="Times New Roman"/>
          <w:sz w:val="24"/>
          <w:szCs w:val="24"/>
        </w:rPr>
        <w:t>.</w:t>
      </w:r>
      <w:r w:rsidR="00491068">
        <w:rPr>
          <w:rStyle w:val="Refdenotaderodap"/>
          <w:rFonts w:ascii="Times New Roman" w:hAnsi="Times New Roman" w:cs="Times New Roman"/>
          <w:sz w:val="24"/>
          <w:szCs w:val="24"/>
        </w:rPr>
        <w:footnoteReference w:id="15"/>
      </w:r>
    </w:p>
    <w:p w:rsidR="00591045" w:rsidRDefault="003E49A2" w:rsidP="0059104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deve o executado Levi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Matusael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impetrar a ação autônoma denominada embargos do executado a fim de </w:t>
      </w:r>
      <w:r w:rsidR="00B53CB6">
        <w:rPr>
          <w:rFonts w:ascii="Times New Roman" w:hAnsi="Times New Roman" w:cs="Times New Roman"/>
          <w:sz w:val="24"/>
          <w:szCs w:val="24"/>
        </w:rPr>
        <w:t>exercer o seu contraditório</w:t>
      </w:r>
      <w:r>
        <w:rPr>
          <w:rFonts w:ascii="Times New Roman" w:hAnsi="Times New Roman" w:cs="Times New Roman"/>
          <w:sz w:val="24"/>
          <w:szCs w:val="24"/>
        </w:rPr>
        <w:t xml:space="preserve"> e, por conseguinte, </w:t>
      </w:r>
      <w:r w:rsidR="00B53CB6">
        <w:rPr>
          <w:rFonts w:ascii="Times New Roman" w:hAnsi="Times New Roman" w:cs="Times New Roman"/>
          <w:sz w:val="24"/>
          <w:szCs w:val="24"/>
        </w:rPr>
        <w:t>impugnar</w:t>
      </w:r>
      <w:r>
        <w:rPr>
          <w:rFonts w:ascii="Times New Roman" w:hAnsi="Times New Roman" w:cs="Times New Roman"/>
          <w:sz w:val="24"/>
          <w:szCs w:val="24"/>
        </w:rPr>
        <w:t xml:space="preserve"> execução </w:t>
      </w:r>
      <w:r w:rsidR="00B53CB6">
        <w:rPr>
          <w:rFonts w:ascii="Times New Roman" w:hAnsi="Times New Roman" w:cs="Times New Roman"/>
          <w:sz w:val="24"/>
          <w:szCs w:val="24"/>
        </w:rPr>
        <w:t xml:space="preserve">em voga </w:t>
      </w:r>
      <w:r>
        <w:rPr>
          <w:rFonts w:ascii="Times New Roman" w:hAnsi="Times New Roman" w:cs="Times New Roman"/>
          <w:sz w:val="24"/>
          <w:szCs w:val="24"/>
        </w:rPr>
        <w:t>por todos os fundamentos acima expostos</w:t>
      </w:r>
      <w:r w:rsidR="00591045">
        <w:rPr>
          <w:rFonts w:ascii="Times New Roman" w:hAnsi="Times New Roman" w:cs="Times New Roman"/>
          <w:sz w:val="24"/>
          <w:szCs w:val="24"/>
        </w:rPr>
        <w:t xml:space="preserve"> e ainda alegar a impenhorabil</w:t>
      </w:r>
      <w:r w:rsidR="00591045">
        <w:rPr>
          <w:rFonts w:ascii="Times New Roman" w:hAnsi="Times New Roman" w:cs="Times New Roman"/>
          <w:sz w:val="24"/>
          <w:szCs w:val="24"/>
        </w:rPr>
        <w:t>i</w:t>
      </w:r>
      <w:r w:rsidR="00591045">
        <w:rPr>
          <w:rFonts w:ascii="Times New Roman" w:hAnsi="Times New Roman" w:cs="Times New Roman"/>
          <w:sz w:val="24"/>
          <w:szCs w:val="24"/>
        </w:rPr>
        <w:t>dade dos bens contidos em sua conta poupança, que são tido</w:t>
      </w:r>
      <w:r w:rsidR="00870100">
        <w:rPr>
          <w:rFonts w:ascii="Times New Roman" w:hAnsi="Times New Roman" w:cs="Times New Roman"/>
          <w:sz w:val="24"/>
          <w:szCs w:val="24"/>
        </w:rPr>
        <w:t>s pelo art. 649 do CPC</w:t>
      </w:r>
      <w:r w:rsidR="00591045">
        <w:rPr>
          <w:rFonts w:ascii="Times New Roman" w:hAnsi="Times New Roman" w:cs="Times New Roman"/>
          <w:sz w:val="24"/>
          <w:szCs w:val="24"/>
        </w:rPr>
        <w:t xml:space="preserve"> como i</w:t>
      </w:r>
      <w:r w:rsidR="00591045">
        <w:rPr>
          <w:rFonts w:ascii="Times New Roman" w:hAnsi="Times New Roman" w:cs="Times New Roman"/>
          <w:sz w:val="24"/>
          <w:szCs w:val="24"/>
        </w:rPr>
        <w:t>m</w:t>
      </w:r>
      <w:r w:rsidR="00591045">
        <w:rPr>
          <w:rFonts w:ascii="Times New Roman" w:hAnsi="Times New Roman" w:cs="Times New Roman"/>
          <w:sz w:val="24"/>
          <w:szCs w:val="24"/>
        </w:rPr>
        <w:t xml:space="preserve">penhoráveis até </w:t>
      </w:r>
      <w:r w:rsidR="00B53CB6">
        <w:rPr>
          <w:rFonts w:ascii="Times New Roman" w:hAnsi="Times New Roman" w:cs="Times New Roman"/>
          <w:sz w:val="24"/>
          <w:szCs w:val="24"/>
        </w:rPr>
        <w:t>a monta</w:t>
      </w:r>
      <w:r w:rsidR="00591045">
        <w:rPr>
          <w:rFonts w:ascii="Times New Roman" w:hAnsi="Times New Roman" w:cs="Times New Roman"/>
          <w:sz w:val="24"/>
          <w:szCs w:val="24"/>
        </w:rPr>
        <w:t xml:space="preserve"> de quarenta salários mínimos bem como alegar a falta do requisito de exigibilidade do título</w:t>
      </w:r>
      <w:r w:rsidR="000D7D4F">
        <w:rPr>
          <w:rFonts w:ascii="Times New Roman" w:hAnsi="Times New Roman" w:cs="Times New Roman"/>
          <w:sz w:val="24"/>
          <w:szCs w:val="24"/>
        </w:rPr>
        <w:t xml:space="preserve"> executivo em tela</w:t>
      </w:r>
      <w:r w:rsidR="00591045">
        <w:rPr>
          <w:rFonts w:ascii="Times New Roman" w:hAnsi="Times New Roman" w:cs="Times New Roman"/>
          <w:sz w:val="24"/>
          <w:szCs w:val="24"/>
        </w:rPr>
        <w:t xml:space="preserve"> por conta da incidência da prescrição</w:t>
      </w:r>
      <w:r w:rsidR="00B53CB6">
        <w:rPr>
          <w:rFonts w:ascii="Times New Roman" w:hAnsi="Times New Roman" w:cs="Times New Roman"/>
          <w:sz w:val="24"/>
          <w:szCs w:val="24"/>
        </w:rPr>
        <w:t>, uma vez que resta superado o prazo prescricional de 06 meses após o prazo de apresentação do referido título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1068">
        <w:rPr>
          <w:rFonts w:ascii="Times New Roman" w:hAnsi="Times New Roman" w:cs="Times New Roman"/>
          <w:sz w:val="24"/>
          <w:szCs w:val="24"/>
        </w:rPr>
        <w:t xml:space="preserve"> </w:t>
      </w:r>
      <w:r w:rsidR="00491068">
        <w:rPr>
          <w:rStyle w:val="Refdenotaderodap"/>
          <w:rFonts w:ascii="Times New Roman" w:hAnsi="Times New Roman" w:cs="Times New Roman"/>
          <w:sz w:val="24"/>
          <w:szCs w:val="24"/>
        </w:rPr>
        <w:footnoteReference w:id="16"/>
      </w:r>
      <w:r w:rsidR="00591045">
        <w:rPr>
          <w:rFonts w:ascii="Times New Roman" w:hAnsi="Times New Roman" w:cs="Times New Roman"/>
          <w:sz w:val="24"/>
          <w:szCs w:val="24"/>
        </w:rPr>
        <w:t xml:space="preserve"> </w:t>
      </w:r>
      <w:r w:rsidR="00591045">
        <w:rPr>
          <w:rStyle w:val="Refdenotaderodap"/>
          <w:rFonts w:ascii="Times New Roman" w:hAnsi="Times New Roman" w:cs="Times New Roman"/>
          <w:sz w:val="24"/>
          <w:szCs w:val="24"/>
        </w:rPr>
        <w:footnoteReference w:id="17"/>
      </w:r>
      <w:r w:rsidR="00591045">
        <w:rPr>
          <w:rFonts w:ascii="Times New Roman" w:hAnsi="Times New Roman" w:cs="Times New Roman"/>
          <w:sz w:val="24"/>
          <w:szCs w:val="24"/>
        </w:rPr>
        <w:t xml:space="preserve"> </w:t>
      </w:r>
      <w:r w:rsidR="00591045">
        <w:rPr>
          <w:rStyle w:val="Refdenotaderodap"/>
          <w:rFonts w:ascii="Times New Roman" w:hAnsi="Times New Roman" w:cs="Times New Roman"/>
          <w:sz w:val="24"/>
          <w:szCs w:val="24"/>
        </w:rPr>
        <w:footnoteReference w:id="18"/>
      </w:r>
    </w:p>
    <w:p w:rsidR="00DB3FC7" w:rsidRPr="005E4513" w:rsidRDefault="00DB3FC7" w:rsidP="00771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90497C" w:rsidRPr="0090497C" w:rsidRDefault="0090497C" w:rsidP="0090497C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90497C">
        <w:rPr>
          <w:rFonts w:ascii="Times New Roman" w:hAnsi="Times New Roman" w:cs="Times New Roman"/>
          <w:sz w:val="24"/>
          <w:szCs w:val="24"/>
        </w:rPr>
        <w:t xml:space="preserve">ALESSANDRI, João Herbert. </w:t>
      </w:r>
      <w:r w:rsidRPr="0090497C">
        <w:rPr>
          <w:rFonts w:ascii="Times New Roman" w:hAnsi="Times New Roman" w:cs="Times New Roman"/>
          <w:b/>
          <w:sz w:val="24"/>
          <w:szCs w:val="24"/>
        </w:rPr>
        <w:t>Cheque-prazos e prescrições</w:t>
      </w:r>
      <w:r w:rsidRPr="009049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497C">
        <w:rPr>
          <w:rFonts w:ascii="Times New Roman" w:hAnsi="Times New Roman" w:cs="Times New Roman"/>
          <w:sz w:val="24"/>
          <w:szCs w:val="24"/>
        </w:rPr>
        <w:t>Disponívem</w:t>
      </w:r>
      <w:proofErr w:type="spellEnd"/>
      <w:r w:rsidRPr="0090497C">
        <w:rPr>
          <w:rFonts w:ascii="Times New Roman" w:hAnsi="Times New Roman" w:cs="Times New Roman"/>
          <w:sz w:val="24"/>
          <w:szCs w:val="24"/>
        </w:rPr>
        <w:t xml:space="preserve"> em: http://www.jurisway.org.br/v2/dhall.asp?id_dh=1047. Acesso em: 12/03/2015</w:t>
      </w:r>
    </w:p>
    <w:p w:rsidR="0090497C" w:rsidRPr="0090497C" w:rsidRDefault="0090497C" w:rsidP="0090497C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90497C">
        <w:rPr>
          <w:rFonts w:ascii="Times New Roman" w:hAnsi="Times New Roman" w:cs="Times New Roman"/>
          <w:sz w:val="24"/>
          <w:szCs w:val="24"/>
        </w:rPr>
        <w:t>BARROS, Vinicius de</w:t>
      </w:r>
      <w:r w:rsidRPr="0090497C">
        <w:rPr>
          <w:rFonts w:ascii="Times New Roman" w:hAnsi="Times New Roman" w:cs="Times New Roman"/>
          <w:b/>
          <w:sz w:val="24"/>
          <w:szCs w:val="24"/>
        </w:rPr>
        <w:t>. Sócios não podem responder pelo simples encerramento da soci</w:t>
      </w:r>
      <w:r w:rsidRPr="0090497C">
        <w:rPr>
          <w:rFonts w:ascii="Times New Roman" w:hAnsi="Times New Roman" w:cs="Times New Roman"/>
          <w:b/>
          <w:sz w:val="24"/>
          <w:szCs w:val="24"/>
        </w:rPr>
        <w:t>e</w:t>
      </w:r>
      <w:r w:rsidRPr="0090497C">
        <w:rPr>
          <w:rFonts w:ascii="Times New Roman" w:hAnsi="Times New Roman" w:cs="Times New Roman"/>
          <w:b/>
          <w:sz w:val="24"/>
          <w:szCs w:val="24"/>
        </w:rPr>
        <w:t>dade</w:t>
      </w:r>
      <w:r w:rsidRPr="0090497C">
        <w:rPr>
          <w:rFonts w:ascii="Times New Roman" w:hAnsi="Times New Roman" w:cs="Times New Roman"/>
          <w:sz w:val="24"/>
          <w:szCs w:val="24"/>
        </w:rPr>
        <w:t>. Disponível em: &lt;http://www.migalhas.com.br/dePeso/16,MI197724,41046-Socios+nao+podem+responder+pelo+simples+encerramento+da+sociedade&gt;. Acesso em: 12/03/2015</w:t>
      </w:r>
    </w:p>
    <w:p w:rsidR="0090497C" w:rsidRPr="0090497C" w:rsidRDefault="0090497C" w:rsidP="0090497C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90497C">
        <w:rPr>
          <w:rFonts w:ascii="Times New Roman" w:hAnsi="Times New Roman" w:cs="Times New Roman"/>
          <w:sz w:val="24"/>
          <w:szCs w:val="24"/>
        </w:rPr>
        <w:t xml:space="preserve">BASTOS, Mariana </w:t>
      </w:r>
      <w:proofErr w:type="spellStart"/>
      <w:r w:rsidRPr="0090497C">
        <w:rPr>
          <w:rFonts w:ascii="Times New Roman" w:hAnsi="Times New Roman" w:cs="Times New Roman"/>
          <w:sz w:val="24"/>
          <w:szCs w:val="24"/>
        </w:rPr>
        <w:t>Candin</w:t>
      </w:r>
      <w:proofErr w:type="spellEnd"/>
      <w:r w:rsidRPr="0090497C">
        <w:rPr>
          <w:rFonts w:ascii="Times New Roman" w:hAnsi="Times New Roman" w:cs="Times New Roman"/>
          <w:sz w:val="24"/>
          <w:szCs w:val="24"/>
        </w:rPr>
        <w:t xml:space="preserve">. </w:t>
      </w:r>
      <w:r w:rsidRPr="0090497C">
        <w:rPr>
          <w:rFonts w:ascii="Times New Roman" w:hAnsi="Times New Roman" w:cs="Times New Roman"/>
          <w:b/>
          <w:sz w:val="24"/>
          <w:szCs w:val="24"/>
        </w:rPr>
        <w:t xml:space="preserve">Alguns aspectos processuais da teoria da desconsideração da personalidade </w:t>
      </w:r>
      <w:proofErr w:type="spellStart"/>
      <w:r w:rsidRPr="0090497C">
        <w:rPr>
          <w:rFonts w:ascii="Times New Roman" w:hAnsi="Times New Roman" w:cs="Times New Roman"/>
          <w:b/>
          <w:sz w:val="24"/>
          <w:szCs w:val="24"/>
        </w:rPr>
        <w:t>jurídi-ca</w:t>
      </w:r>
      <w:proofErr w:type="spellEnd"/>
      <w:r w:rsidRPr="0090497C">
        <w:rPr>
          <w:rFonts w:ascii="Times New Roman" w:hAnsi="Times New Roman" w:cs="Times New Roman"/>
          <w:b/>
          <w:sz w:val="24"/>
          <w:szCs w:val="24"/>
        </w:rPr>
        <w:t xml:space="preserve"> e análise do procedimento pretendido pelo anteprojeto do novo Código de Processo Civil</w:t>
      </w:r>
      <w:r w:rsidRPr="0090497C">
        <w:rPr>
          <w:rFonts w:ascii="Times New Roman" w:hAnsi="Times New Roman" w:cs="Times New Roman"/>
          <w:sz w:val="24"/>
          <w:szCs w:val="24"/>
        </w:rPr>
        <w:t>. Disponível em:&lt;http://www.ambito-juridico.com.br/site/?n_link=revista_artigos_leitura&amp;artigo_id=9577&amp;revista_caderno=21&gt;. Acesso em: 12/03/2015.</w:t>
      </w:r>
    </w:p>
    <w:p w:rsidR="0090497C" w:rsidRDefault="0090497C" w:rsidP="0090497C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90497C">
        <w:rPr>
          <w:rFonts w:ascii="Times New Roman" w:hAnsi="Times New Roman" w:cs="Times New Roman"/>
          <w:sz w:val="24"/>
          <w:szCs w:val="24"/>
        </w:rPr>
        <w:t xml:space="preserve">BOEIRA, Alex </w:t>
      </w:r>
      <w:proofErr w:type="spellStart"/>
      <w:r w:rsidRPr="0090497C">
        <w:rPr>
          <w:rFonts w:ascii="Times New Roman" w:hAnsi="Times New Roman" w:cs="Times New Roman"/>
          <w:sz w:val="24"/>
          <w:szCs w:val="24"/>
        </w:rPr>
        <w:t>Perozzo</w:t>
      </w:r>
      <w:proofErr w:type="spellEnd"/>
      <w:r w:rsidRPr="0090497C">
        <w:rPr>
          <w:rFonts w:ascii="Times New Roman" w:hAnsi="Times New Roman" w:cs="Times New Roman"/>
          <w:sz w:val="24"/>
          <w:szCs w:val="24"/>
        </w:rPr>
        <w:t xml:space="preserve">. </w:t>
      </w:r>
      <w:r w:rsidRPr="0090497C">
        <w:rPr>
          <w:rFonts w:ascii="Times New Roman" w:hAnsi="Times New Roman" w:cs="Times New Roman"/>
          <w:b/>
          <w:sz w:val="24"/>
          <w:szCs w:val="24"/>
        </w:rPr>
        <w:t>A desconsideração da personalidade jurídica. Noções gerais e questões controvertidas à luz da doutrina e da Jurisprudência</w:t>
      </w:r>
      <w:r w:rsidRPr="0090497C">
        <w:rPr>
          <w:rFonts w:ascii="Times New Roman" w:hAnsi="Times New Roman" w:cs="Times New Roman"/>
          <w:sz w:val="24"/>
          <w:szCs w:val="24"/>
        </w:rPr>
        <w:t>. Disponível em:&lt; http://conteudojuridico.com.br/?colunas&amp;colunista=15590_&amp;v</w:t>
      </w:r>
      <w:r>
        <w:rPr>
          <w:rFonts w:ascii="Times New Roman" w:hAnsi="Times New Roman" w:cs="Times New Roman"/>
          <w:sz w:val="24"/>
          <w:szCs w:val="24"/>
        </w:rPr>
        <w:t>er=1634 &gt;. Acesso em 12/03/2014</w:t>
      </w:r>
    </w:p>
    <w:p w:rsidR="0090497C" w:rsidRDefault="0090497C" w:rsidP="0090497C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90497C">
        <w:rPr>
          <w:rFonts w:ascii="Times New Roman" w:hAnsi="Times New Roman" w:cs="Times New Roman"/>
          <w:sz w:val="24"/>
          <w:szCs w:val="24"/>
        </w:rPr>
        <w:t xml:space="preserve">CAMARA, Alexandre. </w:t>
      </w:r>
      <w:r w:rsidRPr="0090497C">
        <w:rPr>
          <w:rFonts w:ascii="Times New Roman" w:hAnsi="Times New Roman" w:cs="Times New Roman"/>
          <w:b/>
          <w:sz w:val="24"/>
          <w:szCs w:val="24"/>
        </w:rPr>
        <w:t>Lições de Direito Processual Civil</w:t>
      </w:r>
      <w:r w:rsidRPr="0090497C">
        <w:rPr>
          <w:rFonts w:ascii="Times New Roman" w:hAnsi="Times New Roman" w:cs="Times New Roman"/>
          <w:sz w:val="24"/>
          <w:szCs w:val="24"/>
        </w:rPr>
        <w:t>. Rio de Ja</w:t>
      </w:r>
      <w:r>
        <w:rPr>
          <w:rFonts w:ascii="Times New Roman" w:hAnsi="Times New Roman" w:cs="Times New Roman"/>
          <w:sz w:val="24"/>
          <w:szCs w:val="24"/>
        </w:rPr>
        <w:t xml:space="preserve">neiro: </w:t>
      </w:r>
      <w:proofErr w:type="spellStart"/>
      <w:r>
        <w:rPr>
          <w:rFonts w:ascii="Times New Roman" w:hAnsi="Times New Roman" w:cs="Times New Roman"/>
          <w:sz w:val="24"/>
          <w:szCs w:val="24"/>
        </w:rPr>
        <w:t>Lumen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Juris 2008. </w:t>
      </w:r>
    </w:p>
    <w:p w:rsidR="0090497C" w:rsidRPr="0090497C" w:rsidRDefault="0090497C" w:rsidP="0090497C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90497C">
        <w:rPr>
          <w:rFonts w:ascii="Times New Roman" w:hAnsi="Times New Roman" w:cs="Times New Roman"/>
          <w:sz w:val="24"/>
          <w:szCs w:val="24"/>
        </w:rPr>
        <w:t xml:space="preserve">DIDIER, </w:t>
      </w:r>
      <w:proofErr w:type="spellStart"/>
      <w:r w:rsidRPr="0090497C">
        <w:rPr>
          <w:rFonts w:ascii="Times New Roman" w:hAnsi="Times New Roman" w:cs="Times New Roman"/>
          <w:sz w:val="24"/>
          <w:szCs w:val="24"/>
        </w:rPr>
        <w:t>Fredie</w:t>
      </w:r>
      <w:proofErr w:type="spellEnd"/>
      <w:r w:rsidRPr="0090497C">
        <w:rPr>
          <w:rFonts w:ascii="Times New Roman" w:hAnsi="Times New Roman" w:cs="Times New Roman"/>
          <w:b/>
          <w:sz w:val="24"/>
          <w:szCs w:val="24"/>
        </w:rPr>
        <w:t>. Curso de Direito Processual Civil</w:t>
      </w:r>
      <w:r w:rsidRPr="0090497C">
        <w:rPr>
          <w:rFonts w:ascii="Times New Roman" w:hAnsi="Times New Roman" w:cs="Times New Roman"/>
          <w:sz w:val="24"/>
          <w:szCs w:val="24"/>
        </w:rPr>
        <w:t xml:space="preserve">. São Paulo: Jus </w:t>
      </w:r>
      <w:proofErr w:type="spellStart"/>
      <w:r w:rsidRPr="0090497C">
        <w:rPr>
          <w:rFonts w:ascii="Times New Roman" w:hAnsi="Times New Roman" w:cs="Times New Roman"/>
          <w:sz w:val="24"/>
          <w:szCs w:val="24"/>
        </w:rPr>
        <w:t>Podivm</w:t>
      </w:r>
      <w:proofErr w:type="spellEnd"/>
      <w:r w:rsidRPr="0090497C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90497C" w:rsidRDefault="0090497C" w:rsidP="0090497C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90497C">
        <w:rPr>
          <w:rFonts w:ascii="Times New Roman" w:hAnsi="Times New Roman" w:cs="Times New Roman"/>
          <w:sz w:val="24"/>
          <w:szCs w:val="24"/>
        </w:rPr>
        <w:t xml:space="preserve">SELONK, Rafael. </w:t>
      </w:r>
      <w:r w:rsidRPr="0090497C">
        <w:rPr>
          <w:rFonts w:ascii="Times New Roman" w:hAnsi="Times New Roman" w:cs="Times New Roman"/>
          <w:b/>
          <w:sz w:val="24"/>
          <w:szCs w:val="24"/>
        </w:rPr>
        <w:t>O momento de aplicação da desconsideração da personalidade juríd</w:t>
      </w:r>
      <w:r w:rsidRPr="0090497C">
        <w:rPr>
          <w:rFonts w:ascii="Times New Roman" w:hAnsi="Times New Roman" w:cs="Times New Roman"/>
          <w:b/>
          <w:sz w:val="24"/>
          <w:szCs w:val="24"/>
        </w:rPr>
        <w:t>i</w:t>
      </w:r>
      <w:r w:rsidRPr="0090497C">
        <w:rPr>
          <w:rFonts w:ascii="Times New Roman" w:hAnsi="Times New Roman" w:cs="Times New Roman"/>
          <w:b/>
          <w:sz w:val="24"/>
          <w:szCs w:val="24"/>
        </w:rPr>
        <w:t>ca</w:t>
      </w:r>
      <w:r w:rsidRPr="0090497C">
        <w:rPr>
          <w:rFonts w:ascii="Times New Roman" w:hAnsi="Times New Roman" w:cs="Times New Roman"/>
          <w:sz w:val="24"/>
          <w:szCs w:val="24"/>
        </w:rPr>
        <w:t>. Disponível em:&lt; http://www.direitonet.com.br/artigos/exibir/7695/O-momento-de-aplicacao-da-desconsideracao-da-personalidade-j</w:t>
      </w:r>
      <w:r>
        <w:rPr>
          <w:rFonts w:ascii="Times New Roman" w:hAnsi="Times New Roman" w:cs="Times New Roman"/>
          <w:sz w:val="24"/>
          <w:szCs w:val="24"/>
        </w:rPr>
        <w:t>uridica&gt;. Acesso em: 12/03/2015</w:t>
      </w:r>
    </w:p>
    <w:p w:rsidR="00DB3FC7" w:rsidRPr="0090497C" w:rsidRDefault="00DB3FC7" w:rsidP="0090497C">
      <w:pPr>
        <w:tabs>
          <w:tab w:val="left" w:pos="1741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DB3FC7" w:rsidRPr="0090497C" w:rsidSect="0081187B">
      <w:footerReference w:type="first" r:id="rId9"/>
      <w:pgSz w:w="11907" w:h="16839" w:code="9"/>
      <w:pgMar w:top="1701" w:right="1134" w:bottom="1134" w:left="1701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08" w:rsidRDefault="00F30D08" w:rsidP="002B2419">
      <w:pPr>
        <w:spacing w:after="0" w:line="240" w:lineRule="auto"/>
      </w:pPr>
      <w:r>
        <w:separator/>
      </w:r>
    </w:p>
  </w:endnote>
  <w:endnote w:type="continuationSeparator" w:id="0">
    <w:p w:rsidR="00F30D08" w:rsidRDefault="00F30D08" w:rsidP="002B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48" w:rsidRDefault="00EA3048" w:rsidP="00CA0094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</w:t>
    </w:r>
  </w:p>
  <w:p w:rsidR="00EA3048" w:rsidRPr="003F60B9" w:rsidRDefault="00EA3048" w:rsidP="00026500">
    <w:pPr>
      <w:pStyle w:val="Rodap"/>
      <w:numPr>
        <w:ilvl w:val="0"/>
        <w:numId w:val="1"/>
      </w:numPr>
      <w:tabs>
        <w:tab w:val="clear" w:pos="4680"/>
        <w:tab w:val="clear" w:pos="9360"/>
        <w:tab w:val="center" w:pos="4252"/>
        <w:tab w:val="right" w:pos="8504"/>
      </w:tabs>
      <w:rPr>
        <w:rFonts w:ascii="Times New Roman" w:hAnsi="Times New Roman" w:cs="Times New Roman"/>
        <w:sz w:val="20"/>
        <w:szCs w:val="20"/>
      </w:rPr>
    </w:pPr>
    <w:r w:rsidRPr="003F60B9">
      <w:rPr>
        <w:rFonts w:ascii="Times New Roman" w:hAnsi="Times New Roman" w:cs="Times New Roman"/>
        <w:sz w:val="20"/>
        <w:szCs w:val="20"/>
      </w:rPr>
      <w:t xml:space="preserve">Case apresentado à disciplina </w:t>
    </w:r>
    <w:r>
      <w:rPr>
        <w:rFonts w:ascii="Times New Roman" w:hAnsi="Times New Roman" w:cs="Times New Roman"/>
        <w:sz w:val="20"/>
        <w:szCs w:val="20"/>
      </w:rPr>
      <w:t xml:space="preserve">de </w:t>
    </w:r>
    <w:r w:rsidR="00026500" w:rsidRPr="00026500">
      <w:rPr>
        <w:rFonts w:ascii="Times New Roman" w:hAnsi="Times New Roman" w:cs="Times New Roman"/>
        <w:sz w:val="20"/>
        <w:szCs w:val="20"/>
      </w:rPr>
      <w:t xml:space="preserve">Processo De Execução </w:t>
    </w:r>
    <w:r w:rsidRPr="003F60B9">
      <w:rPr>
        <w:rFonts w:ascii="Times New Roman" w:hAnsi="Times New Roman" w:cs="Times New Roman"/>
        <w:sz w:val="20"/>
        <w:szCs w:val="20"/>
      </w:rPr>
      <w:t>da Unidade de Ensino Superior Dom Bosco – UNDB.</w:t>
    </w:r>
  </w:p>
  <w:p w:rsidR="00EA3048" w:rsidRPr="006B07BF" w:rsidRDefault="00EA3048" w:rsidP="00CA0094">
    <w:pPr>
      <w:pStyle w:val="Rodap"/>
      <w:numPr>
        <w:ilvl w:val="0"/>
        <w:numId w:val="1"/>
      </w:numPr>
      <w:tabs>
        <w:tab w:val="clear" w:pos="4680"/>
        <w:tab w:val="clear" w:pos="9360"/>
        <w:tab w:val="center" w:pos="4252"/>
        <w:tab w:val="right" w:pos="8504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Aluno do </w:t>
    </w:r>
    <w:r w:rsidR="00026500">
      <w:rPr>
        <w:rFonts w:ascii="Times New Roman" w:hAnsi="Times New Roman" w:cs="Times New Roman"/>
        <w:sz w:val="20"/>
        <w:szCs w:val="20"/>
      </w:rPr>
      <w:t>7</w:t>
    </w:r>
    <w:r w:rsidRPr="006B07BF">
      <w:rPr>
        <w:rFonts w:ascii="Times New Roman" w:eastAsia="MS PGothic" w:hAnsi="Times New Roman" w:cs="Times New Roman"/>
        <w:bCs/>
        <w:iCs/>
        <w:color w:val="000000"/>
        <w:sz w:val="20"/>
        <w:szCs w:val="20"/>
      </w:rPr>
      <w:t>º</w:t>
    </w:r>
    <w:r>
      <w:rPr>
        <w:rFonts w:ascii="Times New Roman" w:eastAsia="MS PGothic" w:hAnsi="Times New Roman" w:cs="Times New Roman"/>
        <w:bCs/>
        <w:iCs/>
        <w:color w:val="000000"/>
        <w:sz w:val="20"/>
        <w:szCs w:val="20"/>
      </w:rPr>
      <w:t xml:space="preserve"> período, do curso de Direito da UNDB</w:t>
    </w:r>
  </w:p>
  <w:p w:rsidR="00EA3048" w:rsidRPr="003F60B9" w:rsidRDefault="00EA3048" w:rsidP="00026500">
    <w:pPr>
      <w:pStyle w:val="Rodap"/>
      <w:numPr>
        <w:ilvl w:val="0"/>
        <w:numId w:val="1"/>
      </w:num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Professor de </w:t>
    </w:r>
    <w:r w:rsidR="00026500" w:rsidRPr="00026500">
      <w:rPr>
        <w:rFonts w:ascii="Times New Roman" w:hAnsi="Times New Roman" w:cs="Times New Roman"/>
        <w:sz w:val="20"/>
        <w:szCs w:val="20"/>
      </w:rPr>
      <w:t>Processo De Execução</w:t>
    </w:r>
    <w:r w:rsidRPr="003F60B9">
      <w:rPr>
        <w:rFonts w:ascii="Times New Roman" w:hAnsi="Times New Roman" w:cs="Times New Roman"/>
        <w:sz w:val="20"/>
        <w:szCs w:val="20"/>
      </w:rPr>
      <w:t>, orientador.</w:t>
    </w:r>
  </w:p>
  <w:p w:rsidR="00EA3048" w:rsidRDefault="00EA30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08" w:rsidRDefault="00F30D08" w:rsidP="002B2419">
      <w:pPr>
        <w:spacing w:after="0" w:line="240" w:lineRule="auto"/>
      </w:pPr>
      <w:r>
        <w:separator/>
      </w:r>
    </w:p>
  </w:footnote>
  <w:footnote w:type="continuationSeparator" w:id="0">
    <w:p w:rsidR="00F30D08" w:rsidRDefault="00F30D08" w:rsidP="002B2419">
      <w:pPr>
        <w:spacing w:after="0" w:line="240" w:lineRule="auto"/>
      </w:pPr>
      <w:r>
        <w:continuationSeparator/>
      </w:r>
    </w:p>
  </w:footnote>
  <w:footnote w:id="1">
    <w:p w:rsidR="005D37F1" w:rsidRPr="00FF7417" w:rsidRDefault="005D37F1" w:rsidP="00FF7417">
      <w:pPr>
        <w:pStyle w:val="Textodenotaderodap"/>
        <w:jc w:val="both"/>
        <w:rPr>
          <w:rFonts w:ascii="Times New Roman" w:hAnsi="Times New Roman" w:cs="Times New Roman"/>
        </w:rPr>
      </w:pPr>
      <w:r w:rsidRPr="00FF7417">
        <w:rPr>
          <w:rStyle w:val="Refdenotaderodap"/>
          <w:rFonts w:ascii="Times New Roman" w:hAnsi="Times New Roman" w:cs="Times New Roman"/>
        </w:rPr>
        <w:footnoteRef/>
      </w:r>
      <w:r w:rsidR="00737616" w:rsidRPr="00FF7417">
        <w:rPr>
          <w:rFonts w:ascii="Times New Roman" w:hAnsi="Times New Roman" w:cs="Times New Roman"/>
        </w:rPr>
        <w:t>SELONK, Rafael. O momento de aplicação da desconsideração da personalidade jurídica. Disponível em:&lt;</w:t>
      </w:r>
      <w:r w:rsidRPr="00FF7417">
        <w:rPr>
          <w:rFonts w:ascii="Times New Roman" w:hAnsi="Times New Roman" w:cs="Times New Roman"/>
        </w:rPr>
        <w:t xml:space="preserve"> </w:t>
      </w:r>
      <w:r w:rsidR="00737616" w:rsidRPr="00FF7417">
        <w:rPr>
          <w:rFonts w:ascii="Times New Roman" w:hAnsi="Times New Roman" w:cs="Times New Roman"/>
        </w:rPr>
        <w:t>http://www.direitonet.com.br/artigos/exibir/7695/O-momento-de-aplicacao-da-desconsideracao-da-personalidade-juridica&gt;. Acesso em: 12/03/2015</w:t>
      </w:r>
    </w:p>
  </w:footnote>
  <w:footnote w:id="2">
    <w:p w:rsidR="005572CD" w:rsidRPr="00FF7417" w:rsidRDefault="005572CD" w:rsidP="00FF7417">
      <w:pPr>
        <w:pStyle w:val="Textodenotaderodap"/>
        <w:jc w:val="both"/>
        <w:rPr>
          <w:rFonts w:ascii="Times New Roman" w:hAnsi="Times New Roman" w:cs="Times New Roman"/>
        </w:rPr>
      </w:pPr>
      <w:r w:rsidRPr="00FF7417">
        <w:rPr>
          <w:rStyle w:val="Refdenotaderodap"/>
          <w:rFonts w:ascii="Times New Roman" w:hAnsi="Times New Roman" w:cs="Times New Roman"/>
        </w:rPr>
        <w:footnoteRef/>
      </w:r>
      <w:r w:rsidRPr="00FF7417">
        <w:rPr>
          <w:rFonts w:ascii="Times New Roman" w:hAnsi="Times New Roman" w:cs="Times New Roman"/>
        </w:rPr>
        <w:t xml:space="preserve"> </w:t>
      </w:r>
      <w:r w:rsidR="00D73ED9" w:rsidRPr="00FF7417">
        <w:rPr>
          <w:rFonts w:ascii="Times New Roman" w:hAnsi="Times New Roman" w:cs="Times New Roman"/>
        </w:rPr>
        <w:t xml:space="preserve">BASTOS, Mariana </w:t>
      </w:r>
      <w:proofErr w:type="spellStart"/>
      <w:r w:rsidR="00D73ED9" w:rsidRPr="00FF7417">
        <w:rPr>
          <w:rFonts w:ascii="Times New Roman" w:hAnsi="Times New Roman" w:cs="Times New Roman"/>
        </w:rPr>
        <w:t>Candin</w:t>
      </w:r>
      <w:proofErr w:type="spellEnd"/>
      <w:r w:rsidR="00D73ED9" w:rsidRPr="00FF7417">
        <w:rPr>
          <w:rFonts w:ascii="Times New Roman" w:hAnsi="Times New Roman" w:cs="Times New Roman"/>
        </w:rPr>
        <w:t>. Alguns aspectos processuais da teoria da desconsideração da personalidade jurídica e análise do procedimento pretendido pelo anteprojeto do novo Código de Processo Civil. Disponível em:&lt;http://www.ambito-juridico.com.br/site/?n_link=revista_artigos_leitura&amp;artigo_id=9577&amp;revista_caderno=21&gt;. Acesso em: 12/03/2015.</w:t>
      </w:r>
    </w:p>
  </w:footnote>
  <w:footnote w:id="3">
    <w:p w:rsidR="00B46E91" w:rsidRPr="00FF7417" w:rsidRDefault="00B46E91" w:rsidP="00FF7417">
      <w:pPr>
        <w:pStyle w:val="Textodenotaderodap"/>
        <w:jc w:val="both"/>
        <w:rPr>
          <w:rFonts w:ascii="Times New Roman" w:hAnsi="Times New Roman" w:cs="Times New Roman"/>
        </w:rPr>
      </w:pPr>
      <w:r w:rsidRPr="00FF7417">
        <w:rPr>
          <w:rStyle w:val="Refdenotaderodap"/>
          <w:rFonts w:ascii="Times New Roman" w:hAnsi="Times New Roman" w:cs="Times New Roman"/>
        </w:rPr>
        <w:footnoteRef/>
      </w:r>
      <w:r w:rsidR="00D73ED9" w:rsidRPr="00FF7417">
        <w:rPr>
          <w:rFonts w:ascii="Times New Roman" w:hAnsi="Times New Roman" w:cs="Times New Roman"/>
        </w:rPr>
        <w:t xml:space="preserve"> CAMARA, Alexandre. Lições de Direito Processual Civil</w:t>
      </w:r>
      <w:r w:rsidRPr="00FF7417">
        <w:rPr>
          <w:rFonts w:ascii="Times New Roman" w:hAnsi="Times New Roman" w:cs="Times New Roman"/>
        </w:rPr>
        <w:t xml:space="preserve">. Rio de Janeiro: </w:t>
      </w:r>
      <w:proofErr w:type="spellStart"/>
      <w:r w:rsidRPr="00FF7417">
        <w:rPr>
          <w:rFonts w:ascii="Times New Roman" w:hAnsi="Times New Roman" w:cs="Times New Roman"/>
        </w:rPr>
        <w:t>Lumen</w:t>
      </w:r>
      <w:proofErr w:type="spellEnd"/>
      <w:r w:rsidRPr="00FF7417">
        <w:rPr>
          <w:rFonts w:ascii="Times New Roman" w:hAnsi="Times New Roman" w:cs="Times New Roman"/>
        </w:rPr>
        <w:t xml:space="preserve"> Juris 2008</w:t>
      </w:r>
      <w:r w:rsidR="00D73ED9" w:rsidRPr="00FF7417">
        <w:rPr>
          <w:rFonts w:ascii="Times New Roman" w:hAnsi="Times New Roman" w:cs="Times New Roman"/>
        </w:rPr>
        <w:t>. P. 148</w:t>
      </w:r>
    </w:p>
  </w:footnote>
  <w:footnote w:id="4">
    <w:p w:rsidR="002862A1" w:rsidRPr="00FF7417" w:rsidRDefault="002862A1" w:rsidP="00FF7417">
      <w:pPr>
        <w:pStyle w:val="Textodenotaderodap"/>
        <w:jc w:val="both"/>
        <w:rPr>
          <w:rFonts w:ascii="Times New Roman" w:hAnsi="Times New Roman" w:cs="Times New Roman"/>
        </w:rPr>
      </w:pPr>
      <w:r w:rsidRPr="00FF7417">
        <w:rPr>
          <w:rStyle w:val="Refdenotaderodap"/>
          <w:rFonts w:ascii="Times New Roman" w:hAnsi="Times New Roman" w:cs="Times New Roman"/>
        </w:rPr>
        <w:footnoteRef/>
      </w:r>
      <w:r w:rsidRPr="00FF7417">
        <w:rPr>
          <w:rFonts w:ascii="Times New Roman" w:hAnsi="Times New Roman" w:cs="Times New Roman"/>
        </w:rPr>
        <w:t xml:space="preserve"> </w:t>
      </w:r>
      <w:r w:rsidR="00D73ED9" w:rsidRPr="00FF7417">
        <w:rPr>
          <w:rFonts w:ascii="Times New Roman" w:hAnsi="Times New Roman" w:cs="Times New Roman"/>
        </w:rPr>
        <w:t xml:space="preserve">Bastos, Mariana </w:t>
      </w:r>
      <w:proofErr w:type="spellStart"/>
      <w:r w:rsidR="00D73ED9" w:rsidRPr="00FF7417">
        <w:rPr>
          <w:rFonts w:ascii="Times New Roman" w:hAnsi="Times New Roman" w:cs="Times New Roman"/>
        </w:rPr>
        <w:t>Candin</w:t>
      </w:r>
      <w:proofErr w:type="spellEnd"/>
      <w:r w:rsidR="00D73ED9" w:rsidRPr="00FF7417">
        <w:rPr>
          <w:rFonts w:ascii="Times New Roman" w:hAnsi="Times New Roman" w:cs="Times New Roman"/>
        </w:rPr>
        <w:t xml:space="preserve">. Op. Cit. </w:t>
      </w:r>
    </w:p>
  </w:footnote>
  <w:footnote w:id="5">
    <w:p w:rsidR="00247C35" w:rsidRPr="00FF7417" w:rsidRDefault="00247C35" w:rsidP="00FF7417">
      <w:pPr>
        <w:pStyle w:val="Textodenotaderodap"/>
        <w:jc w:val="both"/>
        <w:rPr>
          <w:rFonts w:ascii="Times New Roman" w:hAnsi="Times New Roman" w:cs="Times New Roman"/>
        </w:rPr>
      </w:pPr>
      <w:r w:rsidRPr="00FF7417">
        <w:rPr>
          <w:rStyle w:val="Refdenotaderodap"/>
          <w:rFonts w:ascii="Times New Roman" w:hAnsi="Times New Roman" w:cs="Times New Roman"/>
        </w:rPr>
        <w:footnoteRef/>
      </w:r>
      <w:r w:rsidRPr="00870100">
        <w:rPr>
          <w:rFonts w:ascii="Times New Roman" w:hAnsi="Times New Roman" w:cs="Times New Roman"/>
        </w:rPr>
        <w:t xml:space="preserve"> </w:t>
      </w:r>
      <w:r w:rsidR="00B03E6C" w:rsidRPr="00870100">
        <w:rPr>
          <w:rFonts w:ascii="Times New Roman" w:hAnsi="Times New Roman" w:cs="Times New Roman"/>
        </w:rPr>
        <w:t xml:space="preserve">SELONK, Rafael. </w:t>
      </w:r>
      <w:r w:rsidR="00B03E6C" w:rsidRPr="00FF7417">
        <w:rPr>
          <w:rFonts w:ascii="Times New Roman" w:hAnsi="Times New Roman" w:cs="Times New Roman"/>
        </w:rPr>
        <w:t>Op. Cit.</w:t>
      </w:r>
    </w:p>
  </w:footnote>
  <w:footnote w:id="6">
    <w:p w:rsidR="00446F53" w:rsidRPr="00FF7417" w:rsidRDefault="00491068" w:rsidP="00FF7417">
      <w:pPr>
        <w:pStyle w:val="Textodenotaderodap"/>
        <w:jc w:val="both"/>
        <w:rPr>
          <w:rFonts w:ascii="Times New Roman" w:hAnsi="Times New Roman" w:cs="Times New Roman"/>
        </w:rPr>
      </w:pPr>
      <w:r w:rsidRPr="00FF7417">
        <w:rPr>
          <w:rStyle w:val="Refdenotaderodap"/>
          <w:rFonts w:ascii="Times New Roman" w:hAnsi="Times New Roman" w:cs="Times New Roman"/>
        </w:rPr>
        <w:footnoteRef/>
      </w:r>
      <w:r w:rsidRPr="00FF7417">
        <w:rPr>
          <w:rFonts w:ascii="Times New Roman" w:hAnsi="Times New Roman" w:cs="Times New Roman"/>
        </w:rPr>
        <w:t xml:space="preserve"> </w:t>
      </w:r>
      <w:r w:rsidR="00446F53" w:rsidRPr="00FF7417">
        <w:rPr>
          <w:rFonts w:ascii="Times New Roman" w:hAnsi="Times New Roman" w:cs="Times New Roman"/>
        </w:rPr>
        <w:t xml:space="preserve">BOEIRA, Alex </w:t>
      </w:r>
      <w:proofErr w:type="spellStart"/>
      <w:r w:rsidR="00446F53" w:rsidRPr="00FF7417">
        <w:rPr>
          <w:rFonts w:ascii="Times New Roman" w:hAnsi="Times New Roman" w:cs="Times New Roman"/>
        </w:rPr>
        <w:t>Perozzo</w:t>
      </w:r>
      <w:proofErr w:type="spellEnd"/>
      <w:r w:rsidR="00446F53" w:rsidRPr="00FF7417">
        <w:rPr>
          <w:rFonts w:ascii="Times New Roman" w:hAnsi="Times New Roman" w:cs="Times New Roman"/>
        </w:rPr>
        <w:t>. A desconsideração da personalidade jurídica</w:t>
      </w:r>
    </w:p>
    <w:p w:rsidR="00446F53" w:rsidRPr="00FF7417" w:rsidRDefault="00446F53" w:rsidP="00FF7417">
      <w:pPr>
        <w:pStyle w:val="Textodenotaderodap"/>
        <w:jc w:val="both"/>
        <w:rPr>
          <w:rFonts w:ascii="Times New Roman" w:hAnsi="Times New Roman" w:cs="Times New Roman"/>
        </w:rPr>
      </w:pPr>
      <w:r w:rsidRPr="00FF7417">
        <w:rPr>
          <w:rFonts w:ascii="Times New Roman" w:hAnsi="Times New Roman" w:cs="Times New Roman"/>
        </w:rPr>
        <w:t>Noções gerais e questões controvertidas à luz da doutrina e da</w:t>
      </w:r>
    </w:p>
    <w:p w:rsidR="00491068" w:rsidRPr="00870100" w:rsidRDefault="00446F53" w:rsidP="00FF7417">
      <w:pPr>
        <w:pStyle w:val="Textodenotaderodap"/>
        <w:jc w:val="both"/>
        <w:rPr>
          <w:rFonts w:ascii="Times New Roman" w:hAnsi="Times New Roman" w:cs="Times New Roman"/>
        </w:rPr>
      </w:pPr>
      <w:r w:rsidRPr="00FF7417">
        <w:rPr>
          <w:rFonts w:ascii="Times New Roman" w:hAnsi="Times New Roman" w:cs="Times New Roman"/>
        </w:rPr>
        <w:t>Jurisprudência. Disponível em:&lt; http://conteudojuridico.com.br/?colunas&amp;colunista=15590_&amp;ver=1634 &gt;. Acesso em 12/03/2014</w:t>
      </w:r>
    </w:p>
  </w:footnote>
  <w:footnote w:id="7">
    <w:p w:rsidR="00D73ED9" w:rsidRPr="00FF7417" w:rsidRDefault="00D73ED9" w:rsidP="00FF7417">
      <w:pPr>
        <w:pStyle w:val="Textodenotaderodap"/>
        <w:jc w:val="both"/>
        <w:rPr>
          <w:rFonts w:ascii="Times New Roman" w:hAnsi="Times New Roman" w:cs="Times New Roman"/>
        </w:rPr>
      </w:pPr>
      <w:r w:rsidRPr="00FF7417">
        <w:rPr>
          <w:rStyle w:val="Refdenotaderodap"/>
          <w:rFonts w:ascii="Times New Roman" w:hAnsi="Times New Roman" w:cs="Times New Roman"/>
        </w:rPr>
        <w:footnoteRef/>
      </w:r>
      <w:r w:rsidRPr="00FF7417">
        <w:rPr>
          <w:rFonts w:ascii="Times New Roman" w:hAnsi="Times New Roman" w:cs="Times New Roman"/>
        </w:rPr>
        <w:t xml:space="preserve"> </w:t>
      </w:r>
      <w:r w:rsidR="004422D9" w:rsidRPr="00FF7417">
        <w:rPr>
          <w:rFonts w:ascii="Times New Roman" w:hAnsi="Times New Roman" w:cs="Times New Roman"/>
        </w:rPr>
        <w:t>DIDIER</w:t>
      </w:r>
      <w:r w:rsidR="00B03E6C" w:rsidRPr="00FF7417">
        <w:rPr>
          <w:rFonts w:ascii="Times New Roman" w:hAnsi="Times New Roman" w:cs="Times New Roman"/>
        </w:rPr>
        <w:t xml:space="preserve">, </w:t>
      </w:r>
      <w:proofErr w:type="spellStart"/>
      <w:r w:rsidR="00B03E6C" w:rsidRPr="00FF7417">
        <w:rPr>
          <w:rFonts w:ascii="Times New Roman" w:hAnsi="Times New Roman" w:cs="Times New Roman"/>
        </w:rPr>
        <w:t>Fredie</w:t>
      </w:r>
      <w:proofErr w:type="spellEnd"/>
      <w:r w:rsidR="00B03E6C" w:rsidRPr="00FF7417">
        <w:rPr>
          <w:rFonts w:ascii="Times New Roman" w:hAnsi="Times New Roman" w:cs="Times New Roman"/>
        </w:rPr>
        <w:t xml:space="preserve">. Curso de Direito Processual Civil. São Paulo: Jus </w:t>
      </w:r>
      <w:proofErr w:type="spellStart"/>
      <w:r w:rsidR="00B03E6C" w:rsidRPr="00FF7417">
        <w:rPr>
          <w:rFonts w:ascii="Times New Roman" w:hAnsi="Times New Roman" w:cs="Times New Roman"/>
        </w:rPr>
        <w:t>Podivm</w:t>
      </w:r>
      <w:proofErr w:type="spellEnd"/>
      <w:r w:rsidR="00B03E6C" w:rsidRPr="00FF7417">
        <w:rPr>
          <w:rFonts w:ascii="Times New Roman" w:hAnsi="Times New Roman" w:cs="Times New Roman"/>
        </w:rPr>
        <w:t>, 2013. P. 2</w:t>
      </w:r>
      <w:r w:rsidR="00446F53" w:rsidRPr="00FF7417">
        <w:rPr>
          <w:rFonts w:ascii="Times New Roman" w:hAnsi="Times New Roman" w:cs="Times New Roman"/>
        </w:rPr>
        <w:t>88</w:t>
      </w:r>
    </w:p>
  </w:footnote>
  <w:footnote w:id="8">
    <w:p w:rsidR="002978F4" w:rsidRPr="00FF7417" w:rsidRDefault="002978F4" w:rsidP="00FF7417">
      <w:pPr>
        <w:pStyle w:val="Textodenotaderodap"/>
        <w:jc w:val="both"/>
        <w:rPr>
          <w:rFonts w:ascii="Times New Roman" w:hAnsi="Times New Roman" w:cs="Times New Roman"/>
        </w:rPr>
      </w:pPr>
      <w:r w:rsidRPr="00FF7417">
        <w:rPr>
          <w:rStyle w:val="Refdenotaderodap"/>
          <w:rFonts w:ascii="Times New Roman" w:hAnsi="Times New Roman" w:cs="Times New Roman"/>
        </w:rPr>
        <w:footnoteRef/>
      </w:r>
      <w:r w:rsidRPr="00FF7417">
        <w:rPr>
          <w:rFonts w:ascii="Times New Roman" w:hAnsi="Times New Roman" w:cs="Times New Roman"/>
        </w:rPr>
        <w:t xml:space="preserve"> </w:t>
      </w:r>
      <w:r w:rsidR="00B03E6C" w:rsidRPr="00FF7417">
        <w:rPr>
          <w:rFonts w:ascii="Times New Roman" w:hAnsi="Times New Roman" w:cs="Times New Roman"/>
        </w:rPr>
        <w:t>SELONK, Rafael. Op. Cit.</w:t>
      </w:r>
    </w:p>
  </w:footnote>
  <w:footnote w:id="9">
    <w:p w:rsidR="00A12B5D" w:rsidRPr="00FF7417" w:rsidRDefault="00A12B5D" w:rsidP="00FF7417">
      <w:pPr>
        <w:pStyle w:val="Textodenotaderodap"/>
        <w:jc w:val="both"/>
        <w:rPr>
          <w:rFonts w:ascii="Times New Roman" w:hAnsi="Times New Roman" w:cs="Times New Roman"/>
        </w:rPr>
      </w:pPr>
      <w:r w:rsidRPr="00FF7417">
        <w:rPr>
          <w:rStyle w:val="Refdenotaderodap"/>
          <w:rFonts w:ascii="Times New Roman" w:hAnsi="Times New Roman" w:cs="Times New Roman"/>
        </w:rPr>
        <w:footnoteRef/>
      </w:r>
      <w:r w:rsidRPr="00FF7417">
        <w:rPr>
          <w:rFonts w:ascii="Times New Roman" w:hAnsi="Times New Roman" w:cs="Times New Roman"/>
        </w:rPr>
        <w:t xml:space="preserve"> </w:t>
      </w:r>
      <w:r w:rsidR="00446F53" w:rsidRPr="00FF7417">
        <w:rPr>
          <w:rFonts w:ascii="Times New Roman" w:hAnsi="Times New Roman" w:cs="Times New Roman"/>
        </w:rPr>
        <w:t xml:space="preserve">BOEIRA, Alex </w:t>
      </w:r>
      <w:proofErr w:type="spellStart"/>
      <w:r w:rsidR="00446F53" w:rsidRPr="00FF7417">
        <w:rPr>
          <w:rFonts w:ascii="Times New Roman" w:hAnsi="Times New Roman" w:cs="Times New Roman"/>
        </w:rPr>
        <w:t>Perozzo</w:t>
      </w:r>
      <w:proofErr w:type="spellEnd"/>
      <w:r w:rsidR="00446F53" w:rsidRPr="00FF7417">
        <w:rPr>
          <w:rFonts w:ascii="Times New Roman" w:hAnsi="Times New Roman" w:cs="Times New Roman"/>
        </w:rPr>
        <w:t xml:space="preserve">. </w:t>
      </w:r>
      <w:proofErr w:type="spellStart"/>
      <w:r w:rsidR="00446F53" w:rsidRPr="00FF7417">
        <w:rPr>
          <w:rFonts w:ascii="Times New Roman" w:hAnsi="Times New Roman" w:cs="Times New Roman"/>
        </w:rPr>
        <w:t>Op.Cit</w:t>
      </w:r>
      <w:proofErr w:type="spellEnd"/>
      <w:r w:rsidR="00446F53" w:rsidRPr="00FF7417">
        <w:rPr>
          <w:rFonts w:ascii="Times New Roman" w:hAnsi="Times New Roman" w:cs="Times New Roman"/>
        </w:rPr>
        <w:t>.</w:t>
      </w:r>
    </w:p>
  </w:footnote>
  <w:footnote w:id="10">
    <w:p w:rsidR="00A12B5D" w:rsidRPr="00FF7417" w:rsidRDefault="00A12B5D" w:rsidP="00FF7417">
      <w:pPr>
        <w:pStyle w:val="Textodenotaderodap"/>
        <w:jc w:val="both"/>
        <w:rPr>
          <w:rFonts w:ascii="Times New Roman" w:hAnsi="Times New Roman" w:cs="Times New Roman"/>
          <w:lang w:val="en-US"/>
        </w:rPr>
      </w:pPr>
      <w:r w:rsidRPr="00FF7417">
        <w:rPr>
          <w:rStyle w:val="Refdenotaderodap"/>
          <w:rFonts w:ascii="Times New Roman" w:hAnsi="Times New Roman" w:cs="Times New Roman"/>
        </w:rPr>
        <w:footnoteRef/>
      </w:r>
      <w:r w:rsidRPr="00870100">
        <w:rPr>
          <w:rFonts w:ascii="Times New Roman" w:hAnsi="Times New Roman" w:cs="Times New Roman"/>
          <w:lang w:val="en-US"/>
        </w:rPr>
        <w:t xml:space="preserve"> DIDIER</w:t>
      </w:r>
      <w:r w:rsidR="00446F53" w:rsidRPr="00870100">
        <w:rPr>
          <w:rFonts w:ascii="Times New Roman" w:hAnsi="Times New Roman" w:cs="Times New Roman"/>
          <w:lang w:val="en-US"/>
        </w:rPr>
        <w:t xml:space="preserve">, Fredie. </w:t>
      </w:r>
      <w:r w:rsidR="00446F53" w:rsidRPr="00FF7417">
        <w:rPr>
          <w:rFonts w:ascii="Times New Roman" w:hAnsi="Times New Roman" w:cs="Times New Roman"/>
          <w:lang w:val="en-US"/>
        </w:rPr>
        <w:t>Op. Cit. P.55</w:t>
      </w:r>
    </w:p>
  </w:footnote>
  <w:footnote w:id="11">
    <w:p w:rsidR="00A12B5D" w:rsidRPr="00FF7417" w:rsidRDefault="00A12B5D" w:rsidP="00FF7417">
      <w:pPr>
        <w:pStyle w:val="Textodenotaderodap"/>
        <w:jc w:val="both"/>
        <w:rPr>
          <w:rFonts w:ascii="Times New Roman" w:hAnsi="Times New Roman" w:cs="Times New Roman"/>
          <w:lang w:val="en-US"/>
        </w:rPr>
      </w:pPr>
      <w:r w:rsidRPr="00FF7417">
        <w:rPr>
          <w:rStyle w:val="Refdenotaderodap"/>
          <w:rFonts w:ascii="Times New Roman" w:hAnsi="Times New Roman" w:cs="Times New Roman"/>
        </w:rPr>
        <w:footnoteRef/>
      </w:r>
      <w:r w:rsidRPr="00FF7417">
        <w:rPr>
          <w:rFonts w:ascii="Times New Roman" w:hAnsi="Times New Roman" w:cs="Times New Roman"/>
          <w:lang w:val="en-US"/>
        </w:rPr>
        <w:t xml:space="preserve"> </w:t>
      </w:r>
      <w:r w:rsidR="00446F53" w:rsidRPr="00FF7417">
        <w:rPr>
          <w:rFonts w:ascii="Times New Roman" w:hAnsi="Times New Roman" w:cs="Times New Roman"/>
          <w:lang w:val="en-US"/>
        </w:rPr>
        <w:t>SELONK, Op. Cit.</w:t>
      </w:r>
    </w:p>
  </w:footnote>
  <w:footnote w:id="12">
    <w:p w:rsidR="00FB5AC9" w:rsidRPr="00FF7417" w:rsidRDefault="00FB5AC9" w:rsidP="00FF7417">
      <w:pPr>
        <w:pStyle w:val="Textodenotaderodap"/>
        <w:jc w:val="both"/>
        <w:rPr>
          <w:rFonts w:ascii="Times New Roman" w:hAnsi="Times New Roman" w:cs="Times New Roman"/>
          <w:lang w:val="en-US"/>
        </w:rPr>
      </w:pPr>
      <w:r w:rsidRPr="00FF7417">
        <w:rPr>
          <w:rStyle w:val="Refdenotaderodap"/>
          <w:rFonts w:ascii="Times New Roman" w:hAnsi="Times New Roman" w:cs="Times New Roman"/>
        </w:rPr>
        <w:footnoteRef/>
      </w:r>
      <w:r w:rsidRPr="00FF74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78F4" w:rsidRPr="00FF7417">
        <w:rPr>
          <w:rFonts w:ascii="Times New Roman" w:hAnsi="Times New Roman" w:cs="Times New Roman"/>
          <w:lang w:val="en-US"/>
        </w:rPr>
        <w:t>CAMARA</w:t>
      </w:r>
      <w:proofErr w:type="gramStart"/>
      <w:r w:rsidR="002978F4" w:rsidRPr="00FF7417">
        <w:rPr>
          <w:rFonts w:ascii="Times New Roman" w:hAnsi="Times New Roman" w:cs="Times New Roman"/>
          <w:lang w:val="en-US"/>
        </w:rPr>
        <w:t>,Alexandre</w:t>
      </w:r>
      <w:proofErr w:type="spellEnd"/>
      <w:proofErr w:type="gramEnd"/>
      <w:r w:rsidR="002978F4" w:rsidRPr="00FF7417">
        <w:rPr>
          <w:rFonts w:ascii="Times New Roman" w:hAnsi="Times New Roman" w:cs="Times New Roman"/>
          <w:lang w:val="en-US"/>
        </w:rPr>
        <w:t>. Op. Cit.</w:t>
      </w:r>
      <w:r w:rsidR="00C9051D" w:rsidRPr="00FF7417">
        <w:rPr>
          <w:rFonts w:ascii="Times New Roman" w:hAnsi="Times New Roman" w:cs="Times New Roman"/>
          <w:lang w:val="en-US"/>
        </w:rPr>
        <w:t xml:space="preserve"> p. 148</w:t>
      </w:r>
    </w:p>
  </w:footnote>
  <w:footnote w:id="13">
    <w:p w:rsidR="001135C5" w:rsidRPr="00FF7417" w:rsidRDefault="001135C5" w:rsidP="00FF7417">
      <w:pPr>
        <w:pStyle w:val="Textodenotaderodap"/>
        <w:jc w:val="both"/>
        <w:rPr>
          <w:rFonts w:ascii="Times New Roman" w:hAnsi="Times New Roman" w:cs="Times New Roman"/>
          <w:lang w:val="en-US"/>
        </w:rPr>
      </w:pPr>
      <w:r w:rsidRPr="00FF7417">
        <w:rPr>
          <w:rStyle w:val="Refdenotaderodap"/>
          <w:rFonts w:ascii="Times New Roman" w:hAnsi="Times New Roman" w:cs="Times New Roman"/>
        </w:rPr>
        <w:footnoteRef/>
      </w:r>
      <w:r w:rsidRPr="00FF7417">
        <w:rPr>
          <w:rFonts w:ascii="Times New Roman" w:hAnsi="Times New Roman" w:cs="Times New Roman"/>
          <w:lang w:val="en-US"/>
        </w:rPr>
        <w:t xml:space="preserve"> </w:t>
      </w:r>
      <w:r w:rsidR="00446F53" w:rsidRPr="00FF7417">
        <w:rPr>
          <w:rFonts w:ascii="Times New Roman" w:hAnsi="Times New Roman" w:cs="Times New Roman"/>
          <w:lang w:val="en-US"/>
        </w:rPr>
        <w:t xml:space="preserve">DIDIER, </w:t>
      </w:r>
      <w:proofErr w:type="spellStart"/>
      <w:r w:rsidR="00446F53" w:rsidRPr="00FF7417">
        <w:rPr>
          <w:rFonts w:ascii="Times New Roman" w:hAnsi="Times New Roman" w:cs="Times New Roman"/>
          <w:lang w:val="en-US"/>
        </w:rPr>
        <w:t>Fredie</w:t>
      </w:r>
      <w:proofErr w:type="spellEnd"/>
      <w:r w:rsidR="00446F53" w:rsidRPr="00FF7417">
        <w:rPr>
          <w:rFonts w:ascii="Times New Roman" w:hAnsi="Times New Roman" w:cs="Times New Roman"/>
          <w:lang w:val="en-US"/>
        </w:rPr>
        <w:t>. Op. Cit. P.55</w:t>
      </w:r>
    </w:p>
  </w:footnote>
  <w:footnote w:id="14">
    <w:p w:rsidR="00CD2C03" w:rsidRPr="00FF7417" w:rsidRDefault="00CD2C03" w:rsidP="00FF7417">
      <w:pPr>
        <w:pStyle w:val="Textodenotaderodap"/>
        <w:jc w:val="both"/>
        <w:rPr>
          <w:rFonts w:ascii="Times New Roman" w:hAnsi="Times New Roman" w:cs="Times New Roman"/>
        </w:rPr>
      </w:pPr>
      <w:r w:rsidRPr="00FF7417">
        <w:rPr>
          <w:rStyle w:val="Refdenotaderodap"/>
          <w:rFonts w:ascii="Times New Roman" w:hAnsi="Times New Roman" w:cs="Times New Roman"/>
        </w:rPr>
        <w:footnoteRef/>
      </w:r>
      <w:r w:rsidRPr="00FF7417">
        <w:rPr>
          <w:rFonts w:ascii="Times New Roman" w:hAnsi="Times New Roman" w:cs="Times New Roman"/>
        </w:rPr>
        <w:t xml:space="preserve"> </w:t>
      </w:r>
      <w:r w:rsidR="00446F53" w:rsidRPr="00FF7417">
        <w:rPr>
          <w:rFonts w:ascii="Times New Roman" w:hAnsi="Times New Roman" w:cs="Times New Roman"/>
        </w:rPr>
        <w:t>BARROS, Vinicius de. Sócios não podem responder pelo simples encerramento da sociedade. Disponível em: &lt;http://www.migalhas.com.br/dePeso/16,MI197724,41046-Socios+nao+podem+responder+pelo+simples+encerramento+da+sociedade&gt;. Acesso em: 12/03/2015</w:t>
      </w:r>
    </w:p>
  </w:footnote>
  <w:footnote w:id="15">
    <w:p w:rsidR="00491068" w:rsidRPr="00FF7417" w:rsidRDefault="00491068" w:rsidP="00FF7417">
      <w:pPr>
        <w:pStyle w:val="Textodenotaderodap"/>
        <w:jc w:val="both"/>
        <w:rPr>
          <w:rFonts w:ascii="Times New Roman" w:hAnsi="Times New Roman" w:cs="Times New Roman"/>
        </w:rPr>
      </w:pPr>
      <w:r w:rsidRPr="00FF7417">
        <w:rPr>
          <w:rStyle w:val="Refdenotaderodap"/>
          <w:rFonts w:ascii="Times New Roman" w:hAnsi="Times New Roman" w:cs="Times New Roman"/>
        </w:rPr>
        <w:footnoteRef/>
      </w:r>
      <w:r w:rsidRPr="00FF7417">
        <w:rPr>
          <w:rFonts w:ascii="Times New Roman" w:hAnsi="Times New Roman" w:cs="Times New Roman"/>
        </w:rPr>
        <w:t xml:space="preserve"> </w:t>
      </w:r>
      <w:r w:rsidR="00FF7417" w:rsidRPr="00FF7417">
        <w:rPr>
          <w:rFonts w:ascii="Times New Roman" w:hAnsi="Times New Roman" w:cs="Times New Roman"/>
        </w:rPr>
        <w:t xml:space="preserve">BOEIRA, Alex </w:t>
      </w:r>
      <w:proofErr w:type="spellStart"/>
      <w:r w:rsidR="00FF7417" w:rsidRPr="00FF7417">
        <w:rPr>
          <w:rFonts w:ascii="Times New Roman" w:hAnsi="Times New Roman" w:cs="Times New Roman"/>
        </w:rPr>
        <w:t>Perozzo</w:t>
      </w:r>
      <w:proofErr w:type="spellEnd"/>
      <w:r w:rsidR="00FF7417" w:rsidRPr="00FF7417">
        <w:rPr>
          <w:rFonts w:ascii="Times New Roman" w:hAnsi="Times New Roman" w:cs="Times New Roman"/>
        </w:rPr>
        <w:t xml:space="preserve">. </w:t>
      </w:r>
      <w:proofErr w:type="spellStart"/>
      <w:r w:rsidR="00FF7417" w:rsidRPr="00FF7417">
        <w:rPr>
          <w:rFonts w:ascii="Times New Roman" w:hAnsi="Times New Roman" w:cs="Times New Roman"/>
        </w:rPr>
        <w:t>Op.Cit</w:t>
      </w:r>
      <w:proofErr w:type="spellEnd"/>
      <w:r w:rsidR="00FF7417" w:rsidRPr="00FF7417">
        <w:rPr>
          <w:rFonts w:ascii="Times New Roman" w:hAnsi="Times New Roman" w:cs="Times New Roman"/>
        </w:rPr>
        <w:t>.</w:t>
      </w:r>
    </w:p>
  </w:footnote>
  <w:footnote w:id="16">
    <w:p w:rsidR="00491068" w:rsidRPr="00870100" w:rsidRDefault="00491068" w:rsidP="00FF7417">
      <w:pPr>
        <w:pStyle w:val="Textodenotaderodap"/>
        <w:jc w:val="both"/>
        <w:rPr>
          <w:rFonts w:ascii="Times New Roman" w:hAnsi="Times New Roman" w:cs="Times New Roman"/>
        </w:rPr>
      </w:pPr>
      <w:r w:rsidRPr="00FF7417">
        <w:rPr>
          <w:rStyle w:val="Refdenotaderodap"/>
          <w:rFonts w:ascii="Times New Roman" w:hAnsi="Times New Roman" w:cs="Times New Roman"/>
        </w:rPr>
        <w:footnoteRef/>
      </w:r>
      <w:r w:rsidRPr="00870100">
        <w:rPr>
          <w:rFonts w:ascii="Times New Roman" w:hAnsi="Times New Roman" w:cs="Times New Roman"/>
        </w:rPr>
        <w:t xml:space="preserve"> </w:t>
      </w:r>
      <w:r w:rsidR="00FF7417" w:rsidRPr="00870100">
        <w:rPr>
          <w:rFonts w:ascii="Times New Roman" w:hAnsi="Times New Roman" w:cs="Times New Roman"/>
        </w:rPr>
        <w:t xml:space="preserve">DIDIER, Fredie. Op. Cit. P. </w:t>
      </w:r>
      <w:r w:rsidRPr="00870100">
        <w:rPr>
          <w:rFonts w:ascii="Times New Roman" w:hAnsi="Times New Roman" w:cs="Times New Roman"/>
        </w:rPr>
        <w:t>355</w:t>
      </w:r>
    </w:p>
  </w:footnote>
  <w:footnote w:id="17">
    <w:p w:rsidR="00591045" w:rsidRPr="00591045" w:rsidRDefault="00591045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591045">
        <w:rPr>
          <w:lang w:val="en-US"/>
        </w:rPr>
        <w:t xml:space="preserve"> </w:t>
      </w:r>
      <w:r w:rsidRPr="00FF7417">
        <w:rPr>
          <w:rFonts w:ascii="Times New Roman" w:hAnsi="Times New Roman" w:cs="Times New Roman"/>
          <w:lang w:val="en-US"/>
        </w:rPr>
        <w:t>DIDIER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Fredie</w:t>
      </w:r>
      <w:proofErr w:type="spellEnd"/>
      <w:r>
        <w:rPr>
          <w:rFonts w:ascii="Times New Roman" w:hAnsi="Times New Roman" w:cs="Times New Roman"/>
          <w:lang w:val="en-US"/>
        </w:rPr>
        <w:t>. Op. Cit. P.</w:t>
      </w:r>
      <w:r w:rsidRPr="00FF7417">
        <w:rPr>
          <w:rFonts w:ascii="Times New Roman" w:hAnsi="Times New Roman" w:cs="Times New Roman"/>
          <w:lang w:val="en-US"/>
        </w:rPr>
        <w:t xml:space="preserve"> 585</w:t>
      </w:r>
    </w:p>
  </w:footnote>
  <w:footnote w:id="18">
    <w:p w:rsidR="00591045" w:rsidRPr="00591045" w:rsidRDefault="00591045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>
        <w:t xml:space="preserve"> </w:t>
      </w:r>
      <w:r w:rsidRPr="00FF7417">
        <w:rPr>
          <w:rFonts w:ascii="Times New Roman" w:hAnsi="Times New Roman" w:cs="Times New Roman"/>
        </w:rPr>
        <w:t>ALESSANDRI</w:t>
      </w:r>
      <w:r>
        <w:rPr>
          <w:rFonts w:ascii="Times New Roman" w:hAnsi="Times New Roman" w:cs="Times New Roman"/>
        </w:rPr>
        <w:t xml:space="preserve">, </w:t>
      </w:r>
      <w:r w:rsidRPr="00FF7417">
        <w:rPr>
          <w:rFonts w:ascii="Times New Roman" w:hAnsi="Times New Roman" w:cs="Times New Roman"/>
        </w:rPr>
        <w:t>João Herbert</w:t>
      </w:r>
      <w:r>
        <w:rPr>
          <w:rFonts w:ascii="Times New Roman" w:hAnsi="Times New Roman" w:cs="Times New Roman"/>
        </w:rPr>
        <w:t xml:space="preserve">. Cheque-prazos </w:t>
      </w:r>
      <w:r w:rsidRPr="0025628E">
        <w:rPr>
          <w:rFonts w:ascii="Times New Roman" w:hAnsi="Times New Roman" w:cs="Times New Roman"/>
        </w:rPr>
        <w:t>e prescrições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Disponívem</w:t>
      </w:r>
      <w:proofErr w:type="spellEnd"/>
      <w:r>
        <w:rPr>
          <w:rFonts w:ascii="Times New Roman" w:hAnsi="Times New Roman" w:cs="Times New Roman"/>
        </w:rPr>
        <w:t xml:space="preserve"> em: </w:t>
      </w:r>
      <w:r w:rsidRPr="009B0BC7">
        <w:rPr>
          <w:rFonts w:ascii="Times New Roman" w:hAnsi="Times New Roman" w:cs="Times New Roman"/>
        </w:rPr>
        <w:t>http://www.jurisway.org.br/v2/dhall.asp?id_dh=1047</w:t>
      </w:r>
      <w:r>
        <w:rPr>
          <w:rFonts w:ascii="Times New Roman" w:hAnsi="Times New Roman" w:cs="Times New Roman"/>
        </w:rPr>
        <w:t>. Acesso em: 12/03/2015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786A"/>
    <w:multiLevelType w:val="multilevel"/>
    <w:tmpl w:val="EE1C4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1FBC39BC"/>
    <w:multiLevelType w:val="hybridMultilevel"/>
    <w:tmpl w:val="D17636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71E6D"/>
    <w:multiLevelType w:val="hybridMultilevel"/>
    <w:tmpl w:val="E2C2E1C8"/>
    <w:lvl w:ilvl="0" w:tplc="40CE92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87AF6"/>
    <w:multiLevelType w:val="hybridMultilevel"/>
    <w:tmpl w:val="8E96BDBC"/>
    <w:lvl w:ilvl="0" w:tplc="8D7438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A28AC"/>
    <w:multiLevelType w:val="hybridMultilevel"/>
    <w:tmpl w:val="C9740328"/>
    <w:lvl w:ilvl="0" w:tplc="4FFA8F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19"/>
    <w:rsid w:val="00007A75"/>
    <w:rsid w:val="00007DB3"/>
    <w:rsid w:val="00011F7B"/>
    <w:rsid w:val="000213A3"/>
    <w:rsid w:val="00026500"/>
    <w:rsid w:val="00033C3B"/>
    <w:rsid w:val="00036A4C"/>
    <w:rsid w:val="00040CE7"/>
    <w:rsid w:val="00045FDA"/>
    <w:rsid w:val="000531FA"/>
    <w:rsid w:val="00053C1C"/>
    <w:rsid w:val="000604FE"/>
    <w:rsid w:val="00061E6B"/>
    <w:rsid w:val="00084886"/>
    <w:rsid w:val="00094D72"/>
    <w:rsid w:val="000B368A"/>
    <w:rsid w:val="000D7D4F"/>
    <w:rsid w:val="000E3BB0"/>
    <w:rsid w:val="000F5752"/>
    <w:rsid w:val="00107E28"/>
    <w:rsid w:val="001135C5"/>
    <w:rsid w:val="001159CB"/>
    <w:rsid w:val="00122508"/>
    <w:rsid w:val="00123659"/>
    <w:rsid w:val="00130BE6"/>
    <w:rsid w:val="00135802"/>
    <w:rsid w:val="00144449"/>
    <w:rsid w:val="001549E5"/>
    <w:rsid w:val="001644FB"/>
    <w:rsid w:val="001649D9"/>
    <w:rsid w:val="00176161"/>
    <w:rsid w:val="00186881"/>
    <w:rsid w:val="00191693"/>
    <w:rsid w:val="001B5551"/>
    <w:rsid w:val="001F51AB"/>
    <w:rsid w:val="00201FAD"/>
    <w:rsid w:val="002110BB"/>
    <w:rsid w:val="00231FB9"/>
    <w:rsid w:val="00247C35"/>
    <w:rsid w:val="0025628E"/>
    <w:rsid w:val="002671A6"/>
    <w:rsid w:val="002703DD"/>
    <w:rsid w:val="0027574D"/>
    <w:rsid w:val="00281226"/>
    <w:rsid w:val="00285D4C"/>
    <w:rsid w:val="002862A1"/>
    <w:rsid w:val="002978F4"/>
    <w:rsid w:val="002A1E27"/>
    <w:rsid w:val="002B2419"/>
    <w:rsid w:val="002C7666"/>
    <w:rsid w:val="002D1DD0"/>
    <w:rsid w:val="002D4472"/>
    <w:rsid w:val="002D497C"/>
    <w:rsid w:val="002D5805"/>
    <w:rsid w:val="002E0108"/>
    <w:rsid w:val="002F656A"/>
    <w:rsid w:val="00301E21"/>
    <w:rsid w:val="00321BF5"/>
    <w:rsid w:val="00335012"/>
    <w:rsid w:val="00363043"/>
    <w:rsid w:val="003653B2"/>
    <w:rsid w:val="0037123B"/>
    <w:rsid w:val="003779C7"/>
    <w:rsid w:val="003837D4"/>
    <w:rsid w:val="00387F58"/>
    <w:rsid w:val="00396586"/>
    <w:rsid w:val="003A1BC3"/>
    <w:rsid w:val="003C3F9B"/>
    <w:rsid w:val="003D3E46"/>
    <w:rsid w:val="003E49A2"/>
    <w:rsid w:val="003F1AD6"/>
    <w:rsid w:val="003F60B9"/>
    <w:rsid w:val="00405256"/>
    <w:rsid w:val="00415757"/>
    <w:rsid w:val="004252FF"/>
    <w:rsid w:val="00430524"/>
    <w:rsid w:val="00434140"/>
    <w:rsid w:val="004422D9"/>
    <w:rsid w:val="00446F53"/>
    <w:rsid w:val="004477DD"/>
    <w:rsid w:val="0045336F"/>
    <w:rsid w:val="004545D4"/>
    <w:rsid w:val="00474C74"/>
    <w:rsid w:val="0048387F"/>
    <w:rsid w:val="00486E02"/>
    <w:rsid w:val="00491068"/>
    <w:rsid w:val="004932C7"/>
    <w:rsid w:val="004A0C6B"/>
    <w:rsid w:val="004A458C"/>
    <w:rsid w:val="004C2DAD"/>
    <w:rsid w:val="004D28C1"/>
    <w:rsid w:val="004D35C1"/>
    <w:rsid w:val="004F6C87"/>
    <w:rsid w:val="005002BF"/>
    <w:rsid w:val="005019E8"/>
    <w:rsid w:val="00520926"/>
    <w:rsid w:val="00526955"/>
    <w:rsid w:val="00537E2F"/>
    <w:rsid w:val="0055724D"/>
    <w:rsid w:val="005572CD"/>
    <w:rsid w:val="00571D30"/>
    <w:rsid w:val="00574546"/>
    <w:rsid w:val="00591045"/>
    <w:rsid w:val="005A4A96"/>
    <w:rsid w:val="005D159D"/>
    <w:rsid w:val="005D15D7"/>
    <w:rsid w:val="005D225E"/>
    <w:rsid w:val="005D37F1"/>
    <w:rsid w:val="005E4513"/>
    <w:rsid w:val="00601BA3"/>
    <w:rsid w:val="0061024E"/>
    <w:rsid w:val="0061614F"/>
    <w:rsid w:val="006324F5"/>
    <w:rsid w:val="00665F55"/>
    <w:rsid w:val="006704A6"/>
    <w:rsid w:val="006A1296"/>
    <w:rsid w:val="006B1D4A"/>
    <w:rsid w:val="006C05DA"/>
    <w:rsid w:val="006D4CA9"/>
    <w:rsid w:val="006E171F"/>
    <w:rsid w:val="006E25D1"/>
    <w:rsid w:val="006F1753"/>
    <w:rsid w:val="007041DD"/>
    <w:rsid w:val="00737616"/>
    <w:rsid w:val="00751F3A"/>
    <w:rsid w:val="00754C19"/>
    <w:rsid w:val="00754D8A"/>
    <w:rsid w:val="00766BEC"/>
    <w:rsid w:val="00771C8D"/>
    <w:rsid w:val="00774EBB"/>
    <w:rsid w:val="00775BA7"/>
    <w:rsid w:val="007900AB"/>
    <w:rsid w:val="007C35F8"/>
    <w:rsid w:val="007C44C3"/>
    <w:rsid w:val="007C7E57"/>
    <w:rsid w:val="007E1A92"/>
    <w:rsid w:val="007E404E"/>
    <w:rsid w:val="007F2E5B"/>
    <w:rsid w:val="0081187B"/>
    <w:rsid w:val="008135B7"/>
    <w:rsid w:val="0081795C"/>
    <w:rsid w:val="00845EAC"/>
    <w:rsid w:val="008523BD"/>
    <w:rsid w:val="008573D4"/>
    <w:rsid w:val="00870100"/>
    <w:rsid w:val="00890859"/>
    <w:rsid w:val="00891571"/>
    <w:rsid w:val="008965F4"/>
    <w:rsid w:val="008A3554"/>
    <w:rsid w:val="008A7ECD"/>
    <w:rsid w:val="008E2270"/>
    <w:rsid w:val="008F783A"/>
    <w:rsid w:val="00902903"/>
    <w:rsid w:val="0090497C"/>
    <w:rsid w:val="00907AB3"/>
    <w:rsid w:val="00917257"/>
    <w:rsid w:val="00945D87"/>
    <w:rsid w:val="00970BDD"/>
    <w:rsid w:val="00975179"/>
    <w:rsid w:val="009918E4"/>
    <w:rsid w:val="00992F5B"/>
    <w:rsid w:val="00995CA1"/>
    <w:rsid w:val="009A6CE9"/>
    <w:rsid w:val="009B0BC7"/>
    <w:rsid w:val="009B1C1F"/>
    <w:rsid w:val="009B2E58"/>
    <w:rsid w:val="009B5894"/>
    <w:rsid w:val="009D188B"/>
    <w:rsid w:val="009D4556"/>
    <w:rsid w:val="009F0930"/>
    <w:rsid w:val="00A0351C"/>
    <w:rsid w:val="00A0363D"/>
    <w:rsid w:val="00A07E03"/>
    <w:rsid w:val="00A12B5D"/>
    <w:rsid w:val="00A523C9"/>
    <w:rsid w:val="00A56DFB"/>
    <w:rsid w:val="00A843A4"/>
    <w:rsid w:val="00A86DDC"/>
    <w:rsid w:val="00AA7991"/>
    <w:rsid w:val="00AB6EB8"/>
    <w:rsid w:val="00AC0239"/>
    <w:rsid w:val="00AC4C9F"/>
    <w:rsid w:val="00AD760E"/>
    <w:rsid w:val="00AE3AE3"/>
    <w:rsid w:val="00AE4D51"/>
    <w:rsid w:val="00AE769B"/>
    <w:rsid w:val="00B03E6C"/>
    <w:rsid w:val="00B077DA"/>
    <w:rsid w:val="00B37887"/>
    <w:rsid w:val="00B46DFC"/>
    <w:rsid w:val="00B46E91"/>
    <w:rsid w:val="00B53CB6"/>
    <w:rsid w:val="00B74FBA"/>
    <w:rsid w:val="00B86B34"/>
    <w:rsid w:val="00B931EC"/>
    <w:rsid w:val="00B935B0"/>
    <w:rsid w:val="00BB289A"/>
    <w:rsid w:val="00BB2F6C"/>
    <w:rsid w:val="00BC1466"/>
    <w:rsid w:val="00BD446D"/>
    <w:rsid w:val="00BF68A2"/>
    <w:rsid w:val="00BF73B5"/>
    <w:rsid w:val="00C17613"/>
    <w:rsid w:val="00C22A8F"/>
    <w:rsid w:val="00C35147"/>
    <w:rsid w:val="00C47D18"/>
    <w:rsid w:val="00C528AB"/>
    <w:rsid w:val="00C54D07"/>
    <w:rsid w:val="00C60804"/>
    <w:rsid w:val="00C8109C"/>
    <w:rsid w:val="00C828DC"/>
    <w:rsid w:val="00C87B68"/>
    <w:rsid w:val="00C9051D"/>
    <w:rsid w:val="00C91528"/>
    <w:rsid w:val="00CA0094"/>
    <w:rsid w:val="00CA7E67"/>
    <w:rsid w:val="00CC0981"/>
    <w:rsid w:val="00CD17AE"/>
    <w:rsid w:val="00CD2C03"/>
    <w:rsid w:val="00CD7106"/>
    <w:rsid w:val="00CE248D"/>
    <w:rsid w:val="00CF26CA"/>
    <w:rsid w:val="00D02E82"/>
    <w:rsid w:val="00D124ED"/>
    <w:rsid w:val="00D31C3A"/>
    <w:rsid w:val="00D35546"/>
    <w:rsid w:val="00D46DCE"/>
    <w:rsid w:val="00D62428"/>
    <w:rsid w:val="00D634FB"/>
    <w:rsid w:val="00D7367A"/>
    <w:rsid w:val="00D73ED9"/>
    <w:rsid w:val="00D7688D"/>
    <w:rsid w:val="00D820DB"/>
    <w:rsid w:val="00DB12CE"/>
    <w:rsid w:val="00DB3FC7"/>
    <w:rsid w:val="00DC5360"/>
    <w:rsid w:val="00DD02D7"/>
    <w:rsid w:val="00DD4B77"/>
    <w:rsid w:val="00DE07BA"/>
    <w:rsid w:val="00E12D96"/>
    <w:rsid w:val="00E14519"/>
    <w:rsid w:val="00E317AE"/>
    <w:rsid w:val="00E425AC"/>
    <w:rsid w:val="00E91820"/>
    <w:rsid w:val="00EA178F"/>
    <w:rsid w:val="00EA2EBC"/>
    <w:rsid w:val="00EA3048"/>
    <w:rsid w:val="00EB1FDE"/>
    <w:rsid w:val="00EB77DF"/>
    <w:rsid w:val="00EC345C"/>
    <w:rsid w:val="00EE6569"/>
    <w:rsid w:val="00F06DB0"/>
    <w:rsid w:val="00F15975"/>
    <w:rsid w:val="00F17149"/>
    <w:rsid w:val="00F25479"/>
    <w:rsid w:val="00F30D08"/>
    <w:rsid w:val="00F3113F"/>
    <w:rsid w:val="00F4237E"/>
    <w:rsid w:val="00F42D4B"/>
    <w:rsid w:val="00F620D9"/>
    <w:rsid w:val="00F67281"/>
    <w:rsid w:val="00F71E1B"/>
    <w:rsid w:val="00F730FE"/>
    <w:rsid w:val="00F75B3D"/>
    <w:rsid w:val="00F90A34"/>
    <w:rsid w:val="00F96B7B"/>
    <w:rsid w:val="00FA184E"/>
    <w:rsid w:val="00FB5AC9"/>
    <w:rsid w:val="00FC50A4"/>
    <w:rsid w:val="00FC52C3"/>
    <w:rsid w:val="00FD3F64"/>
    <w:rsid w:val="00FF23F9"/>
    <w:rsid w:val="00FF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4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3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B2419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2419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2419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419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419"/>
    <w:rPr>
      <w:rFonts w:ascii="Tahoma" w:hAnsi="Tahoma" w:cs="Tahoma"/>
      <w:sz w:val="16"/>
      <w:szCs w:val="16"/>
      <w:lang w:val="pt-BR"/>
    </w:rPr>
  </w:style>
  <w:style w:type="paragraph" w:styleId="PargrafodaLista">
    <w:name w:val="List Paragraph"/>
    <w:basedOn w:val="Normal"/>
    <w:uiPriority w:val="34"/>
    <w:qFormat/>
    <w:rsid w:val="00130BE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178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E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E4D5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CD17AE"/>
  </w:style>
  <w:style w:type="paragraph" w:styleId="NormalWeb">
    <w:name w:val="Normal (Web)"/>
    <w:basedOn w:val="Normal"/>
    <w:uiPriority w:val="99"/>
    <w:semiHidden/>
    <w:unhideWhenUsed/>
    <w:rsid w:val="0066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3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4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3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B2419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2419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2419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419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419"/>
    <w:rPr>
      <w:rFonts w:ascii="Tahoma" w:hAnsi="Tahoma" w:cs="Tahoma"/>
      <w:sz w:val="16"/>
      <w:szCs w:val="16"/>
      <w:lang w:val="pt-BR"/>
    </w:rPr>
  </w:style>
  <w:style w:type="paragraph" w:styleId="PargrafodaLista">
    <w:name w:val="List Paragraph"/>
    <w:basedOn w:val="Normal"/>
    <w:uiPriority w:val="34"/>
    <w:qFormat/>
    <w:rsid w:val="00130BE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178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E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E4D5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CD17AE"/>
  </w:style>
  <w:style w:type="paragraph" w:styleId="NormalWeb">
    <w:name w:val="Normal (Web)"/>
    <w:basedOn w:val="Normal"/>
    <w:uiPriority w:val="99"/>
    <w:semiHidden/>
    <w:unhideWhenUsed/>
    <w:rsid w:val="0066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3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4F567-2DD8-4F65-B070-EFD0817E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1499</Words>
  <Characters>8096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2016-07-26T13:52:00Z</dcterms:created>
  <dcterms:modified xsi:type="dcterms:W3CDTF">2016-07-26T13:52:00Z</dcterms:modified>
</cp:coreProperties>
</file>