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E6" w:rsidRPr="004D28C1" w:rsidRDefault="00BB289A" w:rsidP="004D28C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SINOPSE DE CASE DE </w:t>
      </w:r>
      <w:r w:rsidR="00023142">
        <w:rPr>
          <w:rFonts w:ascii="Times New Roman" w:hAnsi="Times New Roman" w:cs="Times New Roman"/>
          <w:b/>
          <w:sz w:val="24"/>
        </w:rPr>
        <w:t>DIREITO FINANCEIRO E TRIBUTÁRIO</w:t>
      </w:r>
      <w:r w:rsidR="00130BE6" w:rsidRPr="00130BE6">
        <w:rPr>
          <w:rFonts w:ascii="Times New Roman" w:hAnsi="Times New Roman" w:cs="Times New Roman"/>
          <w:sz w:val="28"/>
        </w:rPr>
        <w:t>¹</w:t>
      </w:r>
    </w:p>
    <w:p w:rsidR="00C35147" w:rsidRDefault="00C35147" w:rsidP="002B2419">
      <w:pPr>
        <w:spacing w:line="360" w:lineRule="auto"/>
        <w:rPr>
          <w:rFonts w:ascii="Tahoma" w:eastAsia="MS PGothic" w:hAnsi="Tahoma" w:cs="Tahoma"/>
          <w:b/>
          <w:bCs/>
          <w:iCs/>
          <w:color w:val="000000"/>
          <w:sz w:val="28"/>
          <w:szCs w:val="20"/>
        </w:rPr>
      </w:pPr>
    </w:p>
    <w:p w:rsidR="002B2419" w:rsidRPr="00963C49" w:rsidRDefault="002B2419" w:rsidP="002B2419">
      <w:pPr>
        <w:spacing w:line="360" w:lineRule="auto"/>
        <w:jc w:val="right"/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4"/>
          <w:vertAlign w:val="superscript"/>
        </w:rPr>
      </w:pPr>
      <w:r w:rsidRPr="00963C49"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4"/>
        </w:rPr>
        <w:t>Lucas Henrique de Almeida Carvalho</w:t>
      </w:r>
      <w:r w:rsidRPr="00963C49">
        <w:rPr>
          <w:rFonts w:ascii="Times New Roman" w:eastAsia="MS PGothic" w:hAnsi="Times New Roman" w:cs="Times New Roman"/>
          <w:bCs/>
          <w:i/>
          <w:iCs/>
          <w:color w:val="000000"/>
          <w:sz w:val="24"/>
          <w:szCs w:val="24"/>
          <w:vertAlign w:val="superscript"/>
        </w:rPr>
        <w:t>2</w:t>
      </w:r>
    </w:p>
    <w:p w:rsidR="00B74FBA" w:rsidRDefault="002B2419" w:rsidP="001761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6161">
        <w:rPr>
          <w:rFonts w:ascii="Times New Roman" w:hAnsi="Times New Roman" w:cs="Times New Roman"/>
          <w:b/>
          <w:sz w:val="24"/>
          <w:szCs w:val="24"/>
        </w:rPr>
        <w:t>DESCRIÇÃO DO CASO:</w:t>
      </w:r>
    </w:p>
    <w:p w:rsidR="00024966" w:rsidRDefault="00963C49" w:rsidP="009B5C0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Hetfield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participações S</w:t>
      </w:r>
      <w:r w:rsidRPr="00963C49">
        <w:rPr>
          <w:rFonts w:ascii="Times New Roman" w:hAnsi="Times New Roman" w:cs="Times New Roman"/>
          <w:sz w:val="24"/>
          <w:szCs w:val="24"/>
        </w:rPr>
        <w:t xml:space="preserve">/A, </w:t>
      </w:r>
      <w:r>
        <w:rPr>
          <w:rFonts w:ascii="Times New Roman" w:hAnsi="Times New Roman" w:cs="Times New Roman"/>
          <w:sz w:val="24"/>
          <w:szCs w:val="24"/>
        </w:rPr>
        <w:t>interessada em integrar o quadro societário da empresa</w:t>
      </w:r>
      <w:r w:rsidR="00A42F54">
        <w:rPr>
          <w:rFonts w:ascii="Times New Roman" w:hAnsi="Times New Roman" w:cs="Times New Roman"/>
          <w:sz w:val="24"/>
          <w:szCs w:val="24"/>
        </w:rPr>
        <w:t xml:space="preserve"> operadora do ramo metalúrgico</w:t>
      </w:r>
      <w:r>
        <w:rPr>
          <w:rFonts w:ascii="Times New Roman" w:hAnsi="Times New Roman" w:cs="Times New Roman"/>
          <w:sz w:val="24"/>
          <w:szCs w:val="24"/>
        </w:rPr>
        <w:t xml:space="preserve"> Heavy Metal Ltda., procedeu </w:t>
      </w:r>
      <w:r w:rsidR="009B5C0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tomar as medidas necessárias para promover a integralização</w:t>
      </w:r>
      <w:r w:rsidR="00A42F54">
        <w:rPr>
          <w:rFonts w:ascii="Times New Roman" w:hAnsi="Times New Roman" w:cs="Times New Roman"/>
          <w:sz w:val="24"/>
          <w:szCs w:val="24"/>
        </w:rPr>
        <w:t xml:space="preserve"> </w:t>
      </w:r>
      <w:r w:rsidR="00024966">
        <w:rPr>
          <w:rFonts w:ascii="Times New Roman" w:hAnsi="Times New Roman" w:cs="Times New Roman"/>
          <w:sz w:val="24"/>
          <w:szCs w:val="24"/>
        </w:rPr>
        <w:t>de sua parcela</w:t>
      </w:r>
      <w:r>
        <w:rPr>
          <w:rFonts w:ascii="Times New Roman" w:hAnsi="Times New Roman" w:cs="Times New Roman"/>
          <w:sz w:val="24"/>
          <w:szCs w:val="24"/>
        </w:rPr>
        <w:t xml:space="preserve"> do capital social, sendo tal </w:t>
      </w:r>
      <w:r w:rsidR="00024966">
        <w:rPr>
          <w:rFonts w:ascii="Times New Roman" w:hAnsi="Times New Roman" w:cs="Times New Roman"/>
          <w:sz w:val="24"/>
          <w:szCs w:val="24"/>
        </w:rPr>
        <w:t>parcela avaliada</w:t>
      </w:r>
      <w:r>
        <w:rPr>
          <w:rFonts w:ascii="Times New Roman" w:hAnsi="Times New Roman" w:cs="Times New Roman"/>
          <w:sz w:val="24"/>
          <w:szCs w:val="24"/>
        </w:rPr>
        <w:t xml:space="preserve"> na monta de R$ 500.000,00 (quinhentos mil reais)</w:t>
      </w:r>
      <w:r w:rsidR="00024966">
        <w:rPr>
          <w:rFonts w:ascii="Times New Roman" w:hAnsi="Times New Roman" w:cs="Times New Roman"/>
          <w:sz w:val="24"/>
          <w:szCs w:val="24"/>
        </w:rPr>
        <w:t>.</w:t>
      </w:r>
    </w:p>
    <w:p w:rsidR="00963C49" w:rsidRDefault="00024966" w:rsidP="009B5C0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promover a supracitada integralização, </w:t>
      </w:r>
      <w:proofErr w:type="spellStart"/>
      <w:r>
        <w:rPr>
          <w:rFonts w:ascii="Times New Roman" w:hAnsi="Times New Roman" w:cs="Times New Roman"/>
          <w:sz w:val="24"/>
          <w:szCs w:val="24"/>
        </w:rPr>
        <w:t>Hetfield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Participações S /A ofereceu um imóvel no valor de R$ 750.000,00 (setecentos e cinquenta mil reais), excedendo, assim, em R$ 150.000,00 (cento e cinquenta mil reais) o valor do capital social</w:t>
      </w:r>
      <w:r w:rsidR="00A42F54">
        <w:rPr>
          <w:rFonts w:ascii="Times New Roman" w:hAnsi="Times New Roman" w:cs="Times New Roman"/>
          <w:sz w:val="24"/>
          <w:szCs w:val="24"/>
        </w:rPr>
        <w:t xml:space="preserve"> a ser integralizado</w:t>
      </w:r>
      <w:r>
        <w:rPr>
          <w:rFonts w:ascii="Times New Roman" w:hAnsi="Times New Roman" w:cs="Times New Roman"/>
          <w:sz w:val="24"/>
          <w:szCs w:val="24"/>
        </w:rPr>
        <w:t>; porém, a Secretaria Municipal da Fazenda de São Luís,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município onde se encontra sediada a empresa Heavy Metal Ltda., negou-se a fornecer a guia de recolhimento do ITBI –Imposto de</w:t>
      </w:r>
      <w:r w:rsidR="001454A0">
        <w:rPr>
          <w:rFonts w:ascii="Times New Roman" w:hAnsi="Times New Roman" w:cs="Times New Roman"/>
          <w:sz w:val="24"/>
          <w:szCs w:val="24"/>
        </w:rPr>
        <w:t xml:space="preserve"> </w:t>
      </w:r>
      <w:r w:rsidR="00450569">
        <w:rPr>
          <w:rFonts w:ascii="Times New Roman" w:hAnsi="Times New Roman" w:cs="Times New Roman"/>
          <w:sz w:val="24"/>
          <w:szCs w:val="24"/>
        </w:rPr>
        <w:t>Transmissão</w:t>
      </w:r>
      <w:r w:rsidR="001454A0">
        <w:rPr>
          <w:rFonts w:ascii="Times New Roman" w:hAnsi="Times New Roman" w:cs="Times New Roman"/>
          <w:sz w:val="24"/>
          <w:szCs w:val="24"/>
        </w:rPr>
        <w:t xml:space="preserve"> de Bens Imóveis.</w:t>
      </w:r>
    </w:p>
    <w:p w:rsidR="001454A0" w:rsidRPr="00963C49" w:rsidRDefault="001454A0" w:rsidP="009B5C0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negativa foi justificada pela </w:t>
      </w:r>
      <w:r w:rsidR="00A42F54">
        <w:rPr>
          <w:rFonts w:ascii="Times New Roman" w:hAnsi="Times New Roman" w:cs="Times New Roman"/>
          <w:sz w:val="24"/>
          <w:szCs w:val="24"/>
        </w:rPr>
        <w:t xml:space="preserve">referida </w:t>
      </w:r>
      <w:r>
        <w:rPr>
          <w:rFonts w:ascii="Times New Roman" w:hAnsi="Times New Roman" w:cs="Times New Roman"/>
          <w:sz w:val="24"/>
          <w:szCs w:val="24"/>
        </w:rPr>
        <w:t xml:space="preserve">secretaria pelo fato que o valor do imóvel superava o valor do capital a ser integralizado, tendo procedido, assim,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efetuar a cobrança do referido imposto sobre o valor que excede do imóvel que excede o valor da ser integraliz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do</w:t>
      </w:r>
      <w:r w:rsidR="00A42F54">
        <w:rPr>
          <w:rFonts w:ascii="Times New Roman" w:hAnsi="Times New Roman" w:cs="Times New Roman"/>
          <w:sz w:val="24"/>
          <w:szCs w:val="24"/>
        </w:rPr>
        <w:t>, ou seja, cento e cinquenta mil reais.</w:t>
      </w:r>
    </w:p>
    <w:p w:rsidR="008A7ECD" w:rsidRPr="00891571" w:rsidRDefault="00130BE6" w:rsidP="00130B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57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54D8A">
        <w:rPr>
          <w:rFonts w:ascii="Times New Roman" w:hAnsi="Times New Roman" w:cs="Times New Roman"/>
          <w:b/>
          <w:sz w:val="24"/>
          <w:szCs w:val="24"/>
        </w:rPr>
        <w:t>Decisões Possíveis</w:t>
      </w:r>
      <w:r w:rsidR="00C35147" w:rsidRPr="0089157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30BE6" w:rsidRPr="00891571" w:rsidRDefault="00023142" w:rsidP="00130B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1.1-</w:t>
      </w:r>
      <w:r>
        <w:rPr>
          <w:rFonts w:ascii="Times New Roman" w:hAnsi="Times New Roman" w:cs="Times New Roman"/>
          <w:sz w:val="24"/>
          <w:szCs w:val="24"/>
        </w:rPr>
        <w:t>A incidência do ITBI no caso</w:t>
      </w:r>
      <w:r w:rsidR="009F0650">
        <w:rPr>
          <w:rFonts w:ascii="Times New Roman" w:hAnsi="Times New Roman" w:cs="Times New Roman"/>
          <w:sz w:val="24"/>
          <w:szCs w:val="24"/>
        </w:rPr>
        <w:t xml:space="preserve"> não</w:t>
      </w:r>
      <w:r>
        <w:rPr>
          <w:rFonts w:ascii="Times New Roman" w:hAnsi="Times New Roman" w:cs="Times New Roman"/>
          <w:sz w:val="24"/>
          <w:szCs w:val="24"/>
        </w:rPr>
        <w:t xml:space="preserve"> é válida.</w:t>
      </w:r>
      <w:r w:rsidR="00176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4A0" w:rsidRDefault="00415757" w:rsidP="00130B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71">
        <w:rPr>
          <w:rFonts w:ascii="Times New Roman" w:hAnsi="Times New Roman" w:cs="Times New Roman"/>
          <w:b/>
          <w:sz w:val="24"/>
          <w:szCs w:val="24"/>
        </w:rPr>
        <w:t xml:space="preserve">1.2- </w:t>
      </w:r>
      <w:r w:rsidR="00023142" w:rsidRPr="00023142">
        <w:rPr>
          <w:rFonts w:ascii="Times New Roman" w:hAnsi="Times New Roman" w:cs="Times New Roman"/>
          <w:sz w:val="24"/>
          <w:szCs w:val="24"/>
        </w:rPr>
        <w:t>A incidência do ITBI no caso</w:t>
      </w:r>
      <w:r w:rsidR="00023142">
        <w:rPr>
          <w:rFonts w:ascii="Times New Roman" w:hAnsi="Times New Roman" w:cs="Times New Roman"/>
          <w:sz w:val="24"/>
          <w:szCs w:val="24"/>
        </w:rPr>
        <w:t xml:space="preserve"> </w:t>
      </w:r>
      <w:r w:rsidR="00023142" w:rsidRPr="00023142">
        <w:rPr>
          <w:rFonts w:ascii="Times New Roman" w:hAnsi="Times New Roman" w:cs="Times New Roman"/>
          <w:sz w:val="24"/>
          <w:szCs w:val="24"/>
        </w:rPr>
        <w:t>é válida.</w:t>
      </w:r>
    </w:p>
    <w:p w:rsidR="00A42F54" w:rsidRDefault="00A42F54" w:rsidP="002B24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F54" w:rsidRDefault="00A42F54" w:rsidP="002B24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975" w:rsidRDefault="00CD7106" w:rsidP="002B24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571">
        <w:rPr>
          <w:rFonts w:ascii="Times New Roman" w:hAnsi="Times New Roman" w:cs="Times New Roman"/>
          <w:b/>
          <w:sz w:val="24"/>
          <w:szCs w:val="24"/>
        </w:rPr>
        <w:t>2. Argumentos:</w:t>
      </w:r>
    </w:p>
    <w:p w:rsidR="00B74FBA" w:rsidRPr="0001659D" w:rsidRDefault="00B74FBA" w:rsidP="002B24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5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2.1- </w:t>
      </w:r>
      <w:r w:rsidR="00023142" w:rsidRPr="0001659D">
        <w:rPr>
          <w:rFonts w:ascii="Times New Roman" w:hAnsi="Times New Roman" w:cs="Times New Roman"/>
          <w:b/>
          <w:sz w:val="24"/>
          <w:szCs w:val="24"/>
        </w:rPr>
        <w:t xml:space="preserve">A incidência do ITBI no caso </w:t>
      </w:r>
      <w:r w:rsidR="00A42F54" w:rsidRPr="0001659D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="00023142" w:rsidRPr="0001659D">
        <w:rPr>
          <w:rFonts w:ascii="Times New Roman" w:hAnsi="Times New Roman" w:cs="Times New Roman"/>
          <w:b/>
          <w:sz w:val="24"/>
          <w:szCs w:val="24"/>
        </w:rPr>
        <w:t>é válida.</w:t>
      </w:r>
    </w:p>
    <w:p w:rsidR="00932F77" w:rsidRDefault="00A42F54" w:rsidP="00D8248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Constituição Federal em seu </w:t>
      </w:r>
      <w:r w:rsidR="00932F77">
        <w:rPr>
          <w:rFonts w:ascii="Times New Roman" w:hAnsi="Times New Roman" w:cs="Times New Roman"/>
          <w:sz w:val="24"/>
          <w:szCs w:val="24"/>
        </w:rPr>
        <w:t>art. 156</w:t>
      </w:r>
      <w:r w:rsidR="0001659D">
        <w:rPr>
          <w:rFonts w:ascii="Times New Roman" w:hAnsi="Times New Roman" w:cs="Times New Roman"/>
          <w:sz w:val="24"/>
          <w:szCs w:val="24"/>
        </w:rPr>
        <w:t>, inc. II,</w:t>
      </w:r>
      <w:r w:rsidR="00932F77">
        <w:rPr>
          <w:rFonts w:ascii="Times New Roman" w:hAnsi="Times New Roman" w:cs="Times New Roman"/>
          <w:sz w:val="24"/>
          <w:szCs w:val="24"/>
        </w:rPr>
        <w:t xml:space="preserve"> institui o chamado ITBI- Imposto de Transmissão de Bens Móveis, sendo este um imposto cuja instituição é de competência dos</w:t>
      </w:r>
      <w:r w:rsidR="00450569">
        <w:rPr>
          <w:rFonts w:ascii="Times New Roman" w:hAnsi="Times New Roman" w:cs="Times New Roman"/>
          <w:sz w:val="24"/>
          <w:szCs w:val="24"/>
        </w:rPr>
        <w:t xml:space="preserve"> municípios e que </w:t>
      </w:r>
      <w:r w:rsidR="00CC2223">
        <w:rPr>
          <w:rFonts w:ascii="Times New Roman" w:hAnsi="Times New Roman" w:cs="Times New Roman"/>
          <w:sz w:val="24"/>
          <w:szCs w:val="24"/>
        </w:rPr>
        <w:t>cujo fato gerador</w:t>
      </w:r>
      <w:r w:rsidR="00450569">
        <w:rPr>
          <w:rFonts w:ascii="Times New Roman" w:hAnsi="Times New Roman" w:cs="Times New Roman"/>
          <w:sz w:val="24"/>
          <w:szCs w:val="24"/>
        </w:rPr>
        <w:t xml:space="preserve"> </w:t>
      </w:r>
      <w:r w:rsidR="00CC2223">
        <w:rPr>
          <w:rFonts w:ascii="Times New Roman" w:hAnsi="Times New Roman" w:cs="Times New Roman"/>
          <w:sz w:val="24"/>
          <w:szCs w:val="24"/>
        </w:rPr>
        <w:t>é</w:t>
      </w:r>
      <w:r w:rsidR="00450569">
        <w:rPr>
          <w:rFonts w:ascii="Times New Roman" w:hAnsi="Times New Roman" w:cs="Times New Roman"/>
          <w:sz w:val="24"/>
          <w:szCs w:val="24"/>
        </w:rPr>
        <w:t xml:space="preserve"> </w:t>
      </w:r>
      <w:r w:rsidR="00CC2223">
        <w:rPr>
          <w:rFonts w:ascii="Times New Roman" w:hAnsi="Times New Roman" w:cs="Times New Roman"/>
          <w:sz w:val="24"/>
          <w:szCs w:val="24"/>
        </w:rPr>
        <w:t>a</w:t>
      </w:r>
      <w:r w:rsidR="00450569">
        <w:rPr>
          <w:rFonts w:ascii="Times New Roman" w:hAnsi="Times New Roman" w:cs="Times New Roman"/>
          <w:sz w:val="24"/>
          <w:szCs w:val="24"/>
        </w:rPr>
        <w:t xml:space="preserve"> transferência </w:t>
      </w:r>
      <w:proofErr w:type="spellStart"/>
      <w:r w:rsidR="00450569">
        <w:rPr>
          <w:rFonts w:ascii="Times New Roman" w:hAnsi="Times New Roman" w:cs="Times New Roman"/>
          <w:i/>
          <w:sz w:val="24"/>
          <w:szCs w:val="24"/>
        </w:rPr>
        <w:t>inter</w:t>
      </w:r>
      <w:proofErr w:type="spellEnd"/>
      <w:r w:rsidR="00450569">
        <w:rPr>
          <w:rFonts w:ascii="Times New Roman" w:hAnsi="Times New Roman" w:cs="Times New Roman"/>
          <w:i/>
          <w:sz w:val="24"/>
          <w:szCs w:val="24"/>
        </w:rPr>
        <w:t xml:space="preserve"> vivos </w:t>
      </w:r>
      <w:r w:rsidR="00450569">
        <w:rPr>
          <w:rFonts w:ascii="Times New Roman" w:hAnsi="Times New Roman" w:cs="Times New Roman"/>
          <w:sz w:val="24"/>
          <w:szCs w:val="24"/>
        </w:rPr>
        <w:t>de bens imóveis a título on</w:t>
      </w:r>
      <w:r w:rsidR="00450569">
        <w:rPr>
          <w:rFonts w:ascii="Times New Roman" w:hAnsi="Times New Roman" w:cs="Times New Roman"/>
          <w:sz w:val="24"/>
          <w:szCs w:val="24"/>
        </w:rPr>
        <w:t>e</w:t>
      </w:r>
      <w:r w:rsidR="00450569">
        <w:rPr>
          <w:rFonts w:ascii="Times New Roman" w:hAnsi="Times New Roman" w:cs="Times New Roman"/>
          <w:sz w:val="24"/>
          <w:szCs w:val="24"/>
        </w:rPr>
        <w:t>roso</w:t>
      </w:r>
      <w:r w:rsidR="00CC2223">
        <w:rPr>
          <w:rFonts w:ascii="Times New Roman" w:hAnsi="Times New Roman" w:cs="Times New Roman"/>
          <w:sz w:val="24"/>
          <w:szCs w:val="24"/>
        </w:rPr>
        <w:t>, ou seja, incide o referido imposto sobre todas</w:t>
      </w:r>
      <w:r w:rsidR="00613AD8">
        <w:rPr>
          <w:rFonts w:ascii="Times New Roman" w:hAnsi="Times New Roman" w:cs="Times New Roman"/>
          <w:sz w:val="24"/>
          <w:szCs w:val="24"/>
        </w:rPr>
        <w:t xml:space="preserve"> as transferências de imóveis efetuadas na modalidade supracitada</w:t>
      </w:r>
      <w:r w:rsidR="00CC222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13AD8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proofErr w:type="gramEnd"/>
    </w:p>
    <w:p w:rsidR="00A42F54" w:rsidRDefault="00450569" w:rsidP="00D8248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Porém, no </w:t>
      </w:r>
      <w:r w:rsidR="00A42F54">
        <w:rPr>
          <w:rFonts w:ascii="Times New Roman" w:hAnsi="Times New Roman" w:cs="Times New Roman"/>
          <w:sz w:val="24"/>
          <w:szCs w:val="24"/>
        </w:rPr>
        <w:t>parágrafo segundo,</w:t>
      </w:r>
      <w:r>
        <w:rPr>
          <w:rFonts w:ascii="Times New Roman" w:hAnsi="Times New Roman" w:cs="Times New Roman"/>
          <w:sz w:val="24"/>
          <w:szCs w:val="24"/>
        </w:rPr>
        <w:t xml:space="preserve"> inciso I do já citado artigo, </w:t>
      </w:r>
      <w:r w:rsidR="00A42F54">
        <w:rPr>
          <w:rFonts w:ascii="Times New Roman" w:hAnsi="Times New Roman" w:cs="Times New Roman"/>
          <w:sz w:val="24"/>
          <w:szCs w:val="24"/>
        </w:rPr>
        <w:t xml:space="preserve">postulou </w:t>
      </w:r>
      <w:r>
        <w:rPr>
          <w:rFonts w:ascii="Times New Roman" w:hAnsi="Times New Roman" w:cs="Times New Roman"/>
          <w:sz w:val="24"/>
          <w:szCs w:val="24"/>
        </w:rPr>
        <w:t xml:space="preserve">o legislador </w:t>
      </w:r>
      <w:r w:rsidR="00A42F54">
        <w:rPr>
          <w:rFonts w:ascii="Times New Roman" w:hAnsi="Times New Roman" w:cs="Times New Roman"/>
          <w:sz w:val="24"/>
          <w:szCs w:val="24"/>
        </w:rPr>
        <w:t xml:space="preserve">de maneira clara a imunidade tributária, entendendo-se tal imunidade como a impossibilidade fixada pelo Poder Constituinte de determinadas matérias </w:t>
      </w:r>
      <w:proofErr w:type="gramStart"/>
      <w:r w:rsidR="00A42F54">
        <w:rPr>
          <w:rFonts w:ascii="Times New Roman" w:hAnsi="Times New Roman" w:cs="Times New Roman"/>
          <w:sz w:val="24"/>
          <w:szCs w:val="24"/>
        </w:rPr>
        <w:t>serem</w:t>
      </w:r>
      <w:proofErr w:type="gramEnd"/>
      <w:r w:rsidR="00A42F54">
        <w:rPr>
          <w:rFonts w:ascii="Times New Roman" w:hAnsi="Times New Roman" w:cs="Times New Roman"/>
          <w:sz w:val="24"/>
          <w:szCs w:val="24"/>
        </w:rPr>
        <w:t xml:space="preserve"> alvo de tributação pelo Poder Público</w:t>
      </w:r>
      <w:r w:rsidR="00846149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A42F54">
        <w:rPr>
          <w:rFonts w:ascii="Times New Roman" w:hAnsi="Times New Roman" w:cs="Times New Roman"/>
          <w:sz w:val="24"/>
          <w:szCs w:val="24"/>
        </w:rPr>
        <w:t xml:space="preserve">, </w:t>
      </w:r>
      <w:r w:rsidR="00846149">
        <w:rPr>
          <w:rFonts w:ascii="Times New Roman" w:hAnsi="Times New Roman" w:cs="Times New Roman"/>
          <w:sz w:val="24"/>
          <w:szCs w:val="24"/>
        </w:rPr>
        <w:t>quanto a incidência do ITBI sobre bens imóveis utilizados para promover a integr</w:t>
      </w:r>
      <w:r w:rsidR="00846149">
        <w:rPr>
          <w:rFonts w:ascii="Times New Roman" w:hAnsi="Times New Roman" w:cs="Times New Roman"/>
          <w:sz w:val="24"/>
          <w:szCs w:val="24"/>
        </w:rPr>
        <w:t>a</w:t>
      </w:r>
      <w:r w:rsidR="00846149">
        <w:rPr>
          <w:rFonts w:ascii="Times New Roman" w:hAnsi="Times New Roman" w:cs="Times New Roman"/>
          <w:sz w:val="24"/>
          <w:szCs w:val="24"/>
        </w:rPr>
        <w:t>lização do capital social de determinada empresa.</w:t>
      </w:r>
    </w:p>
    <w:p w:rsidR="00846149" w:rsidRDefault="00846149" w:rsidP="00D8248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imunidade, porém, não é absoluta</w:t>
      </w:r>
      <w:r w:rsidR="0053506E">
        <w:rPr>
          <w:rFonts w:ascii="Times New Roman" w:hAnsi="Times New Roman" w:cs="Times New Roman"/>
          <w:sz w:val="24"/>
          <w:szCs w:val="24"/>
        </w:rPr>
        <w:t xml:space="preserve">, encontrando limitações no texto do artigo 37 do Código </w:t>
      </w:r>
      <w:r w:rsidR="009B5C00">
        <w:rPr>
          <w:rFonts w:ascii="Times New Roman" w:hAnsi="Times New Roman" w:cs="Times New Roman"/>
          <w:sz w:val="24"/>
          <w:szCs w:val="24"/>
        </w:rPr>
        <w:t>Tributário Nacional;</w:t>
      </w:r>
      <w:r w:rsidR="0053506E">
        <w:rPr>
          <w:rFonts w:ascii="Times New Roman" w:hAnsi="Times New Roman" w:cs="Times New Roman"/>
          <w:sz w:val="24"/>
          <w:szCs w:val="24"/>
        </w:rPr>
        <w:t xml:space="preserve"> tal </w:t>
      </w:r>
      <w:r w:rsidR="009B5C00">
        <w:rPr>
          <w:rFonts w:ascii="Times New Roman" w:hAnsi="Times New Roman" w:cs="Times New Roman"/>
          <w:sz w:val="24"/>
          <w:szCs w:val="24"/>
        </w:rPr>
        <w:t>limitação é</w:t>
      </w:r>
      <w:r w:rsidR="0053506E">
        <w:rPr>
          <w:rFonts w:ascii="Times New Roman" w:hAnsi="Times New Roman" w:cs="Times New Roman"/>
          <w:sz w:val="24"/>
          <w:szCs w:val="24"/>
        </w:rPr>
        <w:t xml:space="preserve"> rela</w:t>
      </w:r>
      <w:r w:rsidR="00932F77">
        <w:rPr>
          <w:rFonts w:ascii="Times New Roman" w:hAnsi="Times New Roman" w:cs="Times New Roman"/>
          <w:sz w:val="24"/>
          <w:szCs w:val="24"/>
        </w:rPr>
        <w:t>tiva àquelas empresas que possua</w:t>
      </w:r>
      <w:r w:rsidR="0053506E">
        <w:rPr>
          <w:rFonts w:ascii="Times New Roman" w:hAnsi="Times New Roman" w:cs="Times New Roman"/>
          <w:sz w:val="24"/>
          <w:szCs w:val="24"/>
        </w:rPr>
        <w:t>m c</w:t>
      </w:r>
      <w:r w:rsidR="0053506E">
        <w:rPr>
          <w:rFonts w:ascii="Times New Roman" w:hAnsi="Times New Roman" w:cs="Times New Roman"/>
          <w:sz w:val="24"/>
          <w:szCs w:val="24"/>
        </w:rPr>
        <w:t>o</w:t>
      </w:r>
      <w:r w:rsidR="0053506E">
        <w:rPr>
          <w:rFonts w:ascii="Times New Roman" w:hAnsi="Times New Roman" w:cs="Times New Roman"/>
          <w:sz w:val="24"/>
          <w:szCs w:val="24"/>
        </w:rPr>
        <w:t xml:space="preserve">mo </w:t>
      </w:r>
      <w:r w:rsidR="00932F77">
        <w:rPr>
          <w:rFonts w:ascii="Times New Roman" w:hAnsi="Times New Roman" w:cs="Times New Roman"/>
          <w:sz w:val="24"/>
          <w:szCs w:val="24"/>
        </w:rPr>
        <w:t>atividade preponderante negócios</w:t>
      </w:r>
      <w:proofErr w:type="gramStart"/>
      <w:r w:rsidR="00932F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32F77">
        <w:rPr>
          <w:rFonts w:ascii="Times New Roman" w:hAnsi="Times New Roman" w:cs="Times New Roman"/>
          <w:sz w:val="24"/>
          <w:szCs w:val="24"/>
        </w:rPr>
        <w:t>no ramo imobiliário, ou seja,  empresas que trabalham com</w:t>
      </w:r>
      <w:r w:rsidR="009B5C00">
        <w:rPr>
          <w:rFonts w:ascii="Times New Roman" w:hAnsi="Times New Roman" w:cs="Times New Roman"/>
          <w:sz w:val="24"/>
          <w:szCs w:val="24"/>
        </w:rPr>
        <w:t xml:space="preserve"> </w:t>
      </w:r>
      <w:r w:rsidR="00932F77">
        <w:rPr>
          <w:rFonts w:ascii="Times New Roman" w:hAnsi="Times New Roman" w:cs="Times New Roman"/>
          <w:sz w:val="24"/>
          <w:szCs w:val="24"/>
        </w:rPr>
        <w:t>a  compra, venda e outros negócios referentes a imóveis. O parágrafo primeiro do supr</w:t>
      </w:r>
      <w:r w:rsidR="00932F77">
        <w:rPr>
          <w:rFonts w:ascii="Times New Roman" w:hAnsi="Times New Roman" w:cs="Times New Roman"/>
          <w:sz w:val="24"/>
          <w:szCs w:val="24"/>
        </w:rPr>
        <w:t>a</w:t>
      </w:r>
      <w:r w:rsidR="00932F77">
        <w:rPr>
          <w:rFonts w:ascii="Times New Roman" w:hAnsi="Times New Roman" w:cs="Times New Roman"/>
          <w:sz w:val="24"/>
          <w:szCs w:val="24"/>
        </w:rPr>
        <w:t xml:space="preserve">citado artigo dispõe sobre o que deve ser </w:t>
      </w:r>
      <w:r w:rsidR="009B5C00">
        <w:rPr>
          <w:rFonts w:ascii="Times New Roman" w:hAnsi="Times New Roman" w:cs="Times New Roman"/>
          <w:sz w:val="24"/>
          <w:szCs w:val="24"/>
        </w:rPr>
        <w:t>entendido</w:t>
      </w:r>
      <w:r w:rsidR="00932F77">
        <w:rPr>
          <w:rFonts w:ascii="Times New Roman" w:hAnsi="Times New Roman" w:cs="Times New Roman"/>
          <w:sz w:val="24"/>
          <w:szCs w:val="24"/>
        </w:rPr>
        <w:t xml:space="preserve"> como atividade preponderante, sendo tal atividade aquela que constituiu 50%</w:t>
      </w:r>
      <w:proofErr w:type="gramStart"/>
      <w:r w:rsidR="00932F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32F77">
        <w:rPr>
          <w:rFonts w:ascii="Times New Roman" w:hAnsi="Times New Roman" w:cs="Times New Roman"/>
          <w:sz w:val="24"/>
          <w:szCs w:val="24"/>
        </w:rPr>
        <w:t>das receitas nos dois anos anteriores e também  nos dois anos subsequentes</w:t>
      </w:r>
      <w:r w:rsidR="009B5C00">
        <w:rPr>
          <w:rFonts w:ascii="Times New Roman" w:hAnsi="Times New Roman" w:cs="Times New Roman"/>
          <w:sz w:val="24"/>
          <w:szCs w:val="24"/>
        </w:rPr>
        <w:t xml:space="preserve"> da empresa em análise</w:t>
      </w:r>
      <w:r w:rsidR="00932F77">
        <w:rPr>
          <w:rFonts w:ascii="Times New Roman" w:hAnsi="Times New Roman" w:cs="Times New Roman"/>
          <w:sz w:val="24"/>
          <w:szCs w:val="24"/>
        </w:rPr>
        <w:t>.</w:t>
      </w:r>
      <w:r w:rsidR="00932F77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932F77">
        <w:rPr>
          <w:rFonts w:ascii="Times New Roman" w:hAnsi="Times New Roman" w:cs="Times New Roman"/>
          <w:sz w:val="24"/>
          <w:szCs w:val="24"/>
        </w:rPr>
        <w:t xml:space="preserve"> </w:t>
      </w:r>
      <w:r w:rsidR="00932F77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932F77">
        <w:rPr>
          <w:rFonts w:ascii="Times New Roman" w:hAnsi="Times New Roman" w:cs="Times New Roman"/>
          <w:sz w:val="24"/>
          <w:szCs w:val="24"/>
        </w:rPr>
        <w:t xml:space="preserve"> Portanto, conclui-se que</w:t>
      </w:r>
      <w:r w:rsidR="00450569">
        <w:rPr>
          <w:rFonts w:ascii="Times New Roman" w:hAnsi="Times New Roman" w:cs="Times New Roman"/>
          <w:sz w:val="24"/>
          <w:szCs w:val="24"/>
        </w:rPr>
        <w:t xml:space="preserve"> os bens imóveis utiliz</w:t>
      </w:r>
      <w:r w:rsidR="00450569">
        <w:rPr>
          <w:rFonts w:ascii="Times New Roman" w:hAnsi="Times New Roman" w:cs="Times New Roman"/>
          <w:sz w:val="24"/>
          <w:szCs w:val="24"/>
        </w:rPr>
        <w:t>a</w:t>
      </w:r>
      <w:r w:rsidR="00450569">
        <w:rPr>
          <w:rFonts w:ascii="Times New Roman" w:hAnsi="Times New Roman" w:cs="Times New Roman"/>
          <w:sz w:val="24"/>
          <w:szCs w:val="24"/>
        </w:rPr>
        <w:t>dos para a promoção da integralização do capital social de uma empresa não podem ser alca</w:t>
      </w:r>
      <w:r w:rsidR="00450569">
        <w:rPr>
          <w:rFonts w:ascii="Times New Roman" w:hAnsi="Times New Roman" w:cs="Times New Roman"/>
          <w:sz w:val="24"/>
          <w:szCs w:val="24"/>
        </w:rPr>
        <w:t>n</w:t>
      </w:r>
      <w:r w:rsidR="00450569">
        <w:rPr>
          <w:rFonts w:ascii="Times New Roman" w:hAnsi="Times New Roman" w:cs="Times New Roman"/>
          <w:sz w:val="24"/>
          <w:szCs w:val="24"/>
        </w:rPr>
        <w:t>çados pelo ITBI salvo nos casos onde a empresa  cujo capital está sendo integralizado atue preponderantemente na área imobiliária.</w:t>
      </w:r>
    </w:p>
    <w:p w:rsidR="00450569" w:rsidRDefault="00450569" w:rsidP="00D8248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Pois bem, após analisadas as particularidades do caso em tela bem como feita uma interpretação exegética dos dispositivos constitucionais e infraconstitucionais supracitados percebe-se </w:t>
      </w:r>
      <w:r w:rsidR="00284716">
        <w:rPr>
          <w:rFonts w:ascii="Times New Roman" w:hAnsi="Times New Roman" w:cs="Times New Roman"/>
          <w:sz w:val="24"/>
          <w:szCs w:val="24"/>
        </w:rPr>
        <w:t xml:space="preserve">que não há ressalva alguma feita nos referidos dispositivos quanto a não incidência </w:t>
      </w:r>
      <w:r w:rsidR="00284716">
        <w:rPr>
          <w:rFonts w:ascii="Times New Roman" w:hAnsi="Times New Roman" w:cs="Times New Roman"/>
          <w:sz w:val="24"/>
          <w:szCs w:val="24"/>
        </w:rPr>
        <w:lastRenderedPageBreak/>
        <w:t>do ITBI nos casos onde o valor do imóvel a ser utilizado para a integralização superar o valor da cota do capital social a ser integralizada.</w:t>
      </w:r>
    </w:p>
    <w:p w:rsidR="00284716" w:rsidRDefault="00284716" w:rsidP="00D8248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tem-se que, ainda que o Código Tributário Nacional tenha </w:t>
      </w:r>
      <w:r w:rsidR="000B0D48">
        <w:rPr>
          <w:rFonts w:ascii="Times New Roman" w:hAnsi="Times New Roman" w:cs="Times New Roman"/>
          <w:sz w:val="24"/>
          <w:szCs w:val="24"/>
        </w:rPr>
        <w:t>estipulado e</w:t>
      </w:r>
      <w:r w:rsidR="000B0D48">
        <w:rPr>
          <w:rFonts w:ascii="Times New Roman" w:hAnsi="Times New Roman" w:cs="Times New Roman"/>
          <w:sz w:val="24"/>
          <w:szCs w:val="24"/>
        </w:rPr>
        <w:t>x</w:t>
      </w:r>
      <w:r w:rsidR="000B0D48">
        <w:rPr>
          <w:rFonts w:ascii="Times New Roman" w:hAnsi="Times New Roman" w:cs="Times New Roman"/>
          <w:sz w:val="24"/>
          <w:szCs w:val="24"/>
        </w:rPr>
        <w:t>ceção à imunidade tributária disposta no art. 156, II, da Lei das Leis, esta exceção não co</w:t>
      </w:r>
      <w:r w:rsidR="000B0D48">
        <w:rPr>
          <w:rFonts w:ascii="Times New Roman" w:hAnsi="Times New Roman" w:cs="Times New Roman"/>
          <w:sz w:val="24"/>
          <w:szCs w:val="24"/>
        </w:rPr>
        <w:t>m</w:t>
      </w:r>
      <w:r w:rsidR="000B0D48">
        <w:rPr>
          <w:rFonts w:ascii="Times New Roman" w:hAnsi="Times New Roman" w:cs="Times New Roman"/>
          <w:sz w:val="24"/>
          <w:szCs w:val="24"/>
        </w:rPr>
        <w:t xml:space="preserve">porta </w:t>
      </w:r>
      <w:r w:rsidR="00381A10">
        <w:rPr>
          <w:rFonts w:ascii="Times New Roman" w:hAnsi="Times New Roman" w:cs="Times New Roman"/>
          <w:sz w:val="24"/>
          <w:szCs w:val="24"/>
        </w:rPr>
        <w:t>nenhuma ressalva quanto</w:t>
      </w:r>
      <w:r w:rsidR="000B0D48">
        <w:rPr>
          <w:rFonts w:ascii="Times New Roman" w:hAnsi="Times New Roman" w:cs="Times New Roman"/>
          <w:sz w:val="24"/>
          <w:szCs w:val="24"/>
        </w:rPr>
        <w:t xml:space="preserve"> </w:t>
      </w:r>
      <w:r w:rsidR="00381A10">
        <w:rPr>
          <w:rFonts w:ascii="Times New Roman" w:hAnsi="Times New Roman" w:cs="Times New Roman"/>
          <w:sz w:val="24"/>
          <w:szCs w:val="24"/>
        </w:rPr>
        <w:t>a</w:t>
      </w:r>
      <w:r w:rsidR="000B0D48">
        <w:rPr>
          <w:rFonts w:ascii="Times New Roman" w:hAnsi="Times New Roman" w:cs="Times New Roman"/>
          <w:sz w:val="24"/>
          <w:szCs w:val="24"/>
        </w:rPr>
        <w:t>o</w:t>
      </w:r>
      <w:r w:rsidR="00381A10">
        <w:rPr>
          <w:rFonts w:ascii="Times New Roman" w:hAnsi="Times New Roman" w:cs="Times New Roman"/>
          <w:sz w:val="24"/>
          <w:szCs w:val="24"/>
        </w:rPr>
        <w:t>s casos onde</w:t>
      </w:r>
      <w:r w:rsidR="000B0D48">
        <w:rPr>
          <w:rFonts w:ascii="Times New Roman" w:hAnsi="Times New Roman" w:cs="Times New Roman"/>
          <w:sz w:val="24"/>
          <w:szCs w:val="24"/>
        </w:rPr>
        <w:t xml:space="preserve"> valor do bem exceder o </w:t>
      </w:r>
      <w:r w:rsidR="00381A10">
        <w:rPr>
          <w:rFonts w:ascii="Times New Roman" w:hAnsi="Times New Roman" w:cs="Times New Roman"/>
          <w:sz w:val="24"/>
          <w:szCs w:val="24"/>
        </w:rPr>
        <w:t xml:space="preserve">valor do </w:t>
      </w:r>
      <w:r w:rsidR="000B0D48">
        <w:rPr>
          <w:rFonts w:ascii="Times New Roman" w:hAnsi="Times New Roman" w:cs="Times New Roman"/>
          <w:sz w:val="24"/>
          <w:szCs w:val="24"/>
        </w:rPr>
        <w:t>capital a ser integralizado, não havendo, portanto, motivo algum sob a égide do Direito nacional para que no caso concreto estudado haja a incidência do ITBI.</w:t>
      </w:r>
    </w:p>
    <w:p w:rsidR="002D1DD0" w:rsidRPr="0001659D" w:rsidRDefault="00B74FBA" w:rsidP="002B24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59D">
        <w:rPr>
          <w:rFonts w:ascii="Times New Roman" w:hAnsi="Times New Roman" w:cs="Times New Roman"/>
          <w:b/>
          <w:sz w:val="24"/>
          <w:szCs w:val="24"/>
        </w:rPr>
        <w:t xml:space="preserve">2.2- </w:t>
      </w:r>
      <w:r w:rsidR="00023142" w:rsidRPr="0001659D">
        <w:rPr>
          <w:rFonts w:ascii="Times New Roman" w:hAnsi="Times New Roman" w:cs="Times New Roman"/>
          <w:b/>
          <w:sz w:val="24"/>
          <w:szCs w:val="24"/>
        </w:rPr>
        <w:t>A incidência do ITBI no caso é válida.</w:t>
      </w:r>
    </w:p>
    <w:p w:rsidR="00290DED" w:rsidRDefault="00290DED" w:rsidP="008706E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Primeiramente, faz-se oportuno efetuar um estudo acerca da regra matriz do 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posto estudado, regra matriz esta que, conforme lição de Aurora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Tomazini</w:t>
      </w:r>
      <w:proofErr w:type="spellEnd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proofErr w:type="gramStart"/>
      <w:r>
        <w:rPr>
          <w:rFonts w:ascii="Times New Roman" w:hAnsi="Times New Roman" w:cs="Times New Roman"/>
          <w:sz w:val="24"/>
          <w:szCs w:val="24"/>
        </w:rPr>
        <w:t>, 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uma regra geral e abstrata que </w:t>
      </w:r>
      <w:r w:rsidR="00D8248A">
        <w:rPr>
          <w:rFonts w:ascii="Times New Roman" w:hAnsi="Times New Roman" w:cs="Times New Roman"/>
          <w:sz w:val="24"/>
          <w:szCs w:val="24"/>
        </w:rPr>
        <w:t>detém</w:t>
      </w:r>
      <w:r>
        <w:rPr>
          <w:rFonts w:ascii="Times New Roman" w:hAnsi="Times New Roman" w:cs="Times New Roman"/>
          <w:sz w:val="24"/>
          <w:szCs w:val="24"/>
        </w:rPr>
        <w:t xml:space="preserve"> a possibilidade de ser aplicada nos casos concretos das mais diferentes áre</w:t>
      </w:r>
      <w:r w:rsidR="009408AD">
        <w:rPr>
          <w:rFonts w:ascii="Times New Roman" w:hAnsi="Times New Roman" w:cs="Times New Roman"/>
          <w:sz w:val="24"/>
          <w:szCs w:val="24"/>
        </w:rPr>
        <w:t xml:space="preserve">as do direito, como por exemplo, no direito tributário, sendo tal regra constituída por uma relação de hipótese, por sua vez constituídas de critérios materiais, espaciais e temporais, e consequência, constituída de um critério pessoal e um critério </w:t>
      </w:r>
      <w:proofErr w:type="spellStart"/>
      <w:r w:rsidR="009408AD">
        <w:rPr>
          <w:rFonts w:ascii="Times New Roman" w:hAnsi="Times New Roman" w:cs="Times New Roman"/>
          <w:sz w:val="24"/>
          <w:szCs w:val="24"/>
        </w:rPr>
        <w:t>prestacional</w:t>
      </w:r>
      <w:proofErr w:type="spellEnd"/>
      <w:r w:rsidR="00D8248A">
        <w:rPr>
          <w:rFonts w:ascii="Times New Roman" w:hAnsi="Times New Roman" w:cs="Times New Roman"/>
          <w:sz w:val="24"/>
          <w:szCs w:val="24"/>
        </w:rPr>
        <w:t>, ou seja, que d</w:t>
      </w:r>
      <w:r w:rsidR="00D8248A">
        <w:rPr>
          <w:rFonts w:ascii="Times New Roman" w:hAnsi="Times New Roman" w:cs="Times New Roman"/>
          <w:sz w:val="24"/>
          <w:szCs w:val="24"/>
        </w:rPr>
        <w:t>e</w:t>
      </w:r>
      <w:r w:rsidR="00D8248A">
        <w:rPr>
          <w:rFonts w:ascii="Times New Roman" w:hAnsi="Times New Roman" w:cs="Times New Roman"/>
          <w:sz w:val="24"/>
          <w:szCs w:val="24"/>
        </w:rPr>
        <w:t>termina algo que deva ser efetuado.</w:t>
      </w:r>
    </w:p>
    <w:p w:rsidR="009408AD" w:rsidRDefault="009408AD" w:rsidP="008706E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Trazendo o conceito de regra matriz para o ITBI, tem-se que, no que toca a hip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tese, o critério material do referido imposto é</w:t>
      </w:r>
      <w:r w:rsidR="00DD409F">
        <w:rPr>
          <w:rFonts w:ascii="Times New Roman" w:hAnsi="Times New Roman" w:cs="Times New Roman"/>
          <w:sz w:val="24"/>
          <w:szCs w:val="24"/>
        </w:rPr>
        <w:t xml:space="preserve"> transferir bem imóvel por meio de ato </w:t>
      </w:r>
      <w:proofErr w:type="spellStart"/>
      <w:proofErr w:type="gramStart"/>
      <w:r w:rsidR="00DD409F">
        <w:rPr>
          <w:rFonts w:ascii="Times New Roman" w:hAnsi="Times New Roman" w:cs="Times New Roman"/>
          <w:i/>
          <w:sz w:val="24"/>
          <w:szCs w:val="24"/>
        </w:rPr>
        <w:t>inter</w:t>
      </w:r>
      <w:proofErr w:type="spellEnd"/>
      <w:r w:rsidR="00DD409F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DD409F">
        <w:rPr>
          <w:rFonts w:ascii="Times New Roman" w:hAnsi="Times New Roman" w:cs="Times New Roman"/>
          <w:i/>
          <w:sz w:val="24"/>
          <w:szCs w:val="24"/>
        </w:rPr>
        <w:t>i</w:t>
      </w:r>
      <w:r w:rsidR="00DD409F">
        <w:rPr>
          <w:rFonts w:ascii="Times New Roman" w:hAnsi="Times New Roman" w:cs="Times New Roman"/>
          <w:i/>
          <w:sz w:val="24"/>
          <w:szCs w:val="24"/>
        </w:rPr>
        <w:t>vos</w:t>
      </w:r>
      <w:proofErr w:type="gramEnd"/>
      <w:r w:rsidR="00DD409F">
        <w:rPr>
          <w:rFonts w:ascii="Times New Roman" w:hAnsi="Times New Roman" w:cs="Times New Roman"/>
          <w:sz w:val="24"/>
          <w:szCs w:val="24"/>
        </w:rPr>
        <w:t>; o critério espacial, por sua vez, é territorial, ou seja, tem vigência em todo território m</w:t>
      </w:r>
      <w:r w:rsidR="00DD409F">
        <w:rPr>
          <w:rFonts w:ascii="Times New Roman" w:hAnsi="Times New Roman" w:cs="Times New Roman"/>
          <w:sz w:val="24"/>
          <w:szCs w:val="24"/>
        </w:rPr>
        <w:t>u</w:t>
      </w:r>
      <w:r w:rsidR="00DD409F">
        <w:rPr>
          <w:rFonts w:ascii="Times New Roman" w:hAnsi="Times New Roman" w:cs="Times New Roman"/>
          <w:sz w:val="24"/>
          <w:szCs w:val="24"/>
        </w:rPr>
        <w:t xml:space="preserve">nicipal, </w:t>
      </w:r>
      <w:r w:rsidR="00D8248A">
        <w:rPr>
          <w:rFonts w:ascii="Times New Roman" w:hAnsi="Times New Roman" w:cs="Times New Roman"/>
          <w:sz w:val="24"/>
          <w:szCs w:val="24"/>
        </w:rPr>
        <w:t>já que</w:t>
      </w:r>
      <w:r w:rsidR="00DD409F">
        <w:rPr>
          <w:rFonts w:ascii="Times New Roman" w:hAnsi="Times New Roman" w:cs="Times New Roman"/>
          <w:sz w:val="24"/>
          <w:szCs w:val="24"/>
        </w:rPr>
        <w:t>, por conta d</w:t>
      </w:r>
      <w:r w:rsidR="00D8248A">
        <w:rPr>
          <w:rFonts w:ascii="Times New Roman" w:hAnsi="Times New Roman" w:cs="Times New Roman"/>
          <w:sz w:val="24"/>
          <w:szCs w:val="24"/>
        </w:rPr>
        <w:t>o fato de que</w:t>
      </w:r>
      <w:r w:rsidR="00DD409F">
        <w:rPr>
          <w:rFonts w:ascii="Times New Roman" w:hAnsi="Times New Roman" w:cs="Times New Roman"/>
          <w:sz w:val="24"/>
          <w:szCs w:val="24"/>
        </w:rPr>
        <w:t xml:space="preserve"> a lei que dispõe sobre o referido tributo ser municipal, esta vigora apenas no território do município que a elaborou</w:t>
      </w:r>
      <w:r w:rsidR="00DD409F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DD409F">
        <w:rPr>
          <w:rFonts w:ascii="Times New Roman" w:hAnsi="Times New Roman" w:cs="Times New Roman"/>
          <w:sz w:val="24"/>
          <w:szCs w:val="24"/>
        </w:rPr>
        <w:t>. Quanto ao critério temporal</w:t>
      </w:r>
      <w:r w:rsidR="000D7C4B">
        <w:rPr>
          <w:rFonts w:ascii="Times New Roman" w:hAnsi="Times New Roman" w:cs="Times New Roman"/>
          <w:sz w:val="24"/>
          <w:szCs w:val="24"/>
        </w:rPr>
        <w:t xml:space="preserve"> tem-se que este é o momento da tradição. No que diz respeito às consequências, tem-se que o</w:t>
      </w:r>
      <w:r w:rsidR="00F97F78">
        <w:rPr>
          <w:rFonts w:ascii="Times New Roman" w:hAnsi="Times New Roman" w:cs="Times New Roman"/>
          <w:sz w:val="24"/>
          <w:szCs w:val="24"/>
        </w:rPr>
        <w:t xml:space="preserve"> sujeito ativo do</w:t>
      </w:r>
      <w:r w:rsidR="000D7C4B">
        <w:rPr>
          <w:rFonts w:ascii="Times New Roman" w:hAnsi="Times New Roman" w:cs="Times New Roman"/>
          <w:sz w:val="24"/>
          <w:szCs w:val="24"/>
        </w:rPr>
        <w:t xml:space="preserve"> critério pessoal, con</w:t>
      </w:r>
      <w:r w:rsidR="00F97F78">
        <w:rPr>
          <w:rFonts w:ascii="Times New Roman" w:hAnsi="Times New Roman" w:cs="Times New Roman"/>
          <w:sz w:val="24"/>
          <w:szCs w:val="24"/>
        </w:rPr>
        <w:t xml:space="preserve">forme disposto no texto do </w:t>
      </w:r>
      <w:r w:rsidR="00F97F78" w:rsidRPr="00F97F78">
        <w:rPr>
          <w:rFonts w:ascii="Times New Roman" w:hAnsi="Times New Roman" w:cs="Times New Roman"/>
          <w:sz w:val="24"/>
          <w:szCs w:val="24"/>
        </w:rPr>
        <w:t xml:space="preserve">Decreto </w:t>
      </w:r>
      <w:r w:rsidR="00F97F78">
        <w:rPr>
          <w:rFonts w:ascii="Times New Roman" w:hAnsi="Times New Roman" w:cs="Times New Roman"/>
          <w:sz w:val="24"/>
          <w:szCs w:val="24"/>
        </w:rPr>
        <w:t>n</w:t>
      </w:r>
      <w:r w:rsidR="00F97F78" w:rsidRPr="00F97F78">
        <w:rPr>
          <w:rFonts w:ascii="Times New Roman" w:hAnsi="Times New Roman" w:cs="Times New Roman"/>
          <w:sz w:val="24"/>
          <w:szCs w:val="24"/>
        </w:rPr>
        <w:t xml:space="preserve">. º 33.144, </w:t>
      </w:r>
      <w:r w:rsidR="00F97F78">
        <w:rPr>
          <w:rFonts w:ascii="Times New Roman" w:hAnsi="Times New Roman" w:cs="Times New Roman"/>
          <w:sz w:val="24"/>
          <w:szCs w:val="24"/>
        </w:rPr>
        <w:t>de</w:t>
      </w:r>
      <w:r w:rsidR="00F97F78" w:rsidRPr="00F97F78">
        <w:rPr>
          <w:rFonts w:ascii="Times New Roman" w:hAnsi="Times New Roman" w:cs="Times New Roman"/>
          <w:sz w:val="24"/>
          <w:szCs w:val="24"/>
        </w:rPr>
        <w:t xml:space="preserve"> 28 de dezembro de </w:t>
      </w:r>
      <w:proofErr w:type="gramStart"/>
      <w:r w:rsidR="00F97F78" w:rsidRPr="00F97F78">
        <w:rPr>
          <w:rFonts w:ascii="Times New Roman" w:hAnsi="Times New Roman" w:cs="Times New Roman"/>
          <w:sz w:val="24"/>
          <w:szCs w:val="24"/>
        </w:rPr>
        <w:t>2007</w:t>
      </w:r>
      <w:r w:rsidR="00F97F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97F78">
        <w:rPr>
          <w:rFonts w:ascii="Times New Roman" w:hAnsi="Times New Roman" w:cs="Times New Roman"/>
          <w:sz w:val="24"/>
          <w:szCs w:val="24"/>
        </w:rPr>
        <w:t xml:space="preserve"> é o poder público municipal, enquanto o sujeito passivo, ou seja, aquele sobre quem incide a obrigação tributária, é, por determinação do art. 208 do referido decreto, a pessoa que adquire os bens, sendo, no caso em tela, a empresa Heavy Metal S/A;</w:t>
      </w:r>
      <w:r w:rsidR="00A2760B">
        <w:rPr>
          <w:rFonts w:ascii="Times New Roman" w:hAnsi="Times New Roman" w:cs="Times New Roman"/>
          <w:sz w:val="24"/>
          <w:szCs w:val="24"/>
        </w:rPr>
        <w:t xml:space="preserve"> por fim, o critério </w:t>
      </w:r>
      <w:proofErr w:type="spellStart"/>
      <w:r w:rsidR="00A2760B">
        <w:rPr>
          <w:rFonts w:ascii="Times New Roman" w:hAnsi="Times New Roman" w:cs="Times New Roman"/>
          <w:sz w:val="24"/>
          <w:szCs w:val="24"/>
        </w:rPr>
        <w:t>prestacional</w:t>
      </w:r>
      <w:proofErr w:type="spellEnd"/>
      <w:r w:rsidR="00A2760B">
        <w:rPr>
          <w:rFonts w:ascii="Times New Roman" w:hAnsi="Times New Roman" w:cs="Times New Roman"/>
          <w:sz w:val="24"/>
          <w:szCs w:val="24"/>
        </w:rPr>
        <w:t xml:space="preserve"> é a quantia devida pelo contribuinte supracitado, quantia esta calculada por meio da base de cálculo e alíquotas dispostas em lei.</w:t>
      </w:r>
    </w:p>
    <w:p w:rsidR="00BA423A" w:rsidRDefault="0089504A" w:rsidP="008706E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8706E1">
        <w:rPr>
          <w:rFonts w:ascii="Times New Roman" w:hAnsi="Times New Roman" w:cs="Times New Roman"/>
          <w:sz w:val="24"/>
          <w:szCs w:val="24"/>
        </w:rPr>
        <w:t xml:space="preserve">que toca propriamente ao </w:t>
      </w:r>
      <w:r>
        <w:rPr>
          <w:rFonts w:ascii="Times New Roman" w:hAnsi="Times New Roman" w:cs="Times New Roman"/>
          <w:sz w:val="24"/>
          <w:szCs w:val="24"/>
        </w:rPr>
        <w:t xml:space="preserve">caso estudado, deve-se efetuar não uma </w:t>
      </w:r>
      <w:r w:rsidR="00BA423A">
        <w:rPr>
          <w:rFonts w:ascii="Times New Roman" w:hAnsi="Times New Roman" w:cs="Times New Roman"/>
          <w:sz w:val="24"/>
          <w:szCs w:val="24"/>
        </w:rPr>
        <w:t xml:space="preserve">mera </w:t>
      </w:r>
      <w:r>
        <w:rPr>
          <w:rFonts w:ascii="Times New Roman" w:hAnsi="Times New Roman" w:cs="Times New Roman"/>
          <w:sz w:val="24"/>
          <w:szCs w:val="24"/>
        </w:rPr>
        <w:t>inte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pretação exegética, mas sim uma interpretação teleológica</w:t>
      </w:r>
      <w:r w:rsidR="00BA423A">
        <w:rPr>
          <w:rFonts w:ascii="Times New Roman" w:hAnsi="Times New Roman" w:cs="Times New Roman"/>
          <w:sz w:val="24"/>
          <w:szCs w:val="24"/>
        </w:rPr>
        <w:t xml:space="preserve">, sendo esta aquela que leva em </w:t>
      </w:r>
      <w:r w:rsidR="00BA423A">
        <w:rPr>
          <w:rFonts w:ascii="Times New Roman" w:hAnsi="Times New Roman" w:cs="Times New Roman"/>
          <w:sz w:val="24"/>
          <w:szCs w:val="24"/>
        </w:rPr>
        <w:lastRenderedPageBreak/>
        <w:t xml:space="preserve">conta a intenção e os valores tidos pelo legislador à época da elaboração do texto normativo, </w:t>
      </w:r>
      <w:r w:rsidR="00BA423A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da norma constitucional positivada no já citado art. 156</w:t>
      </w:r>
      <w:r w:rsidR="00BA423A">
        <w:rPr>
          <w:rFonts w:ascii="Times New Roman" w:hAnsi="Times New Roman" w:cs="Times New Roman"/>
          <w:sz w:val="24"/>
          <w:szCs w:val="24"/>
        </w:rPr>
        <w:t>.</w:t>
      </w:r>
    </w:p>
    <w:p w:rsidR="00F4682F" w:rsidRDefault="00BA423A" w:rsidP="008706E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tomando como base a referida interpretação teleológica, é possível vi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lumbrar que a </w:t>
      </w:r>
      <w:r>
        <w:rPr>
          <w:rFonts w:ascii="Times New Roman" w:hAnsi="Times New Roman" w:cs="Times New Roman"/>
          <w:i/>
          <w:sz w:val="24"/>
          <w:szCs w:val="24"/>
        </w:rPr>
        <w:t>intentio legis</w:t>
      </w:r>
      <w:r>
        <w:rPr>
          <w:rFonts w:ascii="Times New Roman" w:hAnsi="Times New Roman" w:cs="Times New Roman"/>
          <w:sz w:val="24"/>
          <w:szCs w:val="24"/>
        </w:rPr>
        <w:t xml:space="preserve"> contida no </w:t>
      </w:r>
      <w:r w:rsidR="00F4682F">
        <w:rPr>
          <w:rFonts w:ascii="Times New Roman" w:hAnsi="Times New Roman" w:cs="Times New Roman"/>
          <w:sz w:val="24"/>
          <w:szCs w:val="24"/>
        </w:rPr>
        <w:t>supracitado</w:t>
      </w:r>
      <w:r>
        <w:rPr>
          <w:rFonts w:ascii="Times New Roman" w:hAnsi="Times New Roman" w:cs="Times New Roman"/>
          <w:sz w:val="24"/>
          <w:szCs w:val="24"/>
        </w:rPr>
        <w:t xml:space="preserve"> dispositivo constitucional diz respeito ao encorajamento da criação</w:t>
      </w:r>
      <w:r w:rsidR="00F4682F">
        <w:rPr>
          <w:rFonts w:ascii="Times New Roman" w:hAnsi="Times New Roman" w:cs="Times New Roman"/>
          <w:sz w:val="24"/>
          <w:szCs w:val="24"/>
        </w:rPr>
        <w:t xml:space="preserve"> de sociedades empresárias por meio da não incidência do ITBI nos casos descritos e não </w:t>
      </w:r>
      <w:r w:rsidR="00197F4C">
        <w:rPr>
          <w:rFonts w:ascii="Times New Roman" w:hAnsi="Times New Roman" w:cs="Times New Roman"/>
          <w:sz w:val="24"/>
          <w:szCs w:val="24"/>
        </w:rPr>
        <w:t>a</w:t>
      </w:r>
      <w:r w:rsidR="00F4682F">
        <w:rPr>
          <w:rFonts w:ascii="Times New Roman" w:hAnsi="Times New Roman" w:cs="Times New Roman"/>
          <w:sz w:val="24"/>
          <w:szCs w:val="24"/>
        </w:rPr>
        <w:t xml:space="preserve"> criação de maneiras para que os indivíduos transfiram bens de valor mais elevado que o valor da sua cota social a ser integralizada e, ainda assim, se evadam da </w:t>
      </w:r>
      <w:r w:rsidR="00197F4C">
        <w:rPr>
          <w:rFonts w:ascii="Times New Roman" w:hAnsi="Times New Roman" w:cs="Times New Roman"/>
          <w:sz w:val="24"/>
          <w:szCs w:val="24"/>
        </w:rPr>
        <w:t>aplicação do tributo.</w:t>
      </w:r>
      <w:proofErr w:type="gramStart"/>
      <w:r w:rsidR="00197F4C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proofErr w:type="gramEnd"/>
    </w:p>
    <w:p w:rsidR="0089504A" w:rsidRDefault="00F4682F" w:rsidP="008706E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é possível concluir</w:t>
      </w:r>
      <w:r w:rsidR="00D9566F">
        <w:rPr>
          <w:rFonts w:ascii="Times New Roman" w:hAnsi="Times New Roman" w:cs="Times New Roman"/>
          <w:sz w:val="24"/>
          <w:szCs w:val="24"/>
        </w:rPr>
        <w:t>, uma vez que</w:t>
      </w:r>
      <w:r>
        <w:rPr>
          <w:rFonts w:ascii="Times New Roman" w:hAnsi="Times New Roman" w:cs="Times New Roman"/>
          <w:sz w:val="24"/>
          <w:szCs w:val="24"/>
        </w:rPr>
        <w:t xml:space="preserve"> a intenção do legislador ao elaborar a norma era a de encorajar a formação de sociedades por meio da concessão de imunidade tr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butária nos casos </w:t>
      </w:r>
      <w:r w:rsidR="00197F4C">
        <w:rPr>
          <w:rFonts w:ascii="Times New Roman" w:hAnsi="Times New Roman" w:cs="Times New Roman"/>
          <w:sz w:val="24"/>
          <w:szCs w:val="24"/>
        </w:rPr>
        <w:t>onde o imóvel seria utilizado para integralizar o capital social de determin</w:t>
      </w:r>
      <w:r w:rsidR="00197F4C">
        <w:rPr>
          <w:rFonts w:ascii="Times New Roman" w:hAnsi="Times New Roman" w:cs="Times New Roman"/>
          <w:sz w:val="24"/>
          <w:szCs w:val="24"/>
        </w:rPr>
        <w:t>a</w:t>
      </w:r>
      <w:r w:rsidR="00197F4C">
        <w:rPr>
          <w:rFonts w:ascii="Times New Roman" w:hAnsi="Times New Roman" w:cs="Times New Roman"/>
          <w:sz w:val="24"/>
          <w:szCs w:val="24"/>
        </w:rPr>
        <w:t>da empresa</w:t>
      </w:r>
      <w:r>
        <w:rPr>
          <w:rFonts w:ascii="Times New Roman" w:hAnsi="Times New Roman" w:cs="Times New Roman"/>
          <w:sz w:val="24"/>
          <w:szCs w:val="24"/>
        </w:rPr>
        <w:t>, que o alcance da imunidade tributária em tela encontra limites no valor do capital a ser integralizado,</w:t>
      </w:r>
      <w:r w:rsidR="00197F4C">
        <w:rPr>
          <w:rFonts w:ascii="Times New Roman" w:hAnsi="Times New Roman" w:cs="Times New Roman"/>
          <w:sz w:val="24"/>
          <w:szCs w:val="24"/>
        </w:rPr>
        <w:t xml:space="preserve"> devendo o excedente ser alvo do referido Imposto.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23A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="00BA423A">
        <w:rPr>
          <w:rFonts w:ascii="Times New Roman" w:hAnsi="Times New Roman" w:cs="Times New Roman"/>
          <w:sz w:val="24"/>
          <w:szCs w:val="24"/>
        </w:rPr>
        <w:t xml:space="preserve"> </w:t>
      </w:r>
      <w:r w:rsidR="00BA423A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</w:p>
    <w:p w:rsidR="00592B12" w:rsidRDefault="00197F4C" w:rsidP="008706E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foi o entendimento do Tribunal de Justiça do Estado de Santa Catarina, </w:t>
      </w:r>
      <w:r w:rsidR="00592B12">
        <w:rPr>
          <w:rFonts w:ascii="Times New Roman" w:hAnsi="Times New Roman" w:cs="Times New Roman"/>
          <w:sz w:val="24"/>
          <w:szCs w:val="24"/>
        </w:rPr>
        <w:t xml:space="preserve">tendo tal tribunal alegado, ainda, que o art. </w:t>
      </w:r>
      <w:proofErr w:type="gramStart"/>
      <w:r w:rsidR="00592B12">
        <w:rPr>
          <w:rFonts w:ascii="Times New Roman" w:hAnsi="Times New Roman" w:cs="Times New Roman"/>
          <w:sz w:val="24"/>
          <w:szCs w:val="24"/>
        </w:rPr>
        <w:t>36,</w:t>
      </w:r>
      <w:proofErr w:type="gramEnd"/>
      <w:r w:rsidR="00592B12">
        <w:rPr>
          <w:rFonts w:ascii="Times New Roman" w:hAnsi="Times New Roman" w:cs="Times New Roman"/>
          <w:sz w:val="24"/>
          <w:szCs w:val="24"/>
        </w:rPr>
        <w:t>I, do Código Tributário Nacional dá a entender que a imunidade tributária encontra limites no capital subscrito.</w:t>
      </w:r>
      <w:r w:rsidR="00592B12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r w:rsidR="00592B12">
        <w:rPr>
          <w:rFonts w:ascii="Times New Roman" w:hAnsi="Times New Roman" w:cs="Times New Roman"/>
          <w:sz w:val="24"/>
          <w:szCs w:val="24"/>
        </w:rPr>
        <w:t>Assim também entendeu o mini</w:t>
      </w:r>
      <w:r w:rsidR="00592B12">
        <w:rPr>
          <w:rFonts w:ascii="Times New Roman" w:hAnsi="Times New Roman" w:cs="Times New Roman"/>
          <w:sz w:val="24"/>
          <w:szCs w:val="24"/>
        </w:rPr>
        <w:t>s</w:t>
      </w:r>
      <w:r w:rsidR="00592B12">
        <w:rPr>
          <w:rFonts w:ascii="Times New Roman" w:hAnsi="Times New Roman" w:cs="Times New Roman"/>
          <w:sz w:val="24"/>
          <w:szCs w:val="24"/>
        </w:rPr>
        <w:t xml:space="preserve">tro do STJ Benedito Gonçalves ao negar seguimento ao </w:t>
      </w:r>
      <w:proofErr w:type="spellStart"/>
      <w:r w:rsidR="00592B12">
        <w:rPr>
          <w:rFonts w:ascii="Times New Roman" w:hAnsi="Times New Roman" w:cs="Times New Roman"/>
          <w:sz w:val="24"/>
          <w:szCs w:val="24"/>
        </w:rPr>
        <w:t>REsp.</w:t>
      </w:r>
      <w:proofErr w:type="spellEnd"/>
      <w:r w:rsidR="00592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2B12">
        <w:rPr>
          <w:rFonts w:ascii="Times New Roman" w:hAnsi="Times New Roman" w:cs="Times New Roman"/>
          <w:sz w:val="24"/>
          <w:szCs w:val="24"/>
        </w:rPr>
        <w:t>nº</w:t>
      </w:r>
      <w:proofErr w:type="gramEnd"/>
      <w:r w:rsidR="00592B12">
        <w:rPr>
          <w:rFonts w:ascii="Times New Roman" w:hAnsi="Times New Roman" w:cs="Times New Roman"/>
          <w:sz w:val="24"/>
          <w:szCs w:val="24"/>
        </w:rPr>
        <w:t xml:space="preserve"> 1.407.916-</w:t>
      </w:r>
      <w:r w:rsidR="00592B12" w:rsidRPr="00592B12">
        <w:rPr>
          <w:rFonts w:ascii="Times New Roman" w:hAnsi="Times New Roman" w:cs="Times New Roman"/>
          <w:sz w:val="24"/>
          <w:szCs w:val="24"/>
        </w:rPr>
        <w:t>SC</w:t>
      </w:r>
      <w:r w:rsidR="00DB3DF3">
        <w:rPr>
          <w:rFonts w:ascii="Times New Roman" w:hAnsi="Times New Roman" w:cs="Times New Roman"/>
          <w:sz w:val="24"/>
          <w:szCs w:val="24"/>
        </w:rPr>
        <w:t>.</w:t>
      </w:r>
      <w:r w:rsidR="00DB3DF3"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</w:p>
    <w:p w:rsidR="00DB3DF3" w:rsidRDefault="00DB3DF3" w:rsidP="008706E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conclui-se que no caso concreto estudado, não deve a transferência do imóvel efetuada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Hetfield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Participações S/A em favor da empresa Heavy Metal Ltda. ficar totalmente imune ao ITBI, uma vez que tal entendimento violaria a intenção tida pelo legisl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dor ao elaborar a norma constitucional disposta no art. 156, II, da Constituição bem como o art. 36 do Código Tributário Nacional, devendo o tributo incidir sobre o valor excedente de R$ 150.000,00 (cento e cinquenta mil reais).</w:t>
      </w:r>
    </w:p>
    <w:p w:rsidR="00FC4984" w:rsidRDefault="00FC4984" w:rsidP="002B2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FC7" w:rsidRPr="005E4513" w:rsidRDefault="00DB3FC7" w:rsidP="00771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466720" w:rsidRPr="0043779E" w:rsidRDefault="00466720" w:rsidP="00466720">
      <w:pPr>
        <w:tabs>
          <w:tab w:val="left" w:pos="17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779E">
        <w:rPr>
          <w:rFonts w:ascii="Times New Roman" w:hAnsi="Times New Roman" w:cs="Times New Roman"/>
          <w:sz w:val="24"/>
          <w:szCs w:val="24"/>
        </w:rPr>
        <w:t xml:space="preserve">BRASIL. Superior Tribunal de Justiça. </w:t>
      </w:r>
      <w:r w:rsidRPr="00DC06C9">
        <w:rPr>
          <w:rFonts w:ascii="Times New Roman" w:hAnsi="Times New Roman" w:cs="Times New Roman"/>
          <w:sz w:val="24"/>
          <w:szCs w:val="24"/>
          <w:lang w:val="en-US"/>
        </w:rPr>
        <w:t>RESP. 1.407.916 – SC. Rel. Min. Benedito Go</w:t>
      </w:r>
      <w:r w:rsidRPr="00DC06C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06C9">
        <w:rPr>
          <w:rFonts w:ascii="Times New Roman" w:hAnsi="Times New Roman" w:cs="Times New Roman"/>
          <w:sz w:val="24"/>
          <w:szCs w:val="24"/>
          <w:lang w:val="en-US"/>
        </w:rPr>
        <w:t xml:space="preserve">çalves. </w:t>
      </w:r>
      <w:r w:rsidRPr="0043779E">
        <w:rPr>
          <w:rFonts w:ascii="Times New Roman" w:hAnsi="Times New Roman" w:cs="Times New Roman"/>
          <w:sz w:val="24"/>
          <w:szCs w:val="24"/>
        </w:rPr>
        <w:t>Disponível em: http://www.jusbrasil.com.br/diarios/63232214/stj-19-12-2013-pg-2356 Acesso em: 20/03/2015</w:t>
      </w:r>
    </w:p>
    <w:p w:rsidR="00466720" w:rsidRPr="0043779E" w:rsidRDefault="00466720" w:rsidP="00466720">
      <w:pPr>
        <w:tabs>
          <w:tab w:val="left" w:pos="17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779E">
        <w:rPr>
          <w:rFonts w:ascii="Times New Roman" w:hAnsi="Times New Roman" w:cs="Times New Roman"/>
          <w:sz w:val="24"/>
          <w:szCs w:val="24"/>
        </w:rPr>
        <w:t>BRASIL. Supremo Tribunal Federal. Pronunciamento. Relator Min. Marco Aurélio. Dispon</w:t>
      </w:r>
      <w:r w:rsidRPr="0043779E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vel em: </w:t>
      </w:r>
      <w:r w:rsidRPr="0043779E">
        <w:rPr>
          <w:rFonts w:ascii="Times New Roman" w:hAnsi="Times New Roman" w:cs="Times New Roman"/>
          <w:sz w:val="24"/>
          <w:szCs w:val="24"/>
        </w:rPr>
        <w:t>http://www.stf.jus.br/portal/jurisprudenciaRepercussao/verPronunciamento.asp?</w:t>
      </w:r>
      <w:proofErr w:type="gramStart"/>
      <w:r w:rsidRPr="0043779E">
        <w:rPr>
          <w:rFonts w:ascii="Times New Roman" w:hAnsi="Times New Roman" w:cs="Times New Roman"/>
          <w:sz w:val="24"/>
          <w:szCs w:val="24"/>
        </w:rPr>
        <w:t>pronunciamento</w:t>
      </w:r>
      <w:proofErr w:type="gramEnd"/>
      <w:r w:rsidRPr="0043779E">
        <w:rPr>
          <w:rFonts w:ascii="Times New Roman" w:hAnsi="Times New Roman" w:cs="Times New Roman"/>
          <w:sz w:val="24"/>
          <w:szCs w:val="24"/>
        </w:rPr>
        <w:t>=5455003. Acesso em: 20/03/2015</w:t>
      </w:r>
    </w:p>
    <w:p w:rsidR="00466720" w:rsidRPr="0043779E" w:rsidRDefault="00466720" w:rsidP="00466720">
      <w:pPr>
        <w:tabs>
          <w:tab w:val="left" w:pos="174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779E">
        <w:rPr>
          <w:rFonts w:ascii="Times New Roman" w:hAnsi="Times New Roman" w:cs="Times New Roman"/>
          <w:sz w:val="24"/>
          <w:szCs w:val="24"/>
        </w:rPr>
        <w:t>CARVALHO.</w:t>
      </w:r>
      <w:proofErr w:type="gramEnd"/>
      <w:r w:rsidRPr="0043779E">
        <w:rPr>
          <w:rFonts w:ascii="Times New Roman" w:hAnsi="Times New Roman" w:cs="Times New Roman"/>
          <w:sz w:val="24"/>
          <w:szCs w:val="24"/>
        </w:rPr>
        <w:t>Aurora</w:t>
      </w:r>
      <w:proofErr w:type="spellEnd"/>
      <w:r w:rsidRPr="0043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43779E">
        <w:rPr>
          <w:rFonts w:ascii="Times New Roman" w:hAnsi="Times New Roman" w:cs="Times New Roman"/>
          <w:sz w:val="24"/>
          <w:szCs w:val="24"/>
        </w:rPr>
        <w:t>omazini</w:t>
      </w:r>
      <w:proofErr w:type="spellEnd"/>
      <w:r w:rsidRPr="0043779E">
        <w:rPr>
          <w:rFonts w:ascii="Times New Roman" w:hAnsi="Times New Roman" w:cs="Times New Roman"/>
          <w:sz w:val="24"/>
          <w:szCs w:val="24"/>
        </w:rPr>
        <w:t xml:space="preserve"> de. </w:t>
      </w:r>
      <w:r w:rsidRPr="0043779E">
        <w:rPr>
          <w:rFonts w:ascii="Times New Roman" w:hAnsi="Times New Roman" w:cs="Times New Roman"/>
          <w:b/>
          <w:sz w:val="24"/>
          <w:szCs w:val="24"/>
        </w:rPr>
        <w:t>Curso de teoria geral do direito</w:t>
      </w:r>
      <w:r w:rsidRPr="0043779E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43779E">
        <w:rPr>
          <w:rFonts w:ascii="Times New Roman" w:hAnsi="Times New Roman" w:cs="Times New Roman"/>
          <w:sz w:val="24"/>
          <w:szCs w:val="24"/>
        </w:rPr>
        <w:t>Noeses</w:t>
      </w:r>
      <w:proofErr w:type="spellEnd"/>
      <w:r w:rsidRPr="0043779E">
        <w:rPr>
          <w:rFonts w:ascii="Times New Roman" w:hAnsi="Times New Roman" w:cs="Times New Roman"/>
          <w:sz w:val="24"/>
          <w:szCs w:val="24"/>
        </w:rPr>
        <w:t>, 2009.  P. 358</w:t>
      </w:r>
    </w:p>
    <w:p w:rsidR="00466720" w:rsidRPr="0043779E" w:rsidRDefault="00466720" w:rsidP="00466720">
      <w:pPr>
        <w:tabs>
          <w:tab w:val="left" w:pos="17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779E">
        <w:rPr>
          <w:rFonts w:ascii="Times New Roman" w:hAnsi="Times New Roman" w:cs="Times New Roman"/>
          <w:sz w:val="24"/>
          <w:szCs w:val="24"/>
        </w:rPr>
        <w:t xml:space="preserve">CORDEIRO, Roberta Cirino Augusto. </w:t>
      </w:r>
      <w:r w:rsidRPr="0043779E">
        <w:rPr>
          <w:rFonts w:ascii="Times New Roman" w:hAnsi="Times New Roman" w:cs="Times New Roman"/>
          <w:b/>
          <w:sz w:val="24"/>
          <w:szCs w:val="24"/>
        </w:rPr>
        <w:t xml:space="preserve">A integralização do capital social de uma sociedade limitada através de </w:t>
      </w:r>
      <w:proofErr w:type="gramStart"/>
      <w:r w:rsidRPr="0043779E">
        <w:rPr>
          <w:rFonts w:ascii="Times New Roman" w:hAnsi="Times New Roman" w:cs="Times New Roman"/>
          <w:b/>
          <w:sz w:val="24"/>
          <w:szCs w:val="24"/>
        </w:rPr>
        <w:t xml:space="preserve">imóveis </w:t>
      </w:r>
      <w:r w:rsidRPr="004377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779E">
        <w:rPr>
          <w:rFonts w:ascii="Times New Roman" w:hAnsi="Times New Roman" w:cs="Times New Roman"/>
          <w:sz w:val="24"/>
          <w:szCs w:val="24"/>
        </w:rPr>
        <w:t xml:space="preserve"> Disponível </w:t>
      </w:r>
      <w:proofErr w:type="gramStart"/>
      <w:r w:rsidRPr="0043779E">
        <w:rPr>
          <w:rFonts w:ascii="Times New Roman" w:hAnsi="Times New Roman" w:cs="Times New Roman"/>
          <w:sz w:val="24"/>
          <w:szCs w:val="24"/>
        </w:rPr>
        <w:t>em:</w:t>
      </w:r>
      <w:proofErr w:type="gramEnd"/>
      <w:r w:rsidRPr="0043779E">
        <w:rPr>
          <w:rFonts w:ascii="Times New Roman" w:hAnsi="Times New Roman" w:cs="Times New Roman"/>
          <w:sz w:val="24"/>
          <w:szCs w:val="24"/>
        </w:rPr>
        <w:t>http://www.migalhas.com.br/dePeso/16,MI165996,61044-A+integralizacao+do+capital+social+de+uma+sociedade+limitada+através Acesso em: 20/03/2015</w:t>
      </w:r>
    </w:p>
    <w:p w:rsidR="00466720" w:rsidRDefault="00466720" w:rsidP="00466720">
      <w:pPr>
        <w:tabs>
          <w:tab w:val="left" w:pos="17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779E">
        <w:rPr>
          <w:rFonts w:ascii="Times New Roman" w:hAnsi="Times New Roman" w:cs="Times New Roman"/>
          <w:sz w:val="24"/>
          <w:szCs w:val="24"/>
        </w:rPr>
        <w:t xml:space="preserve">MONEDA, William Artur. </w:t>
      </w:r>
      <w:r w:rsidRPr="0043779E">
        <w:rPr>
          <w:rFonts w:ascii="Times New Roman" w:hAnsi="Times New Roman" w:cs="Times New Roman"/>
          <w:b/>
          <w:sz w:val="24"/>
          <w:szCs w:val="24"/>
        </w:rPr>
        <w:t>A imunidade do ITBI sobre transferência de imóveis para pe</w:t>
      </w:r>
      <w:r w:rsidRPr="0043779E">
        <w:rPr>
          <w:rFonts w:ascii="Times New Roman" w:hAnsi="Times New Roman" w:cs="Times New Roman"/>
          <w:b/>
          <w:sz w:val="24"/>
          <w:szCs w:val="24"/>
        </w:rPr>
        <w:t>s</w:t>
      </w:r>
      <w:r w:rsidRPr="0043779E">
        <w:rPr>
          <w:rFonts w:ascii="Times New Roman" w:hAnsi="Times New Roman" w:cs="Times New Roman"/>
          <w:b/>
          <w:sz w:val="24"/>
          <w:szCs w:val="24"/>
        </w:rPr>
        <w:t>soa jurídica em realização de capital</w:t>
      </w:r>
      <w:r w:rsidRPr="0043779E">
        <w:rPr>
          <w:rFonts w:ascii="Times New Roman" w:hAnsi="Times New Roman" w:cs="Times New Roman"/>
          <w:sz w:val="24"/>
          <w:szCs w:val="24"/>
        </w:rPr>
        <w:t xml:space="preserve">. Disponível </w:t>
      </w:r>
      <w:proofErr w:type="gramStart"/>
      <w:r w:rsidRPr="0043779E">
        <w:rPr>
          <w:rFonts w:ascii="Times New Roman" w:hAnsi="Times New Roman" w:cs="Times New Roman"/>
          <w:sz w:val="24"/>
          <w:szCs w:val="24"/>
        </w:rPr>
        <w:t>em:</w:t>
      </w:r>
      <w:proofErr w:type="gramEnd"/>
      <w:r w:rsidRPr="0043779E">
        <w:rPr>
          <w:rFonts w:ascii="Times New Roman" w:hAnsi="Times New Roman" w:cs="Times New Roman"/>
          <w:sz w:val="24"/>
          <w:szCs w:val="24"/>
        </w:rPr>
        <w:t>http://jus.com.br/artigos/22528/a-imunidade-do-itbi-sobre-transferencia-de-imoveis-para-pessoa-juridica-em-realizacao-de-capital-x-o-entendimento-dos-municipios-e-posicao-jurisprudencial-tjpr-stj-e-stfAcesso em 20/03/2015</w:t>
      </w:r>
    </w:p>
    <w:p w:rsidR="00613AD8" w:rsidRPr="0043779E" w:rsidRDefault="00613AD8" w:rsidP="00466720">
      <w:pPr>
        <w:tabs>
          <w:tab w:val="left" w:pos="17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3AD8">
        <w:rPr>
          <w:rFonts w:ascii="Times New Roman" w:hAnsi="Times New Roman" w:cs="Times New Roman"/>
          <w:sz w:val="24"/>
          <w:szCs w:val="24"/>
        </w:rPr>
        <w:t xml:space="preserve">MORAES, José Eduardo de. </w:t>
      </w:r>
      <w:r w:rsidRPr="00613AD8">
        <w:rPr>
          <w:rFonts w:ascii="Times New Roman" w:hAnsi="Times New Roman" w:cs="Times New Roman"/>
          <w:b/>
          <w:sz w:val="24"/>
          <w:szCs w:val="24"/>
        </w:rPr>
        <w:t>O fato gerador do ITBI e outros pontos controversos</w:t>
      </w:r>
      <w:r w:rsidRPr="00613AD8">
        <w:rPr>
          <w:rFonts w:ascii="Times New Roman" w:hAnsi="Times New Roman" w:cs="Times New Roman"/>
          <w:sz w:val="24"/>
          <w:szCs w:val="24"/>
        </w:rPr>
        <w:t>. Disp</w:t>
      </w:r>
      <w:r w:rsidRPr="00613AD8">
        <w:rPr>
          <w:rFonts w:ascii="Times New Roman" w:hAnsi="Times New Roman" w:cs="Times New Roman"/>
          <w:sz w:val="24"/>
          <w:szCs w:val="24"/>
        </w:rPr>
        <w:t>o</w:t>
      </w:r>
      <w:r w:rsidRPr="00613AD8">
        <w:rPr>
          <w:rFonts w:ascii="Times New Roman" w:hAnsi="Times New Roman" w:cs="Times New Roman"/>
          <w:sz w:val="24"/>
          <w:szCs w:val="24"/>
        </w:rPr>
        <w:t>nível em: http://jus.com.br/artigos/25262/o-itbi-estudo-sobre-pontos-controversos. Acesso em: 20/03/2015</w:t>
      </w:r>
    </w:p>
    <w:p w:rsidR="00466720" w:rsidRPr="0043779E" w:rsidRDefault="00466720" w:rsidP="00466720">
      <w:pPr>
        <w:tabs>
          <w:tab w:val="left" w:pos="17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779E">
        <w:rPr>
          <w:rFonts w:ascii="Times New Roman" w:hAnsi="Times New Roman" w:cs="Times New Roman"/>
          <w:sz w:val="24"/>
          <w:szCs w:val="24"/>
        </w:rPr>
        <w:t xml:space="preserve">Veloso de Melo Advogados. </w:t>
      </w:r>
      <w:r w:rsidRPr="0043779E">
        <w:rPr>
          <w:rFonts w:ascii="Times New Roman" w:hAnsi="Times New Roman" w:cs="Times New Roman"/>
          <w:b/>
          <w:sz w:val="24"/>
          <w:szCs w:val="24"/>
        </w:rPr>
        <w:t>Imunidade Tributária</w:t>
      </w:r>
      <w:r w:rsidRPr="0043779E">
        <w:rPr>
          <w:rFonts w:ascii="Times New Roman" w:hAnsi="Times New Roman" w:cs="Times New Roman"/>
          <w:sz w:val="24"/>
          <w:szCs w:val="24"/>
        </w:rPr>
        <w:t>. Disponível em: http://velosodemelo.jusbrasil.com.br/noticias/100237338/imunidade-tributaria. Acesso em: 20/03/2015</w:t>
      </w:r>
    </w:p>
    <w:p w:rsidR="00466720" w:rsidRPr="0043779E" w:rsidRDefault="00466720" w:rsidP="00466720">
      <w:pPr>
        <w:tabs>
          <w:tab w:val="left" w:pos="174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79E">
        <w:rPr>
          <w:rFonts w:ascii="Times New Roman" w:hAnsi="Times New Roman" w:cs="Times New Roman"/>
          <w:sz w:val="24"/>
          <w:szCs w:val="24"/>
        </w:rPr>
        <w:t>Webjur</w:t>
      </w:r>
      <w:proofErr w:type="spellEnd"/>
      <w:r w:rsidRPr="004377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779E">
        <w:rPr>
          <w:rFonts w:ascii="Times New Roman" w:hAnsi="Times New Roman" w:cs="Times New Roman"/>
          <w:b/>
          <w:sz w:val="24"/>
          <w:szCs w:val="24"/>
        </w:rPr>
        <w:t>Hermeneutica</w:t>
      </w:r>
      <w:proofErr w:type="spellEnd"/>
      <w:r w:rsidRPr="0043779E">
        <w:rPr>
          <w:rFonts w:ascii="Times New Roman" w:hAnsi="Times New Roman" w:cs="Times New Roman"/>
          <w:b/>
          <w:sz w:val="24"/>
          <w:szCs w:val="24"/>
        </w:rPr>
        <w:t xml:space="preserve"> e Interpretação constitu</w:t>
      </w:r>
      <w:r>
        <w:rPr>
          <w:rFonts w:ascii="Times New Roman" w:hAnsi="Times New Roman" w:cs="Times New Roman"/>
          <w:b/>
          <w:sz w:val="24"/>
          <w:szCs w:val="24"/>
        </w:rPr>
        <w:t>ciona</w:t>
      </w:r>
      <w:r w:rsidRPr="0043779E">
        <w:rPr>
          <w:rFonts w:ascii="Times New Roman" w:hAnsi="Times New Roman" w:cs="Times New Roman"/>
          <w:b/>
          <w:sz w:val="24"/>
          <w:szCs w:val="24"/>
        </w:rPr>
        <w:t>l</w:t>
      </w:r>
      <w:r w:rsidRPr="0043779E">
        <w:rPr>
          <w:rFonts w:ascii="Times New Roman" w:hAnsi="Times New Roman" w:cs="Times New Roman"/>
          <w:sz w:val="24"/>
          <w:szCs w:val="24"/>
        </w:rPr>
        <w:t xml:space="preserve">. Disponível </w:t>
      </w:r>
      <w:proofErr w:type="gramStart"/>
      <w:r w:rsidRPr="0043779E">
        <w:rPr>
          <w:rFonts w:ascii="Times New Roman" w:hAnsi="Times New Roman" w:cs="Times New Roman"/>
          <w:sz w:val="24"/>
          <w:szCs w:val="24"/>
        </w:rPr>
        <w:t>em:</w:t>
      </w:r>
      <w:proofErr w:type="gramEnd"/>
      <w:r w:rsidRPr="0043779E">
        <w:rPr>
          <w:rFonts w:ascii="Times New Roman" w:hAnsi="Times New Roman" w:cs="Times New Roman"/>
          <w:sz w:val="24"/>
          <w:szCs w:val="24"/>
        </w:rPr>
        <w:t>http://www.webjur.com.br/doutrina/Direito_Constitucional/Hermen_utica_e_interpreta__o_constitucional.htm Acesso em: 20/03/2015</w:t>
      </w:r>
    </w:p>
    <w:p w:rsidR="00DB3FC7" w:rsidRPr="0053506E" w:rsidRDefault="00DB3FC7" w:rsidP="0043779E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</w:p>
    <w:sectPr w:rsidR="00DB3FC7" w:rsidRPr="0053506E" w:rsidSect="0081187B">
      <w:footerReference w:type="first" r:id="rId9"/>
      <w:pgSz w:w="11907" w:h="16839" w:code="9"/>
      <w:pgMar w:top="1701" w:right="1134" w:bottom="1134" w:left="1701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C5" w:rsidRDefault="003E4CC5" w:rsidP="002B2419">
      <w:pPr>
        <w:spacing w:after="0" w:line="240" w:lineRule="auto"/>
      </w:pPr>
      <w:r>
        <w:separator/>
      </w:r>
    </w:p>
  </w:endnote>
  <w:endnote w:type="continuationSeparator" w:id="0">
    <w:p w:rsidR="003E4CC5" w:rsidRDefault="003E4CC5" w:rsidP="002B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48" w:rsidRDefault="00EA3048" w:rsidP="00CA0094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</w:t>
    </w:r>
  </w:p>
  <w:p w:rsidR="00EA3048" w:rsidRPr="003F60B9" w:rsidRDefault="00EA3048" w:rsidP="00026500">
    <w:pPr>
      <w:pStyle w:val="Rodap"/>
      <w:numPr>
        <w:ilvl w:val="0"/>
        <w:numId w:val="1"/>
      </w:numPr>
      <w:tabs>
        <w:tab w:val="clear" w:pos="4680"/>
        <w:tab w:val="clear" w:pos="9360"/>
        <w:tab w:val="center" w:pos="4252"/>
        <w:tab w:val="right" w:pos="8504"/>
      </w:tabs>
      <w:rPr>
        <w:rFonts w:ascii="Times New Roman" w:hAnsi="Times New Roman" w:cs="Times New Roman"/>
        <w:sz w:val="20"/>
        <w:szCs w:val="20"/>
      </w:rPr>
    </w:pPr>
    <w:r w:rsidRPr="003F60B9">
      <w:rPr>
        <w:rFonts w:ascii="Times New Roman" w:hAnsi="Times New Roman" w:cs="Times New Roman"/>
        <w:sz w:val="20"/>
        <w:szCs w:val="20"/>
      </w:rPr>
      <w:t xml:space="preserve">Case apresentado à disciplina </w:t>
    </w:r>
    <w:r>
      <w:rPr>
        <w:rFonts w:ascii="Times New Roman" w:hAnsi="Times New Roman" w:cs="Times New Roman"/>
        <w:sz w:val="20"/>
        <w:szCs w:val="20"/>
      </w:rPr>
      <w:t xml:space="preserve">de </w:t>
    </w:r>
    <w:r w:rsidR="00023142">
      <w:rPr>
        <w:rFonts w:ascii="Times New Roman" w:hAnsi="Times New Roman" w:cs="Times New Roman"/>
        <w:sz w:val="20"/>
        <w:szCs w:val="20"/>
      </w:rPr>
      <w:t>Direito Financeiro e Tributário</w:t>
    </w:r>
    <w:r w:rsidR="00026500" w:rsidRPr="00026500">
      <w:rPr>
        <w:rFonts w:ascii="Times New Roman" w:hAnsi="Times New Roman" w:cs="Times New Roman"/>
        <w:sz w:val="20"/>
        <w:szCs w:val="20"/>
      </w:rPr>
      <w:t xml:space="preserve"> </w:t>
    </w:r>
    <w:r w:rsidRPr="003F60B9">
      <w:rPr>
        <w:rFonts w:ascii="Times New Roman" w:hAnsi="Times New Roman" w:cs="Times New Roman"/>
        <w:sz w:val="20"/>
        <w:szCs w:val="20"/>
      </w:rPr>
      <w:t>da Unidade de Ensino Superior Dom Bosco – UNDB.</w:t>
    </w:r>
  </w:p>
  <w:p w:rsidR="00EA3048" w:rsidRPr="006B07BF" w:rsidRDefault="00EA3048" w:rsidP="00CA0094">
    <w:pPr>
      <w:pStyle w:val="Rodap"/>
      <w:numPr>
        <w:ilvl w:val="0"/>
        <w:numId w:val="1"/>
      </w:numPr>
      <w:tabs>
        <w:tab w:val="clear" w:pos="4680"/>
        <w:tab w:val="clear" w:pos="9360"/>
        <w:tab w:val="center" w:pos="4252"/>
        <w:tab w:val="right" w:pos="8504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Aluno do </w:t>
    </w:r>
    <w:r w:rsidR="00026500">
      <w:rPr>
        <w:rFonts w:ascii="Times New Roman" w:hAnsi="Times New Roman" w:cs="Times New Roman"/>
        <w:sz w:val="20"/>
        <w:szCs w:val="20"/>
      </w:rPr>
      <w:t>7</w:t>
    </w:r>
    <w:r w:rsidRPr="006B07BF">
      <w:rPr>
        <w:rFonts w:ascii="Times New Roman" w:eastAsia="MS PGothic" w:hAnsi="Times New Roman" w:cs="Times New Roman"/>
        <w:bCs/>
        <w:iCs/>
        <w:color w:val="000000"/>
        <w:sz w:val="20"/>
        <w:szCs w:val="20"/>
      </w:rPr>
      <w:t>º</w:t>
    </w:r>
    <w:r>
      <w:rPr>
        <w:rFonts w:ascii="Times New Roman" w:eastAsia="MS PGothic" w:hAnsi="Times New Roman" w:cs="Times New Roman"/>
        <w:bCs/>
        <w:iCs/>
        <w:color w:val="000000"/>
        <w:sz w:val="20"/>
        <w:szCs w:val="20"/>
      </w:rPr>
      <w:t xml:space="preserve"> período, do curso de Direito da </w:t>
    </w:r>
    <w:proofErr w:type="gramStart"/>
    <w:r>
      <w:rPr>
        <w:rFonts w:ascii="Times New Roman" w:eastAsia="MS PGothic" w:hAnsi="Times New Roman" w:cs="Times New Roman"/>
        <w:bCs/>
        <w:iCs/>
        <w:color w:val="000000"/>
        <w:sz w:val="20"/>
        <w:szCs w:val="20"/>
      </w:rPr>
      <w:t>UNDB</w:t>
    </w:r>
    <w:proofErr w:type="gramEnd"/>
  </w:p>
  <w:p w:rsidR="00EA3048" w:rsidRPr="003F60B9" w:rsidRDefault="00EA3048" w:rsidP="00023142">
    <w:pPr>
      <w:pStyle w:val="Rodap"/>
      <w:numPr>
        <w:ilvl w:val="0"/>
        <w:numId w:val="1"/>
      </w:num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Professor de </w:t>
    </w:r>
    <w:r w:rsidR="00023142" w:rsidRPr="00023142">
      <w:rPr>
        <w:rFonts w:ascii="Times New Roman" w:hAnsi="Times New Roman" w:cs="Times New Roman"/>
        <w:sz w:val="20"/>
        <w:szCs w:val="20"/>
      </w:rPr>
      <w:t>Direito Financeiro e Tributário</w:t>
    </w:r>
    <w:r w:rsidR="00023142">
      <w:rPr>
        <w:rFonts w:ascii="Times New Roman" w:hAnsi="Times New Roman" w:cs="Times New Roman"/>
        <w:sz w:val="20"/>
        <w:szCs w:val="20"/>
      </w:rPr>
      <w:t>,</w:t>
    </w:r>
    <w:r w:rsidR="00023142" w:rsidRPr="00023142">
      <w:rPr>
        <w:rFonts w:ascii="Times New Roman" w:hAnsi="Times New Roman" w:cs="Times New Roman"/>
        <w:sz w:val="20"/>
        <w:szCs w:val="20"/>
      </w:rPr>
      <w:t xml:space="preserve"> </w:t>
    </w:r>
    <w:r w:rsidRPr="003F60B9">
      <w:rPr>
        <w:rFonts w:ascii="Times New Roman" w:hAnsi="Times New Roman" w:cs="Times New Roman"/>
        <w:sz w:val="20"/>
        <w:szCs w:val="20"/>
      </w:rPr>
      <w:t>orientador.</w:t>
    </w:r>
  </w:p>
  <w:p w:rsidR="00EA3048" w:rsidRDefault="00EA30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C5" w:rsidRDefault="003E4CC5" w:rsidP="002B2419">
      <w:pPr>
        <w:spacing w:after="0" w:line="240" w:lineRule="auto"/>
      </w:pPr>
      <w:r>
        <w:separator/>
      </w:r>
    </w:p>
  </w:footnote>
  <w:footnote w:type="continuationSeparator" w:id="0">
    <w:p w:rsidR="003E4CC5" w:rsidRDefault="003E4CC5" w:rsidP="002B2419">
      <w:pPr>
        <w:spacing w:after="0" w:line="240" w:lineRule="auto"/>
      </w:pPr>
      <w:r>
        <w:continuationSeparator/>
      </w:r>
    </w:p>
  </w:footnote>
  <w:footnote w:id="1">
    <w:p w:rsidR="00613AD8" w:rsidRPr="00613AD8" w:rsidRDefault="00613AD8">
      <w:pPr>
        <w:pStyle w:val="Textodenotaderodap"/>
        <w:rPr>
          <w:rFonts w:ascii="Times New Roman" w:hAnsi="Times New Roman" w:cs="Times New Roman"/>
        </w:rPr>
      </w:pPr>
      <w:r w:rsidRPr="00613AD8">
        <w:rPr>
          <w:rStyle w:val="Refdenotaderodap"/>
          <w:rFonts w:ascii="Times New Roman" w:hAnsi="Times New Roman" w:cs="Times New Roman"/>
        </w:rPr>
        <w:footnoteRef/>
      </w:r>
      <w:r w:rsidRPr="00613AD8">
        <w:rPr>
          <w:rFonts w:ascii="Times New Roman" w:hAnsi="Times New Roman" w:cs="Times New Roman"/>
        </w:rPr>
        <w:t xml:space="preserve"> MORAES, José Eduardo de. O fato gerador do ITBI e outros pontos controversos. Disponível em: http://jus.com.br/artigos/25262/o-itbi-estudo-sobre-pontos-controversos. Acesso em: 20/03/2015</w:t>
      </w:r>
    </w:p>
  </w:footnote>
  <w:footnote w:id="2">
    <w:p w:rsidR="00846149" w:rsidRPr="0043779E" w:rsidRDefault="00846149">
      <w:pPr>
        <w:pStyle w:val="Textodenotaderodap"/>
        <w:rPr>
          <w:rFonts w:ascii="Times New Roman" w:hAnsi="Times New Roman" w:cs="Times New Roman"/>
        </w:rPr>
      </w:pPr>
      <w:r w:rsidRPr="00D8248A">
        <w:rPr>
          <w:rStyle w:val="Refdenotaderodap"/>
          <w:rFonts w:ascii="Times New Roman" w:hAnsi="Times New Roman" w:cs="Times New Roman"/>
        </w:rPr>
        <w:footnoteRef/>
      </w:r>
      <w:r w:rsidRPr="00D8248A">
        <w:rPr>
          <w:rFonts w:ascii="Times New Roman" w:hAnsi="Times New Roman" w:cs="Times New Roman"/>
        </w:rPr>
        <w:t xml:space="preserve"> </w:t>
      </w:r>
      <w:r w:rsidR="009B5C00" w:rsidRPr="0043779E">
        <w:rPr>
          <w:rFonts w:ascii="Times New Roman" w:hAnsi="Times New Roman" w:cs="Times New Roman"/>
        </w:rPr>
        <w:t>Veloso de Melo Advogados. Imunidade Tributária. Disponível em: http://velosodemelo.jusbrasil.com.br/noticias/100237338/imunidade-tributaria. Acesso em: 20/03/2015</w:t>
      </w:r>
    </w:p>
  </w:footnote>
  <w:footnote w:id="3">
    <w:p w:rsidR="00932F77" w:rsidRPr="0043779E" w:rsidRDefault="00932F77">
      <w:pPr>
        <w:pStyle w:val="Textodenotaderodap"/>
        <w:rPr>
          <w:rFonts w:ascii="Times New Roman" w:hAnsi="Times New Roman" w:cs="Times New Roman"/>
        </w:rPr>
      </w:pPr>
      <w:r w:rsidRPr="0043779E">
        <w:rPr>
          <w:rStyle w:val="Refdenotaderodap"/>
          <w:rFonts w:ascii="Times New Roman" w:hAnsi="Times New Roman" w:cs="Times New Roman"/>
        </w:rPr>
        <w:footnoteRef/>
      </w:r>
      <w:r w:rsidRPr="0043779E">
        <w:rPr>
          <w:rFonts w:ascii="Times New Roman" w:hAnsi="Times New Roman" w:cs="Times New Roman"/>
        </w:rPr>
        <w:t xml:space="preserve"> </w:t>
      </w:r>
      <w:r w:rsidR="00D8248A" w:rsidRPr="0043779E">
        <w:rPr>
          <w:rFonts w:ascii="Times New Roman" w:hAnsi="Times New Roman" w:cs="Times New Roman"/>
        </w:rPr>
        <w:t xml:space="preserve">CORDEIRO, Roberta Cirino Augusto. A integralização do capital social de uma sociedade limitada através de </w:t>
      </w:r>
      <w:proofErr w:type="gramStart"/>
      <w:r w:rsidR="00D8248A" w:rsidRPr="0043779E">
        <w:rPr>
          <w:rFonts w:ascii="Times New Roman" w:hAnsi="Times New Roman" w:cs="Times New Roman"/>
        </w:rPr>
        <w:t>imóveis .</w:t>
      </w:r>
      <w:proofErr w:type="gramEnd"/>
      <w:r w:rsidR="00D8248A" w:rsidRPr="0043779E">
        <w:rPr>
          <w:rFonts w:ascii="Times New Roman" w:hAnsi="Times New Roman" w:cs="Times New Roman"/>
        </w:rPr>
        <w:t xml:space="preserve"> Disponível </w:t>
      </w:r>
      <w:proofErr w:type="gramStart"/>
      <w:r w:rsidR="00D8248A" w:rsidRPr="0043779E">
        <w:rPr>
          <w:rFonts w:ascii="Times New Roman" w:hAnsi="Times New Roman" w:cs="Times New Roman"/>
        </w:rPr>
        <w:t>em:</w:t>
      </w:r>
      <w:proofErr w:type="gramEnd"/>
      <w:r w:rsidRPr="0043779E">
        <w:rPr>
          <w:rFonts w:ascii="Times New Roman" w:hAnsi="Times New Roman" w:cs="Times New Roman"/>
        </w:rPr>
        <w:t>http://www.migalhas.com.br/dePeso/16,MI165996,61044-A+integralizacao+do+capital+social+de+uma+sociedade+limitada+</w:t>
      </w:r>
      <w:r w:rsidR="00D8248A" w:rsidRPr="0043779E">
        <w:rPr>
          <w:rFonts w:ascii="Times New Roman" w:hAnsi="Times New Roman" w:cs="Times New Roman"/>
        </w:rPr>
        <w:t>através Acesso em: 20/03/2015</w:t>
      </w:r>
    </w:p>
  </w:footnote>
  <w:footnote w:id="4">
    <w:p w:rsidR="00932F77" w:rsidRPr="0043779E" w:rsidRDefault="00932F77" w:rsidP="00D8248A">
      <w:pPr>
        <w:pStyle w:val="Textodenotaderodap"/>
        <w:rPr>
          <w:rFonts w:ascii="Times New Roman" w:hAnsi="Times New Roman" w:cs="Times New Roman"/>
        </w:rPr>
      </w:pPr>
      <w:r w:rsidRPr="0043779E">
        <w:rPr>
          <w:rStyle w:val="Refdenotaderodap"/>
          <w:rFonts w:ascii="Times New Roman" w:hAnsi="Times New Roman" w:cs="Times New Roman"/>
        </w:rPr>
        <w:footnoteRef/>
      </w:r>
      <w:r w:rsidRPr="00CC2223">
        <w:rPr>
          <w:rFonts w:ascii="Times New Roman" w:hAnsi="Times New Roman" w:cs="Times New Roman"/>
        </w:rPr>
        <w:t xml:space="preserve"> </w:t>
      </w:r>
      <w:r w:rsidR="00D8248A" w:rsidRPr="00CC2223">
        <w:rPr>
          <w:rFonts w:ascii="Times New Roman" w:hAnsi="Times New Roman" w:cs="Times New Roman"/>
        </w:rPr>
        <w:t xml:space="preserve">MONEDA, William Artur. </w:t>
      </w:r>
      <w:r w:rsidR="00D8248A" w:rsidRPr="0043779E">
        <w:rPr>
          <w:rFonts w:ascii="Times New Roman" w:hAnsi="Times New Roman" w:cs="Times New Roman"/>
        </w:rPr>
        <w:t>A imunidade do ITBI sobre transferência de imóveis para pessoa jurídica em real</w:t>
      </w:r>
      <w:r w:rsidR="00D8248A" w:rsidRPr="0043779E">
        <w:rPr>
          <w:rFonts w:ascii="Times New Roman" w:hAnsi="Times New Roman" w:cs="Times New Roman"/>
        </w:rPr>
        <w:t>i</w:t>
      </w:r>
      <w:r w:rsidR="00D8248A" w:rsidRPr="0043779E">
        <w:rPr>
          <w:rFonts w:ascii="Times New Roman" w:hAnsi="Times New Roman" w:cs="Times New Roman"/>
        </w:rPr>
        <w:t xml:space="preserve">zação de capital. Disponível </w:t>
      </w:r>
      <w:proofErr w:type="gramStart"/>
      <w:r w:rsidR="00D8248A" w:rsidRPr="0043779E">
        <w:rPr>
          <w:rFonts w:ascii="Times New Roman" w:hAnsi="Times New Roman" w:cs="Times New Roman"/>
        </w:rPr>
        <w:t>em:</w:t>
      </w:r>
      <w:proofErr w:type="gramEnd"/>
      <w:r w:rsidRPr="0043779E">
        <w:rPr>
          <w:rFonts w:ascii="Times New Roman" w:hAnsi="Times New Roman" w:cs="Times New Roman"/>
        </w:rPr>
        <w:t>http://jus.com.br/artigos/22528/a-imunidade-do-itbi-sobre-transferencia-de-imoveis-para-pessoa-juridica-em-realizacao-de-capital-x-o-entendimento-dos-municipios-e-posicao-jurisprudencial-tjpr-stj-e-stf</w:t>
      </w:r>
      <w:r w:rsidR="00D8248A" w:rsidRPr="0043779E">
        <w:rPr>
          <w:rFonts w:ascii="Times New Roman" w:hAnsi="Times New Roman" w:cs="Times New Roman"/>
        </w:rPr>
        <w:t>Acesso em 20/03/2015</w:t>
      </w:r>
    </w:p>
  </w:footnote>
  <w:footnote w:id="5">
    <w:p w:rsidR="00290DED" w:rsidRPr="0043779E" w:rsidRDefault="00290DED">
      <w:pPr>
        <w:pStyle w:val="Textodenotaderodap"/>
        <w:rPr>
          <w:rFonts w:ascii="Times New Roman" w:hAnsi="Times New Roman" w:cs="Times New Roman"/>
        </w:rPr>
      </w:pPr>
      <w:r w:rsidRPr="0043779E">
        <w:rPr>
          <w:rStyle w:val="Refdenotaderodap"/>
          <w:rFonts w:ascii="Times New Roman" w:hAnsi="Times New Roman" w:cs="Times New Roman"/>
        </w:rPr>
        <w:footnoteRef/>
      </w:r>
      <w:r w:rsidRPr="004377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706E1" w:rsidRPr="0043779E">
        <w:rPr>
          <w:rFonts w:ascii="Times New Roman" w:hAnsi="Times New Roman" w:cs="Times New Roman"/>
        </w:rPr>
        <w:t>CARVALHO.</w:t>
      </w:r>
      <w:proofErr w:type="gramEnd"/>
      <w:r w:rsidRPr="0043779E">
        <w:rPr>
          <w:rFonts w:ascii="Times New Roman" w:hAnsi="Times New Roman" w:cs="Times New Roman"/>
        </w:rPr>
        <w:t>Aurora</w:t>
      </w:r>
      <w:proofErr w:type="spellEnd"/>
      <w:r w:rsidRPr="0043779E">
        <w:rPr>
          <w:rFonts w:ascii="Times New Roman" w:hAnsi="Times New Roman" w:cs="Times New Roman"/>
        </w:rPr>
        <w:t xml:space="preserve"> </w:t>
      </w:r>
      <w:proofErr w:type="spellStart"/>
      <w:r w:rsidRPr="0043779E">
        <w:rPr>
          <w:rFonts w:ascii="Times New Roman" w:hAnsi="Times New Roman" w:cs="Times New Roman"/>
        </w:rPr>
        <w:t>tomazini</w:t>
      </w:r>
      <w:proofErr w:type="spellEnd"/>
      <w:r w:rsidRPr="0043779E">
        <w:rPr>
          <w:rFonts w:ascii="Times New Roman" w:hAnsi="Times New Roman" w:cs="Times New Roman"/>
        </w:rPr>
        <w:t xml:space="preserve"> de. Curso de teoria geral do direito.</w:t>
      </w:r>
      <w:r w:rsidR="008706E1" w:rsidRPr="0043779E">
        <w:rPr>
          <w:rFonts w:ascii="Times New Roman" w:hAnsi="Times New Roman" w:cs="Times New Roman"/>
        </w:rPr>
        <w:t xml:space="preserve"> São Paulo: </w:t>
      </w:r>
      <w:proofErr w:type="spellStart"/>
      <w:r w:rsidR="008706E1" w:rsidRPr="0043779E">
        <w:rPr>
          <w:rFonts w:ascii="Times New Roman" w:hAnsi="Times New Roman" w:cs="Times New Roman"/>
        </w:rPr>
        <w:t>Noeses</w:t>
      </w:r>
      <w:proofErr w:type="spellEnd"/>
      <w:r w:rsidR="008706E1" w:rsidRPr="0043779E">
        <w:rPr>
          <w:rFonts w:ascii="Times New Roman" w:hAnsi="Times New Roman" w:cs="Times New Roman"/>
        </w:rPr>
        <w:t>, 2009.</w:t>
      </w:r>
      <w:r w:rsidRPr="0043779E">
        <w:rPr>
          <w:rFonts w:ascii="Times New Roman" w:hAnsi="Times New Roman" w:cs="Times New Roman"/>
        </w:rPr>
        <w:t xml:space="preserve">  P. 358</w:t>
      </w:r>
    </w:p>
  </w:footnote>
  <w:footnote w:id="6">
    <w:p w:rsidR="00DD409F" w:rsidRPr="0043779E" w:rsidRDefault="00DD409F">
      <w:pPr>
        <w:pStyle w:val="Textodenotaderodap"/>
        <w:rPr>
          <w:rFonts w:ascii="Times New Roman" w:hAnsi="Times New Roman" w:cs="Times New Roman"/>
          <w:lang w:val="en-US"/>
        </w:rPr>
      </w:pPr>
      <w:r w:rsidRPr="0043779E">
        <w:rPr>
          <w:rStyle w:val="Refdenotaderodap"/>
          <w:rFonts w:ascii="Times New Roman" w:hAnsi="Times New Roman" w:cs="Times New Roman"/>
        </w:rPr>
        <w:footnoteRef/>
      </w:r>
      <w:r w:rsidRPr="0043779E">
        <w:rPr>
          <w:rFonts w:ascii="Times New Roman" w:hAnsi="Times New Roman" w:cs="Times New Roman"/>
          <w:lang w:val="en-US"/>
        </w:rPr>
        <w:t xml:space="preserve"> Op </w:t>
      </w:r>
      <w:proofErr w:type="spellStart"/>
      <w:r w:rsidRPr="0043779E">
        <w:rPr>
          <w:rFonts w:ascii="Times New Roman" w:hAnsi="Times New Roman" w:cs="Times New Roman"/>
          <w:lang w:val="en-US"/>
        </w:rPr>
        <w:t>cit</w:t>
      </w:r>
      <w:proofErr w:type="spellEnd"/>
      <w:r w:rsidR="008706E1" w:rsidRPr="0043779E">
        <w:rPr>
          <w:rFonts w:ascii="Times New Roman" w:hAnsi="Times New Roman" w:cs="Times New Roman"/>
          <w:lang w:val="en-US"/>
        </w:rPr>
        <w:t xml:space="preserve"> P.</w:t>
      </w:r>
      <w:r w:rsidRPr="0043779E">
        <w:rPr>
          <w:rFonts w:ascii="Times New Roman" w:hAnsi="Times New Roman" w:cs="Times New Roman"/>
          <w:lang w:val="en-US"/>
        </w:rPr>
        <w:t xml:space="preserve"> 376</w:t>
      </w:r>
    </w:p>
  </w:footnote>
  <w:footnote w:id="7">
    <w:p w:rsidR="00BA423A" w:rsidRPr="0043779E" w:rsidRDefault="00BA423A" w:rsidP="00F30319">
      <w:pPr>
        <w:pStyle w:val="Textodenotaderodap"/>
        <w:rPr>
          <w:rFonts w:ascii="Times New Roman" w:hAnsi="Times New Roman" w:cs="Times New Roman"/>
        </w:rPr>
      </w:pPr>
      <w:r w:rsidRPr="0043779E">
        <w:rPr>
          <w:rStyle w:val="Refdenotaderodap"/>
          <w:rFonts w:ascii="Times New Roman" w:hAnsi="Times New Roman" w:cs="Times New Roman"/>
        </w:rPr>
        <w:footnoteRef/>
      </w:r>
      <w:proofErr w:type="spellStart"/>
      <w:r w:rsidR="00F30319" w:rsidRPr="00CC2223">
        <w:rPr>
          <w:rFonts w:ascii="Times New Roman" w:hAnsi="Times New Roman" w:cs="Times New Roman"/>
        </w:rPr>
        <w:t>Webjur</w:t>
      </w:r>
      <w:proofErr w:type="spellEnd"/>
      <w:r w:rsidR="00F30319" w:rsidRPr="00CC2223">
        <w:rPr>
          <w:rFonts w:ascii="Times New Roman" w:hAnsi="Times New Roman" w:cs="Times New Roman"/>
        </w:rPr>
        <w:t xml:space="preserve">. </w:t>
      </w:r>
      <w:proofErr w:type="spellStart"/>
      <w:r w:rsidR="00F30319" w:rsidRPr="0043779E">
        <w:rPr>
          <w:rFonts w:ascii="Times New Roman" w:hAnsi="Times New Roman" w:cs="Times New Roman"/>
        </w:rPr>
        <w:t>Hermeneutica</w:t>
      </w:r>
      <w:proofErr w:type="spellEnd"/>
      <w:r w:rsidR="00F30319" w:rsidRPr="0043779E">
        <w:rPr>
          <w:rFonts w:ascii="Times New Roman" w:hAnsi="Times New Roman" w:cs="Times New Roman"/>
        </w:rPr>
        <w:t xml:space="preserve"> e Interpretação </w:t>
      </w:r>
      <w:proofErr w:type="spellStart"/>
      <w:r w:rsidR="00F30319" w:rsidRPr="0043779E">
        <w:rPr>
          <w:rFonts w:ascii="Times New Roman" w:hAnsi="Times New Roman" w:cs="Times New Roman"/>
        </w:rPr>
        <w:t>constitucionall</w:t>
      </w:r>
      <w:proofErr w:type="spellEnd"/>
      <w:r w:rsidR="00F30319" w:rsidRPr="0043779E">
        <w:rPr>
          <w:rFonts w:ascii="Times New Roman" w:hAnsi="Times New Roman" w:cs="Times New Roman"/>
        </w:rPr>
        <w:t xml:space="preserve">. Disponível </w:t>
      </w:r>
      <w:proofErr w:type="gramStart"/>
      <w:r w:rsidR="00F30319" w:rsidRPr="0043779E">
        <w:rPr>
          <w:rFonts w:ascii="Times New Roman" w:hAnsi="Times New Roman" w:cs="Times New Roman"/>
        </w:rPr>
        <w:t>em:</w:t>
      </w:r>
      <w:proofErr w:type="gramEnd"/>
      <w:r w:rsidRPr="0043779E">
        <w:rPr>
          <w:rFonts w:ascii="Times New Roman" w:hAnsi="Times New Roman" w:cs="Times New Roman"/>
        </w:rPr>
        <w:t>http://www.webjur.com.br/doutrina/Direito_Constitucional/Hermen_utica_e_interpreta__o_constitucional.htm</w:t>
      </w:r>
      <w:r w:rsidR="00F30319" w:rsidRPr="0043779E">
        <w:rPr>
          <w:rFonts w:ascii="Times New Roman" w:hAnsi="Times New Roman" w:cs="Times New Roman"/>
        </w:rPr>
        <w:t xml:space="preserve"> Acesso em: 20/03/2015</w:t>
      </w:r>
    </w:p>
  </w:footnote>
  <w:footnote w:id="8">
    <w:p w:rsidR="00197F4C" w:rsidRPr="0043779E" w:rsidRDefault="00197F4C" w:rsidP="00F30319">
      <w:pPr>
        <w:pStyle w:val="Textodenotaderodap"/>
        <w:rPr>
          <w:rFonts w:ascii="Times New Roman" w:hAnsi="Times New Roman" w:cs="Times New Roman"/>
        </w:rPr>
      </w:pPr>
      <w:r w:rsidRPr="0043779E">
        <w:rPr>
          <w:rStyle w:val="Refdenotaderodap"/>
          <w:rFonts w:ascii="Times New Roman" w:hAnsi="Times New Roman" w:cs="Times New Roman"/>
        </w:rPr>
        <w:footnoteRef/>
      </w:r>
      <w:r w:rsidRPr="0043779E">
        <w:rPr>
          <w:rFonts w:ascii="Times New Roman" w:hAnsi="Times New Roman" w:cs="Times New Roman"/>
        </w:rPr>
        <w:t xml:space="preserve"> </w:t>
      </w:r>
      <w:r w:rsidR="00F30319" w:rsidRPr="0043779E">
        <w:rPr>
          <w:rFonts w:ascii="Times New Roman" w:hAnsi="Times New Roman" w:cs="Times New Roman"/>
        </w:rPr>
        <w:t xml:space="preserve">BRASIL. Superior Tribunal de Justiça. </w:t>
      </w:r>
      <w:r w:rsidR="00F30319" w:rsidRPr="00DC06C9">
        <w:rPr>
          <w:rFonts w:ascii="Times New Roman" w:hAnsi="Times New Roman" w:cs="Times New Roman"/>
        </w:rPr>
        <w:t xml:space="preserve">RESP. 1.407.916 – SC. Rel. Min. Benedito Gonçalves. </w:t>
      </w:r>
      <w:r w:rsidR="00F30319" w:rsidRPr="0043779E">
        <w:rPr>
          <w:rFonts w:ascii="Times New Roman" w:hAnsi="Times New Roman" w:cs="Times New Roman"/>
        </w:rPr>
        <w:t>Disponível em: http://www.jusbrasil.com.br/diarios/63232214/stj-19-12-2013-pg-2356 Acesso em: 20/03/2015</w:t>
      </w:r>
    </w:p>
  </w:footnote>
  <w:footnote w:id="9">
    <w:p w:rsidR="00BA423A" w:rsidRPr="0043779E" w:rsidRDefault="00BA423A" w:rsidP="00F30319">
      <w:pPr>
        <w:pStyle w:val="Textodenotaderodap"/>
        <w:rPr>
          <w:rFonts w:ascii="Times New Roman" w:hAnsi="Times New Roman" w:cs="Times New Roman"/>
        </w:rPr>
      </w:pPr>
      <w:r w:rsidRPr="0043779E">
        <w:rPr>
          <w:rStyle w:val="Refdenotaderodap"/>
          <w:rFonts w:ascii="Times New Roman" w:hAnsi="Times New Roman" w:cs="Times New Roman"/>
        </w:rPr>
        <w:footnoteRef/>
      </w:r>
      <w:r w:rsidRPr="0043779E">
        <w:rPr>
          <w:rFonts w:ascii="Times New Roman" w:hAnsi="Times New Roman" w:cs="Times New Roman"/>
        </w:rPr>
        <w:t xml:space="preserve"> </w:t>
      </w:r>
      <w:r w:rsidR="00197F4C" w:rsidRPr="0043779E">
        <w:rPr>
          <w:rFonts w:ascii="Times New Roman" w:hAnsi="Times New Roman" w:cs="Times New Roman"/>
        </w:rPr>
        <w:t>Idem</w:t>
      </w:r>
    </w:p>
  </w:footnote>
  <w:footnote w:id="10">
    <w:p w:rsidR="00BA423A" w:rsidRPr="0043779E" w:rsidRDefault="00BA423A" w:rsidP="00F30319">
      <w:pPr>
        <w:pStyle w:val="Textodenotaderodap"/>
        <w:rPr>
          <w:rFonts w:ascii="Times New Roman" w:hAnsi="Times New Roman" w:cs="Times New Roman"/>
        </w:rPr>
      </w:pPr>
      <w:r w:rsidRPr="0043779E">
        <w:rPr>
          <w:rStyle w:val="Refdenotaderodap"/>
          <w:rFonts w:ascii="Times New Roman" w:hAnsi="Times New Roman" w:cs="Times New Roman"/>
        </w:rPr>
        <w:footnoteRef/>
      </w:r>
      <w:r w:rsidR="00F30319" w:rsidRPr="0043779E">
        <w:rPr>
          <w:rFonts w:ascii="Times New Roman" w:hAnsi="Times New Roman" w:cs="Times New Roman"/>
        </w:rPr>
        <w:t>BRASIL. Supremo Tribunal Federal. Pronunciamento. Relator Min. Marco Aurélio. Disponível em: http://www.stf.jus.br/portal/jurisprudenciaRepercussao/verPronunciamento.asp?</w:t>
      </w:r>
      <w:proofErr w:type="gramStart"/>
      <w:r w:rsidR="00F30319" w:rsidRPr="0043779E">
        <w:rPr>
          <w:rFonts w:ascii="Times New Roman" w:hAnsi="Times New Roman" w:cs="Times New Roman"/>
        </w:rPr>
        <w:t>pronunciamento</w:t>
      </w:r>
      <w:proofErr w:type="gramEnd"/>
      <w:r w:rsidR="00F30319" w:rsidRPr="0043779E">
        <w:rPr>
          <w:rFonts w:ascii="Times New Roman" w:hAnsi="Times New Roman" w:cs="Times New Roman"/>
        </w:rPr>
        <w:t>=5455003. Acesso em: 20/03/2015</w:t>
      </w:r>
    </w:p>
  </w:footnote>
  <w:footnote w:id="11">
    <w:p w:rsidR="00592B12" w:rsidRPr="0043779E" w:rsidRDefault="00592B12" w:rsidP="00F30319">
      <w:pPr>
        <w:pStyle w:val="Textodenotaderodap"/>
        <w:rPr>
          <w:rFonts w:ascii="Times New Roman" w:hAnsi="Times New Roman" w:cs="Times New Roman"/>
        </w:rPr>
      </w:pPr>
      <w:r w:rsidRPr="0043779E">
        <w:rPr>
          <w:rStyle w:val="Refdenotaderodap"/>
          <w:rFonts w:ascii="Times New Roman" w:hAnsi="Times New Roman" w:cs="Times New Roman"/>
        </w:rPr>
        <w:footnoteRef/>
      </w:r>
      <w:r w:rsidRPr="0043779E">
        <w:rPr>
          <w:rFonts w:ascii="Times New Roman" w:hAnsi="Times New Roman" w:cs="Times New Roman"/>
        </w:rPr>
        <w:t xml:space="preserve"> Idem</w:t>
      </w:r>
    </w:p>
  </w:footnote>
  <w:footnote w:id="12">
    <w:p w:rsidR="00DB3DF3" w:rsidRPr="00F30319" w:rsidRDefault="00DB3DF3" w:rsidP="00F30319">
      <w:pPr>
        <w:pStyle w:val="Textodenotaderodap"/>
        <w:rPr>
          <w:rFonts w:ascii="Times New Roman" w:hAnsi="Times New Roman" w:cs="Times New Roman"/>
        </w:rPr>
      </w:pPr>
      <w:r w:rsidRPr="0043779E">
        <w:rPr>
          <w:rStyle w:val="Refdenotaderodap"/>
          <w:rFonts w:ascii="Times New Roman" w:hAnsi="Times New Roman" w:cs="Times New Roman"/>
        </w:rPr>
        <w:footnoteRef/>
      </w:r>
      <w:r w:rsidRPr="0043779E">
        <w:rPr>
          <w:rFonts w:ascii="Times New Roman" w:hAnsi="Times New Roman" w:cs="Times New Roman"/>
        </w:rPr>
        <w:t xml:space="preserve"> </w:t>
      </w:r>
      <w:r w:rsidR="00F30319" w:rsidRPr="0043779E">
        <w:rPr>
          <w:rFonts w:ascii="Times New Roman" w:hAnsi="Times New Roman" w:cs="Times New Roman"/>
        </w:rPr>
        <w:t>BRASIL. Sup</w:t>
      </w:r>
      <w:r w:rsidR="00F30319">
        <w:rPr>
          <w:rFonts w:ascii="Times New Roman" w:hAnsi="Times New Roman" w:cs="Times New Roman"/>
        </w:rPr>
        <w:t xml:space="preserve">erior Tribunal de Justiça. Op. Cit.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86A"/>
    <w:multiLevelType w:val="multilevel"/>
    <w:tmpl w:val="EE1C4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FBC39BC"/>
    <w:multiLevelType w:val="hybridMultilevel"/>
    <w:tmpl w:val="D17636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71E6D"/>
    <w:multiLevelType w:val="hybridMultilevel"/>
    <w:tmpl w:val="E2C2E1C8"/>
    <w:lvl w:ilvl="0" w:tplc="40CE92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87AF6"/>
    <w:multiLevelType w:val="hybridMultilevel"/>
    <w:tmpl w:val="8E96BDBC"/>
    <w:lvl w:ilvl="0" w:tplc="8D7438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A28AC"/>
    <w:multiLevelType w:val="hybridMultilevel"/>
    <w:tmpl w:val="C9740328"/>
    <w:lvl w:ilvl="0" w:tplc="4FFA8F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021CE"/>
    <w:multiLevelType w:val="hybridMultilevel"/>
    <w:tmpl w:val="418AB98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C208CC"/>
    <w:multiLevelType w:val="hybridMultilevel"/>
    <w:tmpl w:val="4072C9A0"/>
    <w:lvl w:ilvl="0" w:tplc="49C220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19"/>
    <w:rsid w:val="00007A75"/>
    <w:rsid w:val="00007DB3"/>
    <w:rsid w:val="00011F7B"/>
    <w:rsid w:val="0001659D"/>
    <w:rsid w:val="000213A3"/>
    <w:rsid w:val="00023142"/>
    <w:rsid w:val="00024966"/>
    <w:rsid w:val="00026500"/>
    <w:rsid w:val="00033C3B"/>
    <w:rsid w:val="00036A4C"/>
    <w:rsid w:val="00040CE7"/>
    <w:rsid w:val="00045FDA"/>
    <w:rsid w:val="000531FA"/>
    <w:rsid w:val="00053C1C"/>
    <w:rsid w:val="000604FE"/>
    <w:rsid w:val="00084886"/>
    <w:rsid w:val="00094D72"/>
    <w:rsid w:val="000B0D48"/>
    <w:rsid w:val="000B368A"/>
    <w:rsid w:val="000D7C4B"/>
    <w:rsid w:val="000D7D4F"/>
    <w:rsid w:val="000E3BB0"/>
    <w:rsid w:val="000F5752"/>
    <w:rsid w:val="00107E28"/>
    <w:rsid w:val="001135C5"/>
    <w:rsid w:val="001159CB"/>
    <w:rsid w:val="00122508"/>
    <w:rsid w:val="00123659"/>
    <w:rsid w:val="00130BE6"/>
    <w:rsid w:val="00135802"/>
    <w:rsid w:val="00144449"/>
    <w:rsid w:val="001454A0"/>
    <w:rsid w:val="001549E5"/>
    <w:rsid w:val="001644FB"/>
    <w:rsid w:val="001649D9"/>
    <w:rsid w:val="00176161"/>
    <w:rsid w:val="00186881"/>
    <w:rsid w:val="00191693"/>
    <w:rsid w:val="00194164"/>
    <w:rsid w:val="00197F4C"/>
    <w:rsid w:val="001B5551"/>
    <w:rsid w:val="001F51AB"/>
    <w:rsid w:val="00201FAD"/>
    <w:rsid w:val="002110BB"/>
    <w:rsid w:val="00231FB9"/>
    <w:rsid w:val="00247C35"/>
    <w:rsid w:val="0025628E"/>
    <w:rsid w:val="002671A6"/>
    <w:rsid w:val="002703DD"/>
    <w:rsid w:val="0027574D"/>
    <w:rsid w:val="00281226"/>
    <w:rsid w:val="00284716"/>
    <w:rsid w:val="00285D4C"/>
    <w:rsid w:val="002862A1"/>
    <w:rsid w:val="00290DED"/>
    <w:rsid w:val="002978F4"/>
    <w:rsid w:val="002A1E27"/>
    <w:rsid w:val="002B2419"/>
    <w:rsid w:val="002C7666"/>
    <w:rsid w:val="002D1DD0"/>
    <w:rsid w:val="002D4472"/>
    <w:rsid w:val="002D497C"/>
    <w:rsid w:val="002D5805"/>
    <w:rsid w:val="002E0108"/>
    <w:rsid w:val="002F656A"/>
    <w:rsid w:val="00301E21"/>
    <w:rsid w:val="00321BF5"/>
    <w:rsid w:val="00335012"/>
    <w:rsid w:val="00363043"/>
    <w:rsid w:val="003653B2"/>
    <w:rsid w:val="0037123B"/>
    <w:rsid w:val="003779C7"/>
    <w:rsid w:val="00381A10"/>
    <w:rsid w:val="003837D4"/>
    <w:rsid w:val="00387F58"/>
    <w:rsid w:val="00396586"/>
    <w:rsid w:val="003A1BC3"/>
    <w:rsid w:val="003C3F9B"/>
    <w:rsid w:val="003D3E46"/>
    <w:rsid w:val="003E49A2"/>
    <w:rsid w:val="003E4CC5"/>
    <w:rsid w:val="003F1AD6"/>
    <w:rsid w:val="003F60B9"/>
    <w:rsid w:val="00405256"/>
    <w:rsid w:val="00415757"/>
    <w:rsid w:val="004252FF"/>
    <w:rsid w:val="00430524"/>
    <w:rsid w:val="00434140"/>
    <w:rsid w:val="0043779E"/>
    <w:rsid w:val="004422D9"/>
    <w:rsid w:val="00446F53"/>
    <w:rsid w:val="004477DD"/>
    <w:rsid w:val="00450569"/>
    <w:rsid w:val="0045336F"/>
    <w:rsid w:val="004545D4"/>
    <w:rsid w:val="00466720"/>
    <w:rsid w:val="00474C74"/>
    <w:rsid w:val="0048387F"/>
    <w:rsid w:val="00486E02"/>
    <w:rsid w:val="00491068"/>
    <w:rsid w:val="004932C7"/>
    <w:rsid w:val="004A0C6B"/>
    <w:rsid w:val="004A458C"/>
    <w:rsid w:val="004A6032"/>
    <w:rsid w:val="004C2DAD"/>
    <w:rsid w:val="004D28C1"/>
    <w:rsid w:val="004D35C1"/>
    <w:rsid w:val="004F6C87"/>
    <w:rsid w:val="005002BF"/>
    <w:rsid w:val="005019E8"/>
    <w:rsid w:val="00520926"/>
    <w:rsid w:val="00526955"/>
    <w:rsid w:val="0053506E"/>
    <w:rsid w:val="00537E2F"/>
    <w:rsid w:val="0055724D"/>
    <w:rsid w:val="005572CD"/>
    <w:rsid w:val="00571D30"/>
    <w:rsid w:val="00574546"/>
    <w:rsid w:val="00591045"/>
    <w:rsid w:val="00592B12"/>
    <w:rsid w:val="005A4A96"/>
    <w:rsid w:val="005D159D"/>
    <w:rsid w:val="005D15D7"/>
    <w:rsid w:val="005D225E"/>
    <w:rsid w:val="005D37F1"/>
    <w:rsid w:val="005E4513"/>
    <w:rsid w:val="00601BA3"/>
    <w:rsid w:val="0061024E"/>
    <w:rsid w:val="00613AD8"/>
    <w:rsid w:val="0061614F"/>
    <w:rsid w:val="006324F5"/>
    <w:rsid w:val="00665F55"/>
    <w:rsid w:val="006704A6"/>
    <w:rsid w:val="006A1296"/>
    <w:rsid w:val="006B1D4A"/>
    <w:rsid w:val="006C05DA"/>
    <w:rsid w:val="006D4CA9"/>
    <w:rsid w:val="006E171F"/>
    <w:rsid w:val="006E25D1"/>
    <w:rsid w:val="006F1753"/>
    <w:rsid w:val="007041DD"/>
    <w:rsid w:val="00737616"/>
    <w:rsid w:val="00742824"/>
    <w:rsid w:val="00751F3A"/>
    <w:rsid w:val="00754C19"/>
    <w:rsid w:val="00754D8A"/>
    <w:rsid w:val="00766BEC"/>
    <w:rsid w:val="00771C8D"/>
    <w:rsid w:val="00774EBB"/>
    <w:rsid w:val="00775BA7"/>
    <w:rsid w:val="007900AB"/>
    <w:rsid w:val="007C35F8"/>
    <w:rsid w:val="007C44C3"/>
    <w:rsid w:val="007C7E57"/>
    <w:rsid w:val="007E1A92"/>
    <w:rsid w:val="007E404E"/>
    <w:rsid w:val="007F2E5B"/>
    <w:rsid w:val="0081187B"/>
    <w:rsid w:val="008135B7"/>
    <w:rsid w:val="0081795C"/>
    <w:rsid w:val="00845EAC"/>
    <w:rsid w:val="00846149"/>
    <w:rsid w:val="008523BD"/>
    <w:rsid w:val="008573D4"/>
    <w:rsid w:val="00870100"/>
    <w:rsid w:val="008706E1"/>
    <w:rsid w:val="00890859"/>
    <w:rsid w:val="00891571"/>
    <w:rsid w:val="0089504A"/>
    <w:rsid w:val="008965F4"/>
    <w:rsid w:val="008A3554"/>
    <w:rsid w:val="008A7ECD"/>
    <w:rsid w:val="008E2270"/>
    <w:rsid w:val="008F783A"/>
    <w:rsid w:val="00902903"/>
    <w:rsid w:val="0090497C"/>
    <w:rsid w:val="00907AB3"/>
    <w:rsid w:val="00913700"/>
    <w:rsid w:val="00917257"/>
    <w:rsid w:val="00932F77"/>
    <w:rsid w:val="009408AD"/>
    <w:rsid w:val="00945D87"/>
    <w:rsid w:val="00963C49"/>
    <w:rsid w:val="00970BDD"/>
    <w:rsid w:val="00975179"/>
    <w:rsid w:val="009918E4"/>
    <w:rsid w:val="00992F5B"/>
    <w:rsid w:val="00995CA1"/>
    <w:rsid w:val="009A6CE9"/>
    <w:rsid w:val="009B0BC7"/>
    <w:rsid w:val="009B1C1F"/>
    <w:rsid w:val="009B2E58"/>
    <w:rsid w:val="009B5894"/>
    <w:rsid w:val="009B5C00"/>
    <w:rsid w:val="009D188B"/>
    <w:rsid w:val="009D4556"/>
    <w:rsid w:val="009F0650"/>
    <w:rsid w:val="009F0930"/>
    <w:rsid w:val="00A0351C"/>
    <w:rsid w:val="00A0363D"/>
    <w:rsid w:val="00A07E03"/>
    <w:rsid w:val="00A12B5D"/>
    <w:rsid w:val="00A2760B"/>
    <w:rsid w:val="00A42F54"/>
    <w:rsid w:val="00A523C9"/>
    <w:rsid w:val="00A56DFB"/>
    <w:rsid w:val="00A843A4"/>
    <w:rsid w:val="00A86DDC"/>
    <w:rsid w:val="00AA7991"/>
    <w:rsid w:val="00AB6EB8"/>
    <w:rsid w:val="00AC0239"/>
    <w:rsid w:val="00AC4C9F"/>
    <w:rsid w:val="00AD760E"/>
    <w:rsid w:val="00AE3AE3"/>
    <w:rsid w:val="00AE4D51"/>
    <w:rsid w:val="00AE769B"/>
    <w:rsid w:val="00B03E6C"/>
    <w:rsid w:val="00B077DA"/>
    <w:rsid w:val="00B37887"/>
    <w:rsid w:val="00B46DFC"/>
    <w:rsid w:val="00B46E91"/>
    <w:rsid w:val="00B53CB6"/>
    <w:rsid w:val="00B74FBA"/>
    <w:rsid w:val="00B86B34"/>
    <w:rsid w:val="00B931EC"/>
    <w:rsid w:val="00B935B0"/>
    <w:rsid w:val="00BA423A"/>
    <w:rsid w:val="00BB289A"/>
    <w:rsid w:val="00BB2F6C"/>
    <w:rsid w:val="00BC1466"/>
    <w:rsid w:val="00BD446D"/>
    <w:rsid w:val="00BF68A2"/>
    <w:rsid w:val="00BF73B5"/>
    <w:rsid w:val="00C17613"/>
    <w:rsid w:val="00C22A8F"/>
    <w:rsid w:val="00C35147"/>
    <w:rsid w:val="00C47D18"/>
    <w:rsid w:val="00C528AB"/>
    <w:rsid w:val="00C54D07"/>
    <w:rsid w:val="00C60804"/>
    <w:rsid w:val="00C61DE0"/>
    <w:rsid w:val="00C8109C"/>
    <w:rsid w:val="00C828DC"/>
    <w:rsid w:val="00C87B68"/>
    <w:rsid w:val="00C9051D"/>
    <w:rsid w:val="00C91528"/>
    <w:rsid w:val="00CA0094"/>
    <w:rsid w:val="00CA7E67"/>
    <w:rsid w:val="00CC0981"/>
    <w:rsid w:val="00CC2223"/>
    <w:rsid w:val="00CD17AE"/>
    <w:rsid w:val="00CD2C03"/>
    <w:rsid w:val="00CD7106"/>
    <w:rsid w:val="00CE248D"/>
    <w:rsid w:val="00CF115B"/>
    <w:rsid w:val="00CF26CA"/>
    <w:rsid w:val="00D02E82"/>
    <w:rsid w:val="00D124ED"/>
    <w:rsid w:val="00D31C3A"/>
    <w:rsid w:val="00D35546"/>
    <w:rsid w:val="00D46DCE"/>
    <w:rsid w:val="00D62428"/>
    <w:rsid w:val="00D634FB"/>
    <w:rsid w:val="00D7367A"/>
    <w:rsid w:val="00D73ED9"/>
    <w:rsid w:val="00D7688D"/>
    <w:rsid w:val="00D820DB"/>
    <w:rsid w:val="00D8248A"/>
    <w:rsid w:val="00D9566F"/>
    <w:rsid w:val="00DB12CE"/>
    <w:rsid w:val="00DB3DF3"/>
    <w:rsid w:val="00DB3FC7"/>
    <w:rsid w:val="00DC06C9"/>
    <w:rsid w:val="00DC5360"/>
    <w:rsid w:val="00DD02D7"/>
    <w:rsid w:val="00DD409F"/>
    <w:rsid w:val="00DD4B77"/>
    <w:rsid w:val="00DE07BA"/>
    <w:rsid w:val="00E12D96"/>
    <w:rsid w:val="00E14519"/>
    <w:rsid w:val="00E317AE"/>
    <w:rsid w:val="00E425AC"/>
    <w:rsid w:val="00E91820"/>
    <w:rsid w:val="00EA178F"/>
    <w:rsid w:val="00EA2EBC"/>
    <w:rsid w:val="00EA3048"/>
    <w:rsid w:val="00EB1FDE"/>
    <w:rsid w:val="00EB77DF"/>
    <w:rsid w:val="00EC345C"/>
    <w:rsid w:val="00EE6569"/>
    <w:rsid w:val="00F06DB0"/>
    <w:rsid w:val="00F15975"/>
    <w:rsid w:val="00F17149"/>
    <w:rsid w:val="00F23F42"/>
    <w:rsid w:val="00F25479"/>
    <w:rsid w:val="00F30319"/>
    <w:rsid w:val="00F3113F"/>
    <w:rsid w:val="00F4237E"/>
    <w:rsid w:val="00F42D4B"/>
    <w:rsid w:val="00F4682F"/>
    <w:rsid w:val="00F620D9"/>
    <w:rsid w:val="00F62AA0"/>
    <w:rsid w:val="00F67281"/>
    <w:rsid w:val="00F71E1B"/>
    <w:rsid w:val="00F730FE"/>
    <w:rsid w:val="00F75B3D"/>
    <w:rsid w:val="00F90A34"/>
    <w:rsid w:val="00F96B7B"/>
    <w:rsid w:val="00F97F78"/>
    <w:rsid w:val="00FA184E"/>
    <w:rsid w:val="00FB5AC9"/>
    <w:rsid w:val="00FC4984"/>
    <w:rsid w:val="00FC50A4"/>
    <w:rsid w:val="00FC52C3"/>
    <w:rsid w:val="00FD3F64"/>
    <w:rsid w:val="00FF23F9"/>
    <w:rsid w:val="00FF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4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3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B2419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2419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419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419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419"/>
    <w:rPr>
      <w:rFonts w:ascii="Tahoma" w:hAnsi="Tahoma" w:cs="Tahoma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130BE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78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E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E4D5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D17AE"/>
  </w:style>
  <w:style w:type="paragraph" w:styleId="NormalWeb">
    <w:name w:val="Normal (Web)"/>
    <w:basedOn w:val="Normal"/>
    <w:uiPriority w:val="99"/>
    <w:semiHidden/>
    <w:unhideWhenUsed/>
    <w:rsid w:val="0066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3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4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3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B2419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B24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2419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2B241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419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B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419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419"/>
    <w:rPr>
      <w:rFonts w:ascii="Tahoma" w:hAnsi="Tahoma" w:cs="Tahoma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130BE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78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E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E4D5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D17AE"/>
  </w:style>
  <w:style w:type="paragraph" w:styleId="NormalWeb">
    <w:name w:val="Normal (Web)"/>
    <w:basedOn w:val="Normal"/>
    <w:uiPriority w:val="99"/>
    <w:semiHidden/>
    <w:unhideWhenUsed/>
    <w:rsid w:val="0066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3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85F3F-A7DF-4052-93D7-37284709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7854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2016-07-26T13:50:00Z</dcterms:created>
  <dcterms:modified xsi:type="dcterms:W3CDTF">2016-07-26T13:50:00Z</dcterms:modified>
</cp:coreProperties>
</file>