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936" w:rsidRDefault="00DE5936" w:rsidP="00DE5936">
      <w:pPr>
        <w:rPr>
          <w:rFonts w:ascii="Times New Roman" w:hAnsi="Times New Roman" w:cs="Times New Roman"/>
          <w:sz w:val="28"/>
        </w:rPr>
      </w:pPr>
      <w:r w:rsidRPr="00086DFF">
        <w:rPr>
          <w:rFonts w:ascii="Times New Roman" w:hAnsi="Times New Roman" w:cs="Times New Roman"/>
          <w:sz w:val="28"/>
        </w:rPr>
        <w:object w:dxaOrig="9874" w:dyaOrig="1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29.25pt" o:ole="" fillcolor="window">
            <v:imagedata r:id="rId7" o:title=""/>
          </v:shape>
          <o:OLEObject Type="Embed" ProgID="Msxml2.SAXXMLReader.5.0" ShapeID="_x0000_i1025" DrawAspect="Content" ObjectID="_1529052589" r:id="rId8"/>
        </w:object>
      </w:r>
    </w:p>
    <w:p w:rsidR="00DE5936" w:rsidRDefault="00DE5936" w:rsidP="00DE5936">
      <w:pPr>
        <w:rPr>
          <w:rFonts w:ascii="Times New Roman" w:hAnsi="Times New Roman" w:cs="Times New Roman"/>
          <w:sz w:val="28"/>
          <w:szCs w:val="28"/>
        </w:rPr>
      </w:pPr>
    </w:p>
    <w:p w:rsidR="00DE5936" w:rsidRDefault="00DE5936" w:rsidP="00DE5936">
      <w:pPr>
        <w:jc w:val="center"/>
        <w:rPr>
          <w:rFonts w:ascii="Times New Roman" w:hAnsi="Times New Roman" w:cs="Times New Roman"/>
          <w:b/>
          <w:bCs/>
          <w:sz w:val="28"/>
          <w:szCs w:val="28"/>
        </w:rPr>
      </w:pPr>
      <w:r>
        <w:rPr>
          <w:rFonts w:ascii="Times New Roman" w:hAnsi="Times New Roman" w:cs="Times New Roman"/>
          <w:b/>
          <w:sz w:val="28"/>
          <w:szCs w:val="28"/>
        </w:rPr>
        <w:t>Súmula Vinculante: Legislação ou interpretação?</w:t>
      </w:r>
      <w:r>
        <w:rPr>
          <w:rStyle w:val="Refdenotaderodap"/>
          <w:rFonts w:ascii="Times New Roman" w:hAnsi="Times New Roman" w:cs="Times New Roman"/>
          <w:b/>
          <w:bCs/>
          <w:sz w:val="28"/>
          <w:szCs w:val="28"/>
        </w:rPr>
        <w:t xml:space="preserve"> </w:t>
      </w:r>
      <w:r>
        <w:rPr>
          <w:rStyle w:val="Refdenotaderodap"/>
          <w:rFonts w:ascii="Times New Roman" w:hAnsi="Times New Roman" w:cs="Times New Roman"/>
          <w:b/>
          <w:bCs/>
          <w:sz w:val="28"/>
          <w:szCs w:val="28"/>
        </w:rPr>
        <w:footnoteReference w:id="1"/>
      </w:r>
    </w:p>
    <w:p w:rsidR="00DE5936" w:rsidRDefault="00DE5936" w:rsidP="00DE5936">
      <w:pPr>
        <w:jc w:val="center"/>
        <w:rPr>
          <w:rFonts w:ascii="Times New Roman" w:hAnsi="Times New Roman" w:cs="Times New Roman"/>
          <w:b/>
          <w:bCs/>
          <w:sz w:val="28"/>
          <w:szCs w:val="28"/>
        </w:rPr>
      </w:pPr>
    </w:p>
    <w:p w:rsidR="00640F5B" w:rsidRDefault="00640F5B" w:rsidP="00DE5936">
      <w:pPr>
        <w:spacing w:line="240" w:lineRule="auto"/>
        <w:jc w:val="right"/>
        <w:rPr>
          <w:rFonts w:ascii="Times New Roman" w:hAnsi="Times New Roman" w:cs="Times New Roman"/>
          <w:bCs/>
          <w:i/>
          <w:sz w:val="24"/>
          <w:szCs w:val="24"/>
        </w:rPr>
      </w:pPr>
      <w:r>
        <w:rPr>
          <w:rFonts w:ascii="Times New Roman" w:hAnsi="Times New Roman" w:cs="Times New Roman"/>
          <w:bCs/>
          <w:i/>
          <w:sz w:val="24"/>
          <w:szCs w:val="24"/>
        </w:rPr>
        <w:t>Paulo Ricardo Martins</w:t>
      </w:r>
    </w:p>
    <w:p w:rsidR="00640F5B" w:rsidRDefault="00640F5B" w:rsidP="00640F5B">
      <w:pPr>
        <w:spacing w:line="240" w:lineRule="auto"/>
        <w:jc w:val="right"/>
        <w:rPr>
          <w:rFonts w:ascii="Times New Roman" w:hAnsi="Times New Roman" w:cs="Times New Roman"/>
          <w:bCs/>
          <w:i/>
          <w:sz w:val="24"/>
          <w:szCs w:val="24"/>
        </w:rPr>
      </w:pPr>
      <w:r>
        <w:rPr>
          <w:rFonts w:ascii="Times New Roman" w:hAnsi="Times New Roman" w:cs="Times New Roman"/>
          <w:bCs/>
          <w:i/>
          <w:sz w:val="24"/>
          <w:szCs w:val="24"/>
        </w:rPr>
        <w:t>Rogério de Sousa Tele</w:t>
      </w:r>
      <w:r>
        <w:rPr>
          <w:rFonts w:ascii="Times New Roman" w:hAnsi="Times New Roman" w:cs="Times New Roman"/>
          <w:bCs/>
          <w:i/>
          <w:sz w:val="24"/>
          <w:szCs w:val="24"/>
        </w:rPr>
        <w:t>s</w:t>
      </w:r>
      <w:r w:rsidRPr="00640F5B">
        <w:rPr>
          <w:rFonts w:ascii="Times New Roman" w:hAnsi="Times New Roman" w:cs="Times New Roman"/>
          <w:bCs/>
          <w:i/>
          <w:sz w:val="24"/>
          <w:szCs w:val="24"/>
        </w:rPr>
        <w:t xml:space="preserve"> </w:t>
      </w:r>
    </w:p>
    <w:p w:rsidR="00DE5936" w:rsidRDefault="00640F5B" w:rsidP="00DE5936">
      <w:pPr>
        <w:spacing w:line="240" w:lineRule="auto"/>
        <w:jc w:val="right"/>
        <w:rPr>
          <w:rFonts w:ascii="Times New Roman" w:hAnsi="Times New Roman" w:cs="Times New Roman"/>
          <w:bCs/>
          <w:i/>
          <w:sz w:val="24"/>
          <w:szCs w:val="24"/>
        </w:rPr>
      </w:pPr>
      <w:r>
        <w:rPr>
          <w:rFonts w:ascii="Times New Roman" w:hAnsi="Times New Roman" w:cs="Times New Roman"/>
          <w:bCs/>
          <w:i/>
          <w:sz w:val="24"/>
          <w:szCs w:val="24"/>
        </w:rPr>
        <w:t>Thales de Castro Torres</w:t>
      </w:r>
      <w:r w:rsidR="00DE5936">
        <w:rPr>
          <w:rStyle w:val="Refdenotaderodap"/>
          <w:rFonts w:ascii="Times New Roman" w:hAnsi="Times New Roman" w:cs="Times New Roman"/>
          <w:bCs/>
          <w:i/>
          <w:sz w:val="24"/>
          <w:szCs w:val="24"/>
        </w:rPr>
        <w:footnoteReference w:id="2"/>
      </w:r>
    </w:p>
    <w:p w:rsidR="00DE5936" w:rsidRPr="00680CE6" w:rsidRDefault="00DE5936" w:rsidP="00DE5936">
      <w:pPr>
        <w:spacing w:line="240" w:lineRule="auto"/>
        <w:jc w:val="right"/>
        <w:rPr>
          <w:rFonts w:ascii="Times New Roman" w:hAnsi="Times New Roman" w:cs="Times New Roman"/>
          <w:bCs/>
          <w:i/>
          <w:sz w:val="24"/>
          <w:szCs w:val="24"/>
        </w:rPr>
      </w:pPr>
      <w:r>
        <w:rPr>
          <w:rFonts w:ascii="Times New Roman" w:hAnsi="Times New Roman" w:cs="Times New Roman"/>
          <w:bCs/>
          <w:i/>
          <w:sz w:val="24"/>
          <w:szCs w:val="24"/>
        </w:rPr>
        <w:t>Gabriel Cruz</w:t>
      </w:r>
      <w:r>
        <w:rPr>
          <w:rStyle w:val="Refdenotaderodap"/>
          <w:rFonts w:ascii="Times New Roman" w:hAnsi="Times New Roman" w:cs="Times New Roman"/>
          <w:bCs/>
          <w:i/>
          <w:sz w:val="24"/>
          <w:szCs w:val="24"/>
        </w:rPr>
        <w:footnoteReference w:id="3"/>
      </w:r>
    </w:p>
    <w:p w:rsidR="00DE5936" w:rsidRDefault="00DE5936" w:rsidP="00DE5936">
      <w:pPr>
        <w:pStyle w:val="PargrafodaLista"/>
        <w:spacing w:before="120" w:after="120" w:line="240" w:lineRule="auto"/>
        <w:ind w:left="2268"/>
        <w:jc w:val="both"/>
        <w:rPr>
          <w:rFonts w:ascii="Times New Roman" w:hAnsi="Times New Roman" w:cs="Times New Roman"/>
          <w:b/>
          <w:bCs/>
          <w:sz w:val="20"/>
          <w:szCs w:val="20"/>
        </w:rPr>
      </w:pPr>
    </w:p>
    <w:p w:rsidR="00DE5936" w:rsidRDefault="00DE5936" w:rsidP="00DE5936">
      <w:pPr>
        <w:pStyle w:val="PargrafodaLista"/>
        <w:spacing w:before="120" w:after="120" w:line="240" w:lineRule="auto"/>
        <w:ind w:left="2268"/>
        <w:jc w:val="both"/>
        <w:rPr>
          <w:rFonts w:ascii="Times New Roman" w:hAnsi="Times New Roman" w:cs="Times New Roman"/>
          <w:sz w:val="20"/>
          <w:szCs w:val="20"/>
        </w:rPr>
      </w:pPr>
      <w:r>
        <w:rPr>
          <w:rFonts w:ascii="Times New Roman" w:hAnsi="Times New Roman" w:cs="Times New Roman"/>
          <w:b/>
          <w:bCs/>
          <w:sz w:val="20"/>
          <w:szCs w:val="20"/>
        </w:rPr>
        <w:t xml:space="preserve">SUMÁRIO: </w:t>
      </w:r>
      <w:r>
        <w:rPr>
          <w:rFonts w:ascii="Times New Roman" w:hAnsi="Times New Roman" w:cs="Times New Roman"/>
          <w:bCs/>
          <w:sz w:val="20"/>
          <w:szCs w:val="20"/>
        </w:rPr>
        <w:t xml:space="preserve">Resumo; Introdução; 1. </w:t>
      </w:r>
      <w:r>
        <w:rPr>
          <w:rFonts w:ascii="Times New Roman" w:hAnsi="Times New Roman" w:cs="Times New Roman"/>
          <w:sz w:val="20"/>
          <w:szCs w:val="20"/>
        </w:rPr>
        <w:t xml:space="preserve">Súmula </w:t>
      </w:r>
      <w:proofErr w:type="gramStart"/>
      <w:r>
        <w:rPr>
          <w:rFonts w:ascii="Times New Roman" w:hAnsi="Times New Roman" w:cs="Times New Roman"/>
          <w:sz w:val="20"/>
          <w:szCs w:val="20"/>
        </w:rPr>
        <w:t>Vinculante.;</w:t>
      </w:r>
      <w:proofErr w:type="gramEnd"/>
      <w:r>
        <w:rPr>
          <w:rFonts w:ascii="Times New Roman" w:hAnsi="Times New Roman" w:cs="Times New Roman"/>
          <w:sz w:val="20"/>
          <w:szCs w:val="20"/>
        </w:rPr>
        <w:t xml:space="preserve">   1.1 Definição; 1.2 Origem; 1.3 Importância. 2. </w:t>
      </w:r>
      <w:r w:rsidR="002957F5">
        <w:rPr>
          <w:rFonts w:ascii="Times New Roman" w:hAnsi="Times New Roman" w:cs="Times New Roman"/>
          <w:sz w:val="20"/>
          <w:szCs w:val="20"/>
        </w:rPr>
        <w:t>Criação e alteração</w:t>
      </w:r>
      <w:r w:rsidR="00493193">
        <w:rPr>
          <w:rFonts w:ascii="Times New Roman" w:hAnsi="Times New Roman" w:cs="Times New Roman"/>
          <w:sz w:val="20"/>
          <w:szCs w:val="20"/>
        </w:rPr>
        <w:t xml:space="preserve"> das súmulas vinculantes</w:t>
      </w:r>
      <w:r>
        <w:rPr>
          <w:rFonts w:ascii="Times New Roman" w:hAnsi="Times New Roman" w:cs="Times New Roman"/>
          <w:sz w:val="20"/>
          <w:szCs w:val="20"/>
        </w:rPr>
        <w:t>; 3. Aspectos positivos e negativos das Súmulas; 4. Legislação ou interpretação; Considerações Finais; Referências.</w:t>
      </w:r>
    </w:p>
    <w:p w:rsidR="00DE5936" w:rsidRDefault="00DE5936" w:rsidP="00DE5936">
      <w:pPr>
        <w:pStyle w:val="PargrafodaLista"/>
        <w:spacing w:before="120" w:after="120" w:line="240" w:lineRule="auto"/>
        <w:ind w:left="2268"/>
        <w:jc w:val="both"/>
        <w:rPr>
          <w:rFonts w:ascii="Times New Roman" w:hAnsi="Times New Roman" w:cs="Times New Roman"/>
          <w:sz w:val="20"/>
          <w:szCs w:val="20"/>
        </w:rPr>
      </w:pPr>
    </w:p>
    <w:p w:rsidR="00DE5936" w:rsidRDefault="00DE5936" w:rsidP="00DE5936">
      <w:pPr>
        <w:spacing w:before="100" w:beforeAutospacing="1" w:after="100" w:afterAutospacing="1" w:line="360" w:lineRule="auto"/>
        <w:jc w:val="center"/>
        <w:outlineLvl w:val="4"/>
        <w:rPr>
          <w:rFonts w:ascii="Times New Roman" w:eastAsia="Times New Roman" w:hAnsi="Times New Roman" w:cs="Times New Roman"/>
          <w:b/>
          <w:bCs/>
          <w:color w:val="000000"/>
          <w:sz w:val="24"/>
          <w:szCs w:val="24"/>
          <w:lang w:eastAsia="pt-BR"/>
        </w:rPr>
      </w:pPr>
    </w:p>
    <w:p w:rsidR="00DE5936" w:rsidRPr="001F77B4" w:rsidRDefault="00DE5936" w:rsidP="00DE5936">
      <w:pPr>
        <w:spacing w:before="100" w:beforeAutospacing="1" w:after="100" w:afterAutospacing="1" w:line="360" w:lineRule="auto"/>
        <w:jc w:val="center"/>
        <w:outlineLvl w:val="4"/>
        <w:rPr>
          <w:rFonts w:ascii="Times New Roman" w:eastAsia="Times New Roman" w:hAnsi="Times New Roman" w:cs="Times New Roman"/>
          <w:b/>
          <w:bCs/>
          <w:color w:val="000000"/>
          <w:sz w:val="24"/>
          <w:szCs w:val="24"/>
          <w:lang w:eastAsia="pt-BR"/>
        </w:rPr>
      </w:pPr>
      <w:r w:rsidRPr="001F77B4">
        <w:rPr>
          <w:rFonts w:ascii="Times New Roman" w:eastAsia="Times New Roman" w:hAnsi="Times New Roman" w:cs="Times New Roman"/>
          <w:b/>
          <w:bCs/>
          <w:color w:val="000000"/>
          <w:sz w:val="24"/>
          <w:szCs w:val="24"/>
          <w:lang w:eastAsia="pt-BR"/>
        </w:rPr>
        <w:t>RESUMO</w:t>
      </w:r>
    </w:p>
    <w:p w:rsidR="00DE5936" w:rsidRDefault="00DE5936" w:rsidP="00DE5936">
      <w:pPr>
        <w:spacing w:before="100" w:beforeAutospacing="1" w:after="100" w:afterAutospacing="1" w:line="360" w:lineRule="auto"/>
        <w:jc w:val="both"/>
        <w:outlineLvl w:val="4"/>
        <w:rPr>
          <w:rFonts w:ascii="Times New Roman" w:eastAsia="Times New Roman" w:hAnsi="Times New Roman" w:cs="Times New Roman"/>
          <w:bCs/>
          <w:color w:val="000000"/>
          <w:sz w:val="24"/>
          <w:szCs w:val="24"/>
          <w:lang w:eastAsia="pt-BR"/>
        </w:rPr>
      </w:pPr>
      <w:r>
        <w:rPr>
          <w:rFonts w:ascii="Times New Roman" w:eastAsia="Times New Roman" w:hAnsi="Times New Roman" w:cs="Times New Roman"/>
          <w:bCs/>
          <w:color w:val="000000"/>
          <w:sz w:val="24"/>
          <w:szCs w:val="24"/>
          <w:lang w:eastAsia="pt-BR"/>
        </w:rPr>
        <w:tab/>
      </w:r>
      <w:r w:rsidR="007C061E">
        <w:rPr>
          <w:rFonts w:ascii="Times New Roman" w:eastAsia="Times New Roman" w:hAnsi="Times New Roman" w:cs="Times New Roman"/>
          <w:bCs/>
          <w:color w:val="000000"/>
          <w:sz w:val="24"/>
          <w:szCs w:val="24"/>
          <w:lang w:eastAsia="pt-BR"/>
        </w:rPr>
        <w:t>A partir de informações elucidativas, primeiramente será feito um breve estudo acerca das súmulas, definindo-as, lecionando sobre sua origem e importância. Além disso, tratar-se-á do processo de criação e edição das súmulas, trazendo pontos aspectos positivos e negativos assim como os autores prós e contras desse dispositivo. E, enfim, depois de estudada, argumentos serão expostos para definir se as súmulas vinculantes são objeto de legislação ou interpretação do Poder Judiciário.</w:t>
      </w:r>
    </w:p>
    <w:p w:rsidR="00DE5936" w:rsidRDefault="00DE5936" w:rsidP="00DE5936">
      <w:pPr>
        <w:spacing w:before="100" w:beforeAutospacing="1" w:after="100" w:afterAutospacing="1" w:line="360" w:lineRule="auto"/>
        <w:jc w:val="both"/>
        <w:outlineLvl w:val="4"/>
        <w:rPr>
          <w:rFonts w:ascii="Times New Roman" w:eastAsia="Times New Roman" w:hAnsi="Times New Roman" w:cs="Times New Roman"/>
          <w:bCs/>
          <w:color w:val="000000"/>
          <w:sz w:val="24"/>
          <w:szCs w:val="24"/>
          <w:lang w:eastAsia="pt-BR"/>
        </w:rPr>
      </w:pPr>
    </w:p>
    <w:p w:rsidR="00DE5936" w:rsidRDefault="00DE5936" w:rsidP="00640F5B">
      <w:pPr>
        <w:spacing w:before="120" w:after="120" w:line="360" w:lineRule="auto"/>
        <w:jc w:val="both"/>
        <w:rPr>
          <w:rFonts w:ascii="Times New Roman" w:hAnsi="Times New Roman" w:cs="Times New Roman"/>
          <w:sz w:val="24"/>
          <w:szCs w:val="24"/>
        </w:rPr>
      </w:pPr>
      <w:r w:rsidRPr="00AA0BCB">
        <w:rPr>
          <w:rFonts w:ascii="Times New Roman" w:hAnsi="Times New Roman" w:cs="Times New Roman"/>
          <w:b/>
          <w:sz w:val="24"/>
          <w:szCs w:val="24"/>
        </w:rPr>
        <w:t>Palavras-chave:</w:t>
      </w:r>
      <w:r w:rsidR="007C061E">
        <w:rPr>
          <w:rFonts w:ascii="Times New Roman" w:hAnsi="Times New Roman" w:cs="Times New Roman"/>
          <w:b/>
          <w:sz w:val="24"/>
          <w:szCs w:val="24"/>
        </w:rPr>
        <w:t xml:space="preserve"> </w:t>
      </w:r>
      <w:r w:rsidR="007C061E">
        <w:rPr>
          <w:rFonts w:ascii="Times New Roman" w:hAnsi="Times New Roman" w:cs="Times New Roman"/>
          <w:sz w:val="24"/>
          <w:szCs w:val="24"/>
        </w:rPr>
        <w:t>Súmulas vinculantes; Poder Judiciário; Poder Legislativo; Funções típicas e atípicas; Normas; Enunciados nor</w:t>
      </w:r>
      <w:r w:rsidR="00640F5B">
        <w:rPr>
          <w:rFonts w:ascii="Times New Roman" w:hAnsi="Times New Roman" w:cs="Times New Roman"/>
          <w:sz w:val="24"/>
          <w:szCs w:val="24"/>
        </w:rPr>
        <w:t>mativos.</w:t>
      </w:r>
    </w:p>
    <w:p w:rsidR="00640F5B" w:rsidRPr="00640F5B" w:rsidRDefault="00640F5B" w:rsidP="00640F5B">
      <w:pPr>
        <w:spacing w:before="120" w:after="120" w:line="360" w:lineRule="auto"/>
        <w:jc w:val="both"/>
        <w:rPr>
          <w:rFonts w:ascii="Times New Roman" w:hAnsi="Times New Roman" w:cs="Times New Roman"/>
          <w:sz w:val="24"/>
          <w:szCs w:val="24"/>
        </w:rPr>
      </w:pPr>
    </w:p>
    <w:p w:rsidR="00DE5936" w:rsidRPr="003F57C9" w:rsidRDefault="00DE5936" w:rsidP="00DE5936">
      <w:pPr>
        <w:spacing w:before="100" w:beforeAutospacing="1" w:after="100" w:afterAutospacing="1" w:line="360" w:lineRule="auto"/>
        <w:jc w:val="both"/>
        <w:outlineLvl w:val="4"/>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lastRenderedPageBreak/>
        <w:tab/>
      </w:r>
      <w:r w:rsidRPr="003F57C9">
        <w:rPr>
          <w:rFonts w:ascii="Times New Roman" w:eastAsia="Times New Roman" w:hAnsi="Times New Roman" w:cs="Times New Roman"/>
          <w:b/>
          <w:bCs/>
          <w:color w:val="000000"/>
          <w:sz w:val="24"/>
          <w:szCs w:val="24"/>
          <w:lang w:eastAsia="pt-BR"/>
        </w:rPr>
        <w:t>INTRODUÇÃO</w:t>
      </w:r>
    </w:p>
    <w:p w:rsidR="007C061E" w:rsidRDefault="007C061E" w:rsidP="007C061E">
      <w:pPr>
        <w:pStyle w:val="NormalWeb"/>
        <w:spacing w:line="360" w:lineRule="auto"/>
        <w:ind w:firstLine="708"/>
        <w:jc w:val="both"/>
      </w:pPr>
      <w:r>
        <w:t xml:space="preserve">O presente paper tem como pontapé inicial um estudo à respeito das Súmulas Vinculantes, no qual tem por objetivo confrontar a doutrina que diverge sobre tal instrumento, no que tange a sua real função, ou seja, confrontar a ideia de quem defende que as súmulas vinculantes não vão na contramão da obrigação do judiciário, pois a mesma não age legislando, mas interpretando, já que parte de uma decisão reiterada baseada nas leis; contra quem acredita que a súmula vinculante extrapola os deveres do judiciário pois além de decidir algo novo, ainda a torna vinculante aos demais, uma função típica do poder legislativo, e ainda, a súmula vinculante, para alguns, gera transtornos dentro do próprio judiciário, uma vez que fere também o princípio da inexistência de hierarquia entre os tribunais. </w:t>
      </w:r>
    </w:p>
    <w:p w:rsidR="007C061E" w:rsidRDefault="007C061E" w:rsidP="007C061E">
      <w:pPr>
        <w:pStyle w:val="NormalWeb"/>
        <w:spacing w:line="360" w:lineRule="auto"/>
        <w:ind w:firstLine="708"/>
        <w:jc w:val="both"/>
      </w:pPr>
      <w:r>
        <w:t xml:space="preserve">Todavia o paper percorrerá um longo caminho de estudos sobre a súmula vinculante, antes de confrontar a polêmica que à cerca. Estudar-se-á a relevância desse instrumento do judiciário, um apanhado histórico anterior a Emenda Constitucional nº 45/04, para entendermos onde/como surgiu. Além disso, abordar-se-á todos os </w:t>
      </w:r>
      <w:proofErr w:type="spellStart"/>
      <w:r>
        <w:t>requesitos</w:t>
      </w:r>
      <w:proofErr w:type="spellEnd"/>
      <w:r>
        <w:t xml:space="preserve"> de uma súmula vinculante, no que tange a sua criação, como legitimados para tanto, como ocorre esse processo e ainda a possibilidade de alterar uma já existente. </w:t>
      </w:r>
    </w:p>
    <w:p w:rsidR="007C061E" w:rsidRDefault="007C061E" w:rsidP="007C061E">
      <w:pPr>
        <w:pStyle w:val="NormalWeb"/>
        <w:spacing w:line="360" w:lineRule="auto"/>
        <w:ind w:firstLine="708"/>
        <w:jc w:val="both"/>
      </w:pPr>
      <w:r>
        <w:t xml:space="preserve">O trabalho terá outro momento polêmico, que apesar de não ser o foco, é de suma importância o estudo deste para um esclarecimento mais completo das súmulas vinculantes, o qual trata dos prós e contras das mesmas, esmiuçar-se-á a doutrina em busca disso, trabalhar as ideias, contrapondo-as, de o Judiciário ser uma máquina engessada ou de se tratar de uma forma de descongestionar os trabalhos de um Tribunal. E por fim, à luz de tudo que for exposto, tirar uma conclusão se há um rompimento com a tripartição de poderes e se as Súmulas Vinculantes são de matéria interpretativa ou legislativa. </w:t>
      </w:r>
    </w:p>
    <w:p w:rsidR="00DE5936" w:rsidRDefault="00DE5936" w:rsidP="007C061E">
      <w:pPr>
        <w:pStyle w:val="PargrafodaLista"/>
        <w:spacing w:line="360" w:lineRule="auto"/>
        <w:ind w:left="0" w:hanging="11"/>
        <w:jc w:val="both"/>
        <w:rPr>
          <w:rFonts w:ascii="Times New Roman" w:hAnsi="Times New Roman" w:cs="Times New Roman"/>
          <w:i/>
          <w:sz w:val="24"/>
          <w:szCs w:val="24"/>
        </w:rPr>
      </w:pPr>
      <w:r>
        <w:rPr>
          <w:rFonts w:ascii="Times New Roman" w:hAnsi="Times New Roman" w:cs="Times New Roman"/>
          <w:i/>
          <w:sz w:val="24"/>
          <w:szCs w:val="24"/>
        </w:rPr>
        <w:t xml:space="preserve"> </w:t>
      </w:r>
    </w:p>
    <w:p w:rsidR="00DE5936" w:rsidRDefault="00DE5936" w:rsidP="00DE5936">
      <w:pPr>
        <w:pStyle w:val="PargrafodaLista"/>
        <w:spacing w:line="360" w:lineRule="auto"/>
        <w:ind w:left="0" w:hanging="11"/>
        <w:jc w:val="both"/>
        <w:rPr>
          <w:rFonts w:ascii="Times New Roman" w:hAnsi="Times New Roman" w:cs="Times New Roman"/>
          <w:i/>
          <w:sz w:val="24"/>
          <w:szCs w:val="24"/>
        </w:rPr>
      </w:pPr>
    </w:p>
    <w:p w:rsidR="00DE5936" w:rsidRDefault="00DE5936" w:rsidP="00DE5936">
      <w:pPr>
        <w:pStyle w:val="PargrafodaLista"/>
        <w:spacing w:line="360" w:lineRule="auto"/>
        <w:ind w:left="0" w:hanging="11"/>
        <w:jc w:val="both"/>
        <w:rPr>
          <w:rFonts w:ascii="Times New Roman" w:hAnsi="Times New Roman" w:cs="Times New Roman"/>
          <w:i/>
          <w:sz w:val="24"/>
          <w:szCs w:val="24"/>
        </w:rPr>
      </w:pPr>
    </w:p>
    <w:p w:rsidR="007C061E" w:rsidRPr="007C061E" w:rsidRDefault="007C061E" w:rsidP="007C061E">
      <w:pPr>
        <w:spacing w:line="360" w:lineRule="auto"/>
        <w:jc w:val="both"/>
        <w:rPr>
          <w:rFonts w:ascii="Times New Roman" w:hAnsi="Times New Roman" w:cs="Times New Roman"/>
          <w:i/>
          <w:sz w:val="24"/>
          <w:szCs w:val="24"/>
        </w:rPr>
      </w:pPr>
    </w:p>
    <w:p w:rsidR="007C061E" w:rsidRPr="007C061E" w:rsidRDefault="007C061E" w:rsidP="007C061E">
      <w:pPr>
        <w:pStyle w:val="PargrafodaLista"/>
        <w:spacing w:line="360" w:lineRule="auto"/>
        <w:ind w:left="0" w:hanging="11"/>
        <w:jc w:val="both"/>
        <w:rPr>
          <w:rFonts w:ascii="Times New Roman" w:hAnsi="Times New Roman" w:cs="Times New Roman"/>
          <w:i/>
          <w:sz w:val="24"/>
          <w:szCs w:val="24"/>
        </w:rPr>
      </w:pPr>
    </w:p>
    <w:p w:rsidR="00DE5936" w:rsidRDefault="00DE5936" w:rsidP="00DE5936">
      <w:pPr>
        <w:pStyle w:val="PargrafodaLista"/>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SÚMULA VINCULANTE</w:t>
      </w:r>
    </w:p>
    <w:p w:rsidR="00DE5936" w:rsidRDefault="00DE5936" w:rsidP="00DE5936">
      <w:pPr>
        <w:pStyle w:val="PargrafodaLista"/>
        <w:spacing w:line="360" w:lineRule="auto"/>
        <w:ind w:left="709"/>
        <w:jc w:val="both"/>
        <w:rPr>
          <w:rFonts w:ascii="Times New Roman" w:hAnsi="Times New Roman" w:cs="Times New Roman"/>
          <w:b/>
          <w:sz w:val="24"/>
          <w:szCs w:val="24"/>
        </w:rPr>
      </w:pPr>
    </w:p>
    <w:p w:rsidR="00DE5936" w:rsidRPr="00ED5CFA" w:rsidRDefault="00DE5936" w:rsidP="00DE5936">
      <w:pPr>
        <w:pStyle w:val="PargrafodaLista"/>
        <w:spacing w:line="360" w:lineRule="auto"/>
        <w:ind w:left="709"/>
        <w:jc w:val="both"/>
        <w:rPr>
          <w:rFonts w:ascii="Times New Roman" w:hAnsi="Times New Roman" w:cs="Times New Roman"/>
          <w:b/>
          <w:sz w:val="24"/>
          <w:szCs w:val="24"/>
        </w:rPr>
      </w:pPr>
      <w:r>
        <w:rPr>
          <w:rFonts w:ascii="Times New Roman" w:hAnsi="Times New Roman" w:cs="Times New Roman"/>
          <w:b/>
          <w:sz w:val="24"/>
          <w:szCs w:val="24"/>
        </w:rPr>
        <w:t>1.1 - DEFINIÇÃO</w:t>
      </w:r>
    </w:p>
    <w:p w:rsidR="00447398" w:rsidRDefault="00447398" w:rsidP="00447398">
      <w:pPr>
        <w:spacing w:line="360" w:lineRule="auto"/>
        <w:ind w:firstLine="708"/>
        <w:jc w:val="both"/>
        <w:rPr>
          <w:rFonts w:ascii="Times New Roman" w:hAnsi="Times New Roman" w:cs="Times New Roman"/>
          <w:sz w:val="24"/>
          <w:szCs w:val="24"/>
        </w:rPr>
      </w:pPr>
      <w:r w:rsidRPr="00447398">
        <w:rPr>
          <w:rFonts w:ascii="Times New Roman" w:hAnsi="Times New Roman" w:cs="Times New Roman"/>
          <w:sz w:val="24"/>
          <w:szCs w:val="24"/>
        </w:rPr>
        <w:t>Em sentido amplo, uma súmula é o resumo do resultado dos julgamentos e de teses jurídicas que demonstram o posicionamento jurisprudencial reiterado e predominante nos Tribunais. Nas sábias e resumidas palavras de Nelson Nery Júnior “súmula é o conjunto das teses jurídicas reveladoras da jurisprudência dominante do tribunal e vem traduzida em forma de verbetes sintéticos numerados</w:t>
      </w:r>
      <w:r>
        <w:rPr>
          <w:rFonts w:ascii="Times New Roman" w:hAnsi="Times New Roman" w:cs="Times New Roman"/>
          <w:sz w:val="24"/>
          <w:szCs w:val="24"/>
        </w:rPr>
        <w:t>”.</w:t>
      </w:r>
    </w:p>
    <w:p w:rsidR="00DE5936" w:rsidRDefault="003C7111" w:rsidP="003C7111">
      <w:pPr>
        <w:pStyle w:val="NormalWeb"/>
        <w:spacing w:line="360" w:lineRule="auto"/>
        <w:ind w:firstLine="708"/>
        <w:jc w:val="both"/>
      </w:pPr>
      <w:r>
        <w:t xml:space="preserve">A Súmula </w:t>
      </w:r>
      <w:r>
        <w:rPr>
          <w:rStyle w:val="qterm"/>
        </w:rPr>
        <w:t>Vinculante</w:t>
      </w:r>
      <w:r>
        <w:t xml:space="preserve">, devido seu poder de vinculação, sobrepondo-se aos demais órgãos do poder judiciário, é de edição restrita pelo Supremo Tribunal Federal. Desta forma, os tribunais federais e estaduais, superiores tais como Supremo Tribunal Federal, Superior Tribunal de </w:t>
      </w:r>
      <w:r>
        <w:rPr>
          <w:rStyle w:val="qterm"/>
        </w:rPr>
        <w:t>jus</w:t>
      </w:r>
      <w:r>
        <w:t xml:space="preserve">tiça, Tribunal Superior Eleitoral e Superior Tribunal Militar, podem editar somente súmulas simples, sendo de competência exclusiva do Supremo Tribunal Federal, além da súmula simples, a edição das súmulas </w:t>
      </w:r>
      <w:r>
        <w:rPr>
          <w:rStyle w:val="qterm"/>
        </w:rPr>
        <w:t>vinculante</w:t>
      </w:r>
      <w:r>
        <w:t xml:space="preserve">s. </w:t>
      </w:r>
    </w:p>
    <w:p w:rsidR="003C7111" w:rsidRPr="00447398" w:rsidRDefault="003C7111" w:rsidP="003C7111">
      <w:pPr>
        <w:pStyle w:val="NormalWeb"/>
        <w:spacing w:line="360" w:lineRule="auto"/>
        <w:ind w:firstLine="708"/>
        <w:jc w:val="both"/>
      </w:pPr>
    </w:p>
    <w:p w:rsidR="00DE5936" w:rsidRPr="00416C8D" w:rsidRDefault="00DE5936" w:rsidP="00DE5936">
      <w:pPr>
        <w:pStyle w:val="PargrafodaLista"/>
        <w:spacing w:line="360" w:lineRule="auto"/>
        <w:ind w:left="709"/>
        <w:jc w:val="both"/>
        <w:rPr>
          <w:rFonts w:ascii="Times New Roman" w:hAnsi="Times New Roman" w:cs="Times New Roman"/>
          <w:b/>
          <w:sz w:val="24"/>
          <w:szCs w:val="24"/>
        </w:rPr>
      </w:pPr>
      <w:r w:rsidRPr="00FC761F">
        <w:rPr>
          <w:rFonts w:ascii="Times New Roman" w:hAnsi="Times New Roman" w:cs="Times New Roman"/>
          <w:b/>
          <w:sz w:val="24"/>
          <w:szCs w:val="24"/>
        </w:rPr>
        <w:t xml:space="preserve">1.2 - </w:t>
      </w:r>
      <w:r>
        <w:rPr>
          <w:rFonts w:ascii="Times New Roman" w:hAnsi="Times New Roman" w:cs="Times New Roman"/>
          <w:b/>
          <w:sz w:val="24"/>
          <w:szCs w:val="24"/>
        </w:rPr>
        <w:t>ORIGEM</w:t>
      </w:r>
    </w:p>
    <w:p w:rsidR="00447398" w:rsidRPr="00447398" w:rsidRDefault="00B74012" w:rsidP="003C7111">
      <w:pPr>
        <w:spacing w:line="360" w:lineRule="auto"/>
        <w:ind w:firstLine="708"/>
        <w:jc w:val="both"/>
      </w:pPr>
      <w:r>
        <w:rPr>
          <w:rFonts w:ascii="Times New Roman" w:hAnsi="Times New Roman" w:cs="Times New Roman"/>
          <w:sz w:val="24"/>
          <w:szCs w:val="24"/>
        </w:rPr>
        <w:t xml:space="preserve">A súmula vinculante é produto de uma reforma no Judiciário ocorrida em 2004 com a Emenda Constitucional número 45. </w:t>
      </w:r>
      <w:r w:rsidR="00447398">
        <w:rPr>
          <w:rFonts w:ascii="Times New Roman" w:hAnsi="Times New Roman" w:cs="Times New Roman"/>
          <w:sz w:val="24"/>
          <w:szCs w:val="24"/>
        </w:rPr>
        <w:t>Com a Emenda, foi acrescida à Constituição Federal o artigo 103-A que consolida que o</w:t>
      </w:r>
      <w:r w:rsidR="00447398">
        <w:rPr>
          <w:rStyle w:val="Forte"/>
        </w:rPr>
        <w:t xml:space="preserve"> </w:t>
      </w:r>
      <w:r w:rsidR="00447398" w:rsidRPr="00447398">
        <w:rPr>
          <w:rStyle w:val="Forte"/>
          <w:rFonts w:ascii="Times New Roman" w:hAnsi="Times New Roman" w:cs="Times New Roman"/>
          <w:b w:val="0"/>
          <w:i/>
          <w:sz w:val="24"/>
          <w:szCs w:val="24"/>
        </w:rPr>
        <w:t xml:space="preserve">Supremo Tribunal Federal poderá, de ofício ou por provocação, mediante decisão de dois terços dos seus membros, após reiteradas decisões sobre matéria constitucional, aprovar súmula que, a partir de sua publicação na imprensa oficial, terá efeito </w:t>
      </w:r>
      <w:r w:rsidR="00447398" w:rsidRPr="00447398">
        <w:rPr>
          <w:rStyle w:val="qterm"/>
          <w:rFonts w:ascii="Times New Roman" w:hAnsi="Times New Roman" w:cs="Times New Roman"/>
          <w:b/>
          <w:bCs/>
          <w:i/>
          <w:sz w:val="24"/>
          <w:szCs w:val="24"/>
        </w:rPr>
        <w:t>vinculante</w:t>
      </w:r>
      <w:r w:rsidR="00447398" w:rsidRPr="00447398">
        <w:rPr>
          <w:rStyle w:val="Forte"/>
          <w:rFonts w:ascii="Times New Roman" w:hAnsi="Times New Roman" w:cs="Times New Roman"/>
          <w:b w:val="0"/>
          <w:i/>
          <w:sz w:val="24"/>
          <w:szCs w:val="24"/>
        </w:rPr>
        <w:t xml:space="preserve"> em relação aos demais órgãos do Poder Judiciário e à administração pública direta e indireta, nas esferas federal, estadual e municipal, bem como proceder à sua revisão ou cancelamento, na forma estabelecida em lei.</w:t>
      </w:r>
    </w:p>
    <w:p w:rsidR="00B74012" w:rsidRDefault="00B74012" w:rsidP="003C711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Porém, na década de 60 do século passado, a expressão súmula já havia começado a ser pronunciada pelo então ministro do STF Vitor Nunes Leal para designar, em pequenos enunciados, o que o Supremo Tribunal Federal vinha decidindo de maneira reiterada a respeito dos temas que se repetiam</w:t>
      </w:r>
      <w:r w:rsidR="00F02F93">
        <w:rPr>
          <w:rFonts w:ascii="Times New Roman" w:hAnsi="Times New Roman" w:cs="Times New Roman"/>
          <w:sz w:val="24"/>
          <w:szCs w:val="24"/>
        </w:rPr>
        <w:t xml:space="preserve"> frequentemente em suas sentenças.</w:t>
      </w:r>
    </w:p>
    <w:p w:rsidR="00F02F93" w:rsidRPr="00AD449E" w:rsidRDefault="00F02F93" w:rsidP="00AD449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Lapidando o que o ministro Vitor Leal afirmara, Evandro Lins e Silva coadunou e simplificou que a súmula teria enfoque “primordialmente, a descongestionar os trabalhos de um Tribunal, simplificando e tornando mais célere o trabalho dos juízes na atividade jurisdicional. Servindo também como meio de informação e direcionamento a todos os </w:t>
      </w:r>
      <w:r w:rsidRPr="00AD449E">
        <w:rPr>
          <w:rFonts w:ascii="Times New Roman" w:hAnsi="Times New Roman" w:cs="Times New Roman"/>
          <w:sz w:val="24"/>
          <w:szCs w:val="24"/>
        </w:rPr>
        <w:t>magistrados e advogados que conheceriam as principais orientações dos Tribunais Superiores, sobretudo o STF sobre as questões mais frequentes que lhes eram apresentadas recorrentemente para julgamento.”</w:t>
      </w:r>
    </w:p>
    <w:p w:rsidR="00AD449E" w:rsidRPr="00AD449E" w:rsidRDefault="00F02F93" w:rsidP="00AD449E">
      <w:pPr>
        <w:spacing w:line="360" w:lineRule="auto"/>
        <w:ind w:firstLine="708"/>
        <w:jc w:val="both"/>
        <w:rPr>
          <w:rFonts w:ascii="Times New Roman" w:hAnsi="Times New Roman" w:cs="Times New Roman"/>
          <w:sz w:val="24"/>
          <w:szCs w:val="24"/>
        </w:rPr>
      </w:pPr>
      <w:r w:rsidRPr="00AD449E">
        <w:rPr>
          <w:rFonts w:ascii="Times New Roman" w:hAnsi="Times New Roman" w:cs="Times New Roman"/>
          <w:sz w:val="24"/>
          <w:szCs w:val="24"/>
        </w:rPr>
        <w:t xml:space="preserve">Vale ressaltar, todavia, que até tal ponto não se trata de súmula efetivamente vinculante. Ou seja, não possuindo efeito </w:t>
      </w:r>
      <w:r w:rsidRPr="00AD449E">
        <w:rPr>
          <w:rFonts w:ascii="Times New Roman" w:hAnsi="Times New Roman" w:cs="Times New Roman"/>
          <w:i/>
          <w:sz w:val="24"/>
          <w:szCs w:val="24"/>
        </w:rPr>
        <w:t>erga omnes</w:t>
      </w:r>
      <w:r w:rsidRPr="00AD449E">
        <w:rPr>
          <w:rFonts w:ascii="Times New Roman" w:hAnsi="Times New Roman" w:cs="Times New Roman"/>
          <w:sz w:val="24"/>
          <w:szCs w:val="24"/>
        </w:rPr>
        <w:t xml:space="preserve">. A partir do momento que a decisão passa a ter efeito vinculante, surge um instituto que não transcorre a nossa tradição típica do </w:t>
      </w:r>
      <w:r w:rsidRPr="00AD449E">
        <w:rPr>
          <w:rFonts w:ascii="Times New Roman" w:hAnsi="Times New Roman" w:cs="Times New Roman"/>
          <w:i/>
          <w:sz w:val="24"/>
          <w:szCs w:val="24"/>
        </w:rPr>
        <w:t xml:space="preserve">civil </w:t>
      </w:r>
      <w:proofErr w:type="spellStart"/>
      <w:r w:rsidRPr="00AD449E">
        <w:rPr>
          <w:rFonts w:ascii="Times New Roman" w:hAnsi="Times New Roman" w:cs="Times New Roman"/>
          <w:i/>
          <w:sz w:val="24"/>
          <w:szCs w:val="24"/>
        </w:rPr>
        <w:t>law</w:t>
      </w:r>
      <w:proofErr w:type="spellEnd"/>
      <w:r w:rsidR="00447398" w:rsidRPr="00AD449E">
        <w:rPr>
          <w:rFonts w:ascii="Times New Roman" w:hAnsi="Times New Roman" w:cs="Times New Roman"/>
          <w:sz w:val="24"/>
          <w:szCs w:val="24"/>
        </w:rPr>
        <w:t xml:space="preserve">, mas combina mais com o </w:t>
      </w:r>
      <w:proofErr w:type="spellStart"/>
      <w:r w:rsidR="00447398" w:rsidRPr="00AD449E">
        <w:rPr>
          <w:rFonts w:ascii="Times New Roman" w:hAnsi="Times New Roman" w:cs="Times New Roman"/>
          <w:i/>
          <w:sz w:val="24"/>
          <w:szCs w:val="24"/>
        </w:rPr>
        <w:t>comon</w:t>
      </w:r>
      <w:proofErr w:type="spellEnd"/>
      <w:r w:rsidR="00447398" w:rsidRPr="00AD449E">
        <w:rPr>
          <w:rFonts w:ascii="Times New Roman" w:hAnsi="Times New Roman" w:cs="Times New Roman"/>
          <w:i/>
          <w:sz w:val="24"/>
          <w:szCs w:val="24"/>
        </w:rPr>
        <w:t xml:space="preserve"> </w:t>
      </w:r>
      <w:proofErr w:type="spellStart"/>
      <w:r w:rsidR="00447398" w:rsidRPr="00AD449E">
        <w:rPr>
          <w:rFonts w:ascii="Times New Roman" w:hAnsi="Times New Roman" w:cs="Times New Roman"/>
          <w:i/>
          <w:sz w:val="24"/>
          <w:szCs w:val="24"/>
        </w:rPr>
        <w:t>law</w:t>
      </w:r>
      <w:proofErr w:type="spellEnd"/>
      <w:r w:rsidR="00447398" w:rsidRPr="00AD449E">
        <w:rPr>
          <w:rFonts w:ascii="Times New Roman" w:hAnsi="Times New Roman" w:cs="Times New Roman"/>
          <w:i/>
          <w:sz w:val="24"/>
          <w:szCs w:val="24"/>
        </w:rPr>
        <w:t xml:space="preserve"> </w:t>
      </w:r>
      <w:r w:rsidR="00447398" w:rsidRPr="00AD449E">
        <w:rPr>
          <w:rFonts w:ascii="Times New Roman" w:hAnsi="Times New Roman" w:cs="Times New Roman"/>
          <w:sz w:val="24"/>
          <w:szCs w:val="24"/>
        </w:rPr>
        <w:t>anglo-saxão.</w:t>
      </w:r>
      <w:r w:rsidR="00AD449E" w:rsidRPr="00AD449E">
        <w:rPr>
          <w:rFonts w:ascii="Times New Roman" w:hAnsi="Times New Roman" w:cs="Times New Roman"/>
          <w:sz w:val="24"/>
          <w:szCs w:val="24"/>
        </w:rPr>
        <w:t xml:space="preserve"> É mister salientar, contudo, que o efeito vinculante já estava presente no direito brasileiro por meio do controle concentrado de constitucionalidade, já que em 1993 foi concedido o referido efeito vinculante às decisões proferidas pelo STF nas ações declaratórias de constitucionalidade.</w:t>
      </w:r>
    </w:p>
    <w:p w:rsidR="00DE5936" w:rsidRPr="00AD449E" w:rsidRDefault="00DE5936" w:rsidP="00AD449E">
      <w:pPr>
        <w:spacing w:line="360" w:lineRule="auto"/>
        <w:jc w:val="both"/>
        <w:rPr>
          <w:rFonts w:ascii="Times New Roman" w:hAnsi="Times New Roman" w:cs="Times New Roman"/>
          <w:sz w:val="24"/>
          <w:szCs w:val="24"/>
        </w:rPr>
      </w:pPr>
      <w:r w:rsidRPr="00AD449E">
        <w:rPr>
          <w:rFonts w:ascii="Times New Roman" w:hAnsi="Times New Roman" w:cs="Times New Roman"/>
          <w:sz w:val="24"/>
          <w:szCs w:val="24"/>
        </w:rPr>
        <w:tab/>
      </w:r>
    </w:p>
    <w:p w:rsidR="00DE5936" w:rsidRDefault="00DE5936" w:rsidP="00DE5936">
      <w:pPr>
        <w:pStyle w:val="PargrafodaLista"/>
        <w:spacing w:line="360" w:lineRule="auto"/>
        <w:ind w:left="709"/>
        <w:jc w:val="both"/>
        <w:rPr>
          <w:rFonts w:ascii="Times New Roman" w:hAnsi="Times New Roman" w:cs="Times New Roman"/>
          <w:b/>
          <w:sz w:val="24"/>
          <w:szCs w:val="24"/>
        </w:rPr>
      </w:pPr>
      <w:r w:rsidRPr="007218A7">
        <w:rPr>
          <w:rFonts w:ascii="Times New Roman" w:hAnsi="Times New Roman" w:cs="Times New Roman"/>
          <w:b/>
          <w:sz w:val="24"/>
          <w:szCs w:val="24"/>
        </w:rPr>
        <w:t xml:space="preserve">1.3 - </w:t>
      </w:r>
      <w:r>
        <w:rPr>
          <w:rFonts w:ascii="Times New Roman" w:hAnsi="Times New Roman" w:cs="Times New Roman"/>
          <w:b/>
          <w:sz w:val="24"/>
          <w:szCs w:val="24"/>
        </w:rPr>
        <w:t>IMPORTÂNCIA</w:t>
      </w:r>
    </w:p>
    <w:p w:rsidR="003C7111" w:rsidRDefault="00DE5936" w:rsidP="003C7111">
      <w:pPr>
        <w:pStyle w:val="PargrafodaLista"/>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ab/>
      </w:r>
    </w:p>
    <w:p w:rsidR="00DE5936" w:rsidRDefault="003C7111" w:rsidP="003C7111">
      <w:pPr>
        <w:pStyle w:val="PargrafodaLista"/>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Apesar de parte de juristas se posicionarem de maneira contrária às súmulas, uma outra gama de operadores do Direito se posta numa posição favorável a elas, afirmando que seriam uma espécie de instituto </w:t>
      </w:r>
      <w:proofErr w:type="spellStart"/>
      <w:r>
        <w:rPr>
          <w:rFonts w:ascii="Times New Roman" w:hAnsi="Times New Roman" w:cs="Times New Roman"/>
          <w:sz w:val="24"/>
          <w:szCs w:val="24"/>
        </w:rPr>
        <w:t>racionalizador</w:t>
      </w:r>
      <w:proofErr w:type="spellEnd"/>
      <w:r>
        <w:rPr>
          <w:rFonts w:ascii="Times New Roman" w:hAnsi="Times New Roman" w:cs="Times New Roman"/>
          <w:sz w:val="24"/>
          <w:szCs w:val="24"/>
        </w:rPr>
        <w:t xml:space="preserve"> que traria uma maior certeza e previsibilidade das decisões judiciais, </w:t>
      </w:r>
      <w:proofErr w:type="spellStart"/>
      <w:r>
        <w:rPr>
          <w:rFonts w:ascii="Times New Roman" w:hAnsi="Times New Roman" w:cs="Times New Roman"/>
          <w:sz w:val="24"/>
          <w:szCs w:val="24"/>
        </w:rPr>
        <w:t>aumentanto</w:t>
      </w:r>
      <w:proofErr w:type="spellEnd"/>
      <w:r>
        <w:rPr>
          <w:rFonts w:ascii="Times New Roman" w:hAnsi="Times New Roman" w:cs="Times New Roman"/>
          <w:sz w:val="24"/>
          <w:szCs w:val="24"/>
        </w:rPr>
        <w:t xml:space="preserve"> com isso a segurança jurídica. </w:t>
      </w:r>
      <w:r w:rsidR="00DE5936">
        <w:rPr>
          <w:rFonts w:ascii="Times New Roman" w:hAnsi="Times New Roman" w:cs="Times New Roman"/>
          <w:sz w:val="24"/>
          <w:szCs w:val="24"/>
        </w:rPr>
        <w:tab/>
      </w:r>
    </w:p>
    <w:p w:rsidR="003C7111" w:rsidRDefault="003C7111" w:rsidP="003C7111">
      <w:pPr>
        <w:pStyle w:val="PargrafodaLista"/>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Outra série de juristas favoráveis às súmulas </w:t>
      </w:r>
      <w:r w:rsidR="002E082D">
        <w:rPr>
          <w:rFonts w:ascii="Times New Roman" w:hAnsi="Times New Roman" w:cs="Times New Roman"/>
          <w:sz w:val="24"/>
          <w:szCs w:val="24"/>
        </w:rPr>
        <w:t>consideram que elas seriam uma forma de obtenção de uniformização da atividade legislativa e, consequentemente, desenvolvendo-se o princípio da isonomia.</w:t>
      </w:r>
    </w:p>
    <w:p w:rsidR="002E082D" w:rsidRDefault="002E082D" w:rsidP="003C7111">
      <w:pPr>
        <w:pStyle w:val="PargrafodaLista"/>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E, por último, mas não menos citado como ponto positivo, é a celeridade das decisões provenientes das súmulas, pois permite-se respostas mais ágeis para questões idênticas que envolvessem uma grande quantidade de jurisdicionados, destravando não apenas nosso Supremo Tribunal, mas as instâncias ordinárias conjuntamente. Pois, como leciona André de Albuquerque Cavalcanti Abbud:</w:t>
      </w:r>
    </w:p>
    <w:p w:rsidR="002E082D" w:rsidRDefault="002E082D" w:rsidP="002E082D">
      <w:pPr>
        <w:ind w:left="2268"/>
        <w:jc w:val="both"/>
        <w:rPr>
          <w:rStyle w:val="Forte"/>
          <w:rFonts w:ascii="Times New Roman" w:hAnsi="Times New Roman" w:cs="Times New Roman"/>
          <w:b w:val="0"/>
          <w:sz w:val="20"/>
          <w:szCs w:val="20"/>
        </w:rPr>
      </w:pPr>
    </w:p>
    <w:p w:rsidR="002E082D" w:rsidRPr="002E082D" w:rsidRDefault="002E082D" w:rsidP="002E082D">
      <w:pPr>
        <w:ind w:left="2268"/>
        <w:jc w:val="both"/>
        <w:rPr>
          <w:rFonts w:ascii="Times New Roman" w:hAnsi="Times New Roman" w:cs="Times New Roman"/>
          <w:b/>
          <w:sz w:val="20"/>
          <w:szCs w:val="20"/>
        </w:rPr>
      </w:pPr>
      <w:r>
        <w:rPr>
          <w:rStyle w:val="Forte"/>
          <w:rFonts w:ascii="Times New Roman" w:hAnsi="Times New Roman" w:cs="Times New Roman"/>
          <w:b w:val="0"/>
          <w:sz w:val="20"/>
          <w:szCs w:val="20"/>
        </w:rPr>
        <w:lastRenderedPageBreak/>
        <w:t>A</w:t>
      </w:r>
      <w:r w:rsidRPr="002E082D">
        <w:rPr>
          <w:rStyle w:val="Forte"/>
          <w:rFonts w:ascii="Times New Roman" w:hAnsi="Times New Roman" w:cs="Times New Roman"/>
          <w:b w:val="0"/>
          <w:sz w:val="20"/>
          <w:szCs w:val="20"/>
        </w:rPr>
        <w:t xml:space="preserve"> excessiva sobrecarga dos órgãos judiciários, que lhes confere trabalho para além de sua capacidade de absorção, tem por resultado não apenas a demora na prestação jurisdicional, como ainda a diminuição da qualidade dos julgamentos.</w:t>
      </w:r>
    </w:p>
    <w:p w:rsidR="00DE5936" w:rsidRPr="00A06EC8" w:rsidRDefault="00DE5936" w:rsidP="00DE5936">
      <w:pPr>
        <w:pStyle w:val="PargrafodaLista"/>
        <w:spacing w:line="360" w:lineRule="auto"/>
        <w:ind w:left="0"/>
        <w:jc w:val="both"/>
        <w:rPr>
          <w:rFonts w:ascii="Times New Roman" w:hAnsi="Times New Roman" w:cs="Times New Roman"/>
          <w:sz w:val="24"/>
          <w:szCs w:val="24"/>
        </w:rPr>
      </w:pPr>
    </w:p>
    <w:p w:rsidR="00DE5936" w:rsidRDefault="002957F5" w:rsidP="00DE5936">
      <w:pPr>
        <w:pStyle w:val="PargrafodaLista"/>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CRIAÇÃO</w:t>
      </w:r>
      <w:r w:rsidR="00CE1D9B">
        <w:rPr>
          <w:rFonts w:ascii="Times New Roman" w:hAnsi="Times New Roman" w:cs="Times New Roman"/>
          <w:b/>
          <w:sz w:val="24"/>
          <w:szCs w:val="24"/>
        </w:rPr>
        <w:t xml:space="preserve"> E ALTERAÇÃO</w:t>
      </w:r>
      <w:r w:rsidR="00493193">
        <w:rPr>
          <w:rFonts w:ascii="Times New Roman" w:hAnsi="Times New Roman" w:cs="Times New Roman"/>
          <w:b/>
          <w:sz w:val="24"/>
          <w:szCs w:val="24"/>
        </w:rPr>
        <w:t xml:space="preserve"> DAS SÚMULAS VINCUNLANTES</w:t>
      </w:r>
    </w:p>
    <w:p w:rsidR="00DE5936" w:rsidRDefault="00326FE8" w:rsidP="00326FE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face às características citadas das súmulas em estudo, obviamente é de se imaginar que, para obter validade, as súmulas vinculantes devem seguir um intenso e peculiar percurso. </w:t>
      </w:r>
    </w:p>
    <w:p w:rsidR="00326FE8" w:rsidRDefault="00326FE8" w:rsidP="00326FE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acordo com o artigo 103-A da nossa Magna Carta, os seguintes </w:t>
      </w:r>
      <w:proofErr w:type="spellStart"/>
      <w:r>
        <w:rPr>
          <w:rFonts w:ascii="Times New Roman" w:hAnsi="Times New Roman" w:cs="Times New Roman"/>
          <w:sz w:val="24"/>
          <w:szCs w:val="24"/>
        </w:rPr>
        <w:t>requesitos</w:t>
      </w:r>
      <w:proofErr w:type="spellEnd"/>
      <w:r>
        <w:rPr>
          <w:rFonts w:ascii="Times New Roman" w:hAnsi="Times New Roman" w:cs="Times New Roman"/>
          <w:sz w:val="24"/>
          <w:szCs w:val="24"/>
        </w:rPr>
        <w:t xml:space="preserve"> são essenciais para que uma súmula seja editada:</w:t>
      </w:r>
    </w:p>
    <w:p w:rsidR="00326FE8" w:rsidRDefault="00326FE8" w:rsidP="00326FE8">
      <w:pPr>
        <w:pStyle w:val="Pargrafoda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Reiteradas decisões sobre a matéria constitucional, com a demonstração que há uma multiplicação de questões iguais à respeito do tema a ser explicitado na súmula;</w:t>
      </w:r>
    </w:p>
    <w:p w:rsidR="00326FE8" w:rsidRDefault="00326FE8" w:rsidP="00326FE8">
      <w:pPr>
        <w:pStyle w:val="Pargrafoda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Aprovação por dois terços (oito ministros) ou mais dos membros da Corte, que pode agir de ofício ou mediante provocação;</w:t>
      </w:r>
    </w:p>
    <w:p w:rsidR="00326FE8" w:rsidRDefault="00326FE8" w:rsidP="00326FE8">
      <w:pPr>
        <w:pStyle w:val="Pargrafoda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Dilema entre </w:t>
      </w:r>
      <w:proofErr w:type="spellStart"/>
      <w:r>
        <w:rPr>
          <w:rFonts w:ascii="Times New Roman" w:hAnsi="Times New Roman" w:cs="Times New Roman"/>
          <w:sz w:val="24"/>
          <w:szCs w:val="24"/>
        </w:rPr>
        <w:t>orgãos</w:t>
      </w:r>
      <w:proofErr w:type="spellEnd"/>
      <w:r>
        <w:rPr>
          <w:rFonts w:ascii="Times New Roman" w:hAnsi="Times New Roman" w:cs="Times New Roman"/>
          <w:sz w:val="24"/>
          <w:szCs w:val="24"/>
        </w:rPr>
        <w:t xml:space="preserve"> judiciários ou entre estes e a Administração Pública que provoque grave insegurança jurídica.</w:t>
      </w:r>
    </w:p>
    <w:p w:rsidR="00CE1D9B" w:rsidRDefault="00CE1D9B" w:rsidP="00CE1D9B">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Além da criação, outro ponto que merece um devido cuidado é quando se fala em edição, revisão ou cancelamento de enunciado de súmula vinculante. Os legitimados para propor </w:t>
      </w:r>
      <w:proofErr w:type="spellStart"/>
      <w:r>
        <w:rPr>
          <w:rFonts w:ascii="Times New Roman" w:hAnsi="Times New Roman" w:cs="Times New Roman"/>
          <w:sz w:val="24"/>
          <w:szCs w:val="24"/>
        </w:rPr>
        <w:t>ediçãosão</w:t>
      </w:r>
      <w:proofErr w:type="spellEnd"/>
      <w:r>
        <w:rPr>
          <w:rFonts w:ascii="Times New Roman" w:hAnsi="Times New Roman" w:cs="Times New Roman"/>
          <w:sz w:val="24"/>
          <w:szCs w:val="24"/>
        </w:rPr>
        <w:t>:</w:t>
      </w:r>
    </w:p>
    <w:p w:rsidR="00CE1D9B" w:rsidRDefault="00CE1D9B" w:rsidP="00CE1D9B">
      <w:pPr>
        <w:pStyle w:val="PargrafodaLista"/>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Os mesmos legitimados da Ação Direta de Inconstitucionalidade presentes no art. 103 da Constituição Federal (o Presidente da República; a Mesa do Senado Federal; o Conselho Federal da OAB; partidos políticos com represen</w:t>
      </w:r>
      <w:r w:rsidR="00F04FED">
        <w:rPr>
          <w:rFonts w:ascii="Times New Roman" w:hAnsi="Times New Roman" w:cs="Times New Roman"/>
          <w:sz w:val="24"/>
          <w:szCs w:val="24"/>
        </w:rPr>
        <w:t xml:space="preserve">tação no Congresso Nacional; confederação sindical ou entidade de classe de âmbito nacional; a Mesa de </w:t>
      </w:r>
      <w:proofErr w:type="spellStart"/>
      <w:r w:rsidR="00F04FED">
        <w:rPr>
          <w:rFonts w:ascii="Times New Roman" w:hAnsi="Times New Roman" w:cs="Times New Roman"/>
          <w:sz w:val="24"/>
          <w:szCs w:val="24"/>
        </w:rPr>
        <w:t>Assembléia</w:t>
      </w:r>
      <w:proofErr w:type="spellEnd"/>
      <w:r w:rsidR="00F04FED">
        <w:rPr>
          <w:rFonts w:ascii="Times New Roman" w:hAnsi="Times New Roman" w:cs="Times New Roman"/>
          <w:sz w:val="24"/>
          <w:szCs w:val="24"/>
        </w:rPr>
        <w:t xml:space="preserve"> Legislativa ou da Câmara Legislativa do Distrito Federal; o Governador de Estado ou do Distrito Federal.);</w:t>
      </w:r>
    </w:p>
    <w:p w:rsidR="00F04FED" w:rsidRDefault="00F04FED" w:rsidP="00CE1D9B">
      <w:pPr>
        <w:pStyle w:val="PargrafodaLista"/>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Além dos: Tribunais Superiores, Tribunais de Justiça de Estados ou Distrito Federal, os Tribunais Regionais Federais, os Tribunais Regionais do Trabalho, os Tribunais Regionais Eleitorais, os Tribunais Militares e o Defensor Público Geral da União.</w:t>
      </w:r>
    </w:p>
    <w:p w:rsidR="00DE5936" w:rsidRPr="00AD18F2" w:rsidRDefault="00C255FE" w:rsidP="00AD18F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Além de todos esses </w:t>
      </w:r>
      <w:proofErr w:type="spellStart"/>
      <w:r>
        <w:rPr>
          <w:rFonts w:ascii="Times New Roman" w:hAnsi="Times New Roman" w:cs="Times New Roman"/>
          <w:sz w:val="24"/>
          <w:szCs w:val="24"/>
        </w:rPr>
        <w:t>orgãos</w:t>
      </w:r>
      <w:proofErr w:type="spellEnd"/>
      <w:r>
        <w:rPr>
          <w:rFonts w:ascii="Times New Roman" w:hAnsi="Times New Roman" w:cs="Times New Roman"/>
          <w:sz w:val="24"/>
          <w:szCs w:val="24"/>
        </w:rPr>
        <w:t xml:space="preserve"> citados, o parágrafo primeiro do artigo 3º da lei 11.417 legitima também os Municípios, no </w:t>
      </w:r>
      <w:r>
        <w:rPr>
          <w:rFonts w:ascii="Times New Roman" w:hAnsi="Times New Roman" w:cs="Times New Roman"/>
          <w:i/>
          <w:sz w:val="24"/>
          <w:szCs w:val="24"/>
        </w:rPr>
        <w:t>iter</w:t>
      </w:r>
      <w:r>
        <w:rPr>
          <w:rFonts w:ascii="Times New Roman" w:hAnsi="Times New Roman" w:cs="Times New Roman"/>
          <w:sz w:val="24"/>
          <w:szCs w:val="24"/>
        </w:rPr>
        <w:t xml:space="preserve"> de processos e que eles sejam partes, a propor incidentalmente a edição, revisão ou cancelamento de enunciado de súmula vinculante, todavia não autorizando a paralisação do processo.</w:t>
      </w:r>
    </w:p>
    <w:p w:rsidR="00DE5936" w:rsidRDefault="00DE5936" w:rsidP="00DE5936">
      <w:pPr>
        <w:pStyle w:val="PargrafodaLista"/>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ASPECTOS POSITIVOS E NEGATIVOS DAS SÚMULAS</w:t>
      </w:r>
    </w:p>
    <w:p w:rsidR="00EC0B20" w:rsidRDefault="00655521" w:rsidP="00EC0B20">
      <w:pPr>
        <w:pStyle w:val="NormalWeb"/>
        <w:spacing w:line="360" w:lineRule="auto"/>
        <w:ind w:firstLine="708"/>
        <w:jc w:val="both"/>
      </w:pPr>
      <w:r>
        <w:t>A inser</w:t>
      </w:r>
      <w:r w:rsidR="00E1112D">
        <w:t>ção da súmula vinculan</w:t>
      </w:r>
      <w:r>
        <w:t>te em nosso ordenamento, ao contrário</w:t>
      </w:r>
      <w:r w:rsidR="00E1112D">
        <w:t xml:space="preserve"> do que diversos doutrinadores </w:t>
      </w:r>
      <w:r>
        <w:t>alegam, não busca</w:t>
      </w:r>
      <w:r w:rsidR="00E1112D">
        <w:t xml:space="preserve"> mitigar o princípio da indepen</w:t>
      </w:r>
      <w:r>
        <w:t>dência da magistratura, nem sequer</w:t>
      </w:r>
      <w:r w:rsidR="00E1112D">
        <w:t xml:space="preserve"> violar a Separação de Poderes - cláusula pétrea de nossa Constituição Federal – mas simplesmente visa promover a uniformização da jurisprudência, combater as demandas múltiplas e fornecer ao jurisdicionado a possibilidade de saber, antecipadamente, qual a decisão que o Poder Judiciário proferirá.</w:t>
      </w:r>
    </w:p>
    <w:p w:rsidR="009F5E72" w:rsidRDefault="00655521" w:rsidP="00EC0B20">
      <w:pPr>
        <w:pStyle w:val="NormalWeb"/>
        <w:spacing w:line="360" w:lineRule="auto"/>
        <w:ind w:firstLine="708"/>
        <w:jc w:val="both"/>
      </w:pPr>
      <w:r>
        <w:t>Relevante assinalar também</w:t>
      </w:r>
      <w:r w:rsidR="00E1112D">
        <w:t xml:space="preserve"> que a súmula vinculante </w:t>
      </w:r>
      <w:r>
        <w:t>objetiva combater uma ocorrência</w:t>
      </w:r>
      <w:r w:rsidR="00E1112D">
        <w:t xml:space="preserve"> freq</w:t>
      </w:r>
      <w:r>
        <w:t>u</w:t>
      </w:r>
      <w:r w:rsidR="00E1112D">
        <w:t xml:space="preserve">ente no sistema jurídico </w:t>
      </w:r>
      <w:r>
        <w:t>brasileir</w:t>
      </w:r>
      <w:r w:rsidR="00E1112D">
        <w:t>o, a chamada “loteria judiciária”, em que dependendo de qual magistrado receba o processo sua causa poderá receber u</w:t>
      </w:r>
      <w:r>
        <w:t>ma decisão totalmente diferente, ou seja, o Judiciário não promove uma segurança jurídica à sociedade.</w:t>
      </w:r>
      <w:r w:rsidR="009F5E72">
        <w:t xml:space="preserve"> Como ministra Alexandre de Moraes: </w:t>
      </w:r>
    </w:p>
    <w:p w:rsidR="009F5E72" w:rsidRPr="009F5E72" w:rsidRDefault="009F5E72" w:rsidP="009F5E72">
      <w:pPr>
        <w:pStyle w:val="NormalWeb"/>
        <w:spacing w:line="360" w:lineRule="auto"/>
        <w:ind w:left="2268"/>
        <w:jc w:val="both"/>
        <w:rPr>
          <w:sz w:val="20"/>
          <w:szCs w:val="20"/>
        </w:rPr>
      </w:pPr>
      <w:r>
        <w:rPr>
          <w:sz w:val="20"/>
          <w:szCs w:val="20"/>
        </w:rPr>
        <w:t>A</w:t>
      </w:r>
      <w:r w:rsidRPr="009F5E72">
        <w:rPr>
          <w:sz w:val="20"/>
          <w:szCs w:val="20"/>
        </w:rPr>
        <w:t xml:space="preserve">s súmulas vinculantes nasceram a partir da necessidade de fortalecer a </w:t>
      </w:r>
      <w:proofErr w:type="spellStart"/>
      <w:r w:rsidRPr="009F5E72">
        <w:rPr>
          <w:sz w:val="20"/>
          <w:szCs w:val="20"/>
        </w:rPr>
        <w:t>idéia</w:t>
      </w:r>
      <w:proofErr w:type="spellEnd"/>
      <w:r w:rsidRPr="009F5E72">
        <w:rPr>
          <w:sz w:val="20"/>
          <w:szCs w:val="20"/>
        </w:rPr>
        <w:t xml:space="preserve"> de uma única interpretação jurídica para o mesmo texto constitucional ou legal, de modo a possibilitar que seja assegurada a segurança jurídica e o princípio da igualdade, pois os órgãos do Poder Judiciário, não devem aplicar as leis e atos normativos aos casos concretos de forma a criar ou aumentar desigualdades arbitrárias, devendo, pois, utilizar-se de todos os mecanismos constitucionais no sentido de conceder às normas jurídicas uma interpretação única e igualitária.</w:t>
      </w:r>
    </w:p>
    <w:p w:rsidR="00EC0B20" w:rsidRDefault="005A012B" w:rsidP="00EC0B20">
      <w:pPr>
        <w:pStyle w:val="NormalWeb"/>
        <w:spacing w:line="360" w:lineRule="auto"/>
        <w:ind w:firstLine="708"/>
        <w:jc w:val="both"/>
      </w:pPr>
      <w:r>
        <w:t>Não precisa titubear para afirmar</w:t>
      </w:r>
      <w:r w:rsidR="00655521">
        <w:t xml:space="preserve"> que</w:t>
      </w:r>
      <w:r w:rsidR="00E1112D">
        <w:t xml:space="preserve"> o instituto em </w:t>
      </w:r>
      <w:r w:rsidR="00655521">
        <w:t>pauta</w:t>
      </w:r>
      <w:r w:rsidR="00E1112D">
        <w:t xml:space="preserve"> não será a </w:t>
      </w:r>
      <w:r>
        <w:t>resolução</w:t>
      </w:r>
      <w:r w:rsidR="00E1112D">
        <w:t xml:space="preserve"> de todos os problemas do Judiciário</w:t>
      </w:r>
      <w:r>
        <w:t xml:space="preserve">. </w:t>
      </w:r>
      <w:r w:rsidR="00E1112D">
        <w:t>Existem pontos fracos, entretanto, não estão entre eles a mitigação da independência da magistratura, a violação da separação dos poderes, nem o</w:t>
      </w:r>
      <w:r>
        <w:t xml:space="preserve"> engessamento jurisprudencial.</w:t>
      </w:r>
    </w:p>
    <w:p w:rsidR="00EC0B20" w:rsidRDefault="00D5014E" w:rsidP="009F5E72">
      <w:pPr>
        <w:pStyle w:val="NormalWeb"/>
        <w:spacing w:line="360" w:lineRule="auto"/>
        <w:ind w:firstLine="708"/>
        <w:jc w:val="both"/>
      </w:pPr>
      <w:r>
        <w:t>A instala</w:t>
      </w:r>
      <w:r w:rsidR="00E1112D">
        <w:t xml:space="preserve">ção de instituto novo no </w:t>
      </w:r>
      <w:r>
        <w:t>ordenamento jurídico sempre acarreta</w:t>
      </w:r>
      <w:r w:rsidR="00E1112D">
        <w:t xml:space="preserve"> dificuldades de aplica</w:t>
      </w:r>
      <w:r>
        <w:t>ção e o equilíbrio</w:t>
      </w:r>
      <w:r w:rsidR="00E1112D">
        <w:t xml:space="preserve"> de prós e contras dá-se em face de um choque de princípios. </w:t>
      </w:r>
      <w:r w:rsidR="009F5E72">
        <w:t xml:space="preserve">Destarte, assim como o Direito não é absoluto, </w:t>
      </w:r>
      <w:r w:rsidR="00E1112D">
        <w:t>a ind</w:t>
      </w:r>
      <w:r w:rsidR="009F5E72">
        <w:t xml:space="preserve">ependência do juiz </w:t>
      </w:r>
      <w:r w:rsidR="009F5E72">
        <w:lastRenderedPageBreak/>
        <w:t>também não é</w:t>
      </w:r>
      <w:r w:rsidR="00E1112D">
        <w:t xml:space="preserve">, deve ser pautada em critérios racionais. “A independência da classe no seu conjunto é mais ampla que a do juiz individual”. </w:t>
      </w:r>
      <w:r w:rsidR="00256140">
        <w:t>Até porque</w:t>
      </w:r>
      <w:r w:rsidR="00E1112D">
        <w:t>, caso a demanda consiga chegar até o STF, por Recurso Extraordinário, por exemplo, é o entendimento desta corte constitucional que irá prevalecer ao final. Portanto, não há sentido em esperar todo o trâmite recursal, que facilmente atingirá uma década, para se obter a mesma decisão que já poderia encerrar o processo na primeira instância por meio da aplicação de súmula vinculante.</w:t>
      </w:r>
    </w:p>
    <w:p w:rsidR="00A13243" w:rsidRDefault="00256140" w:rsidP="00A13243">
      <w:pPr>
        <w:pStyle w:val="NormalWeb"/>
        <w:spacing w:line="360" w:lineRule="auto"/>
        <w:ind w:firstLine="708"/>
        <w:jc w:val="both"/>
      </w:pPr>
      <w:r>
        <w:t>Vale salientar que as súmulas terão aplicação</w:t>
      </w:r>
      <w:r w:rsidR="00E1112D">
        <w:t xml:space="preserve"> </w:t>
      </w:r>
      <w:r>
        <w:t xml:space="preserve">apenas </w:t>
      </w:r>
      <w:r w:rsidR="00E1112D">
        <w:t>aos casos idênticos aos já enfrentados e com entendimento consolidado pelo STF. Dest</w:t>
      </w:r>
      <w:r>
        <w:t>e modo</w:t>
      </w:r>
      <w:r w:rsidR="00E1112D">
        <w:t>, caberá àquele que se sentir prejudicado demonstrar que seu caso tem elementos fáticos diferenciados e que a sua demanda não deve ser decidida consoante o entendimento vinculativo proferido</w:t>
      </w:r>
      <w:r>
        <w:t xml:space="preserve"> pelo STF.</w:t>
      </w:r>
      <w:r w:rsidR="00E1112D">
        <w:t xml:space="preserve"> Da mesma forma, caso o juiz queira afastar a aplicação da súmula ao caso concreto, deverá fundamentar sua decisão, demonstrando que a lide em apreço não possui identidade com as demandas que consolidaram o posicionamento do STF.</w:t>
      </w:r>
    </w:p>
    <w:p w:rsidR="00EC0B20" w:rsidRDefault="00E1112D" w:rsidP="00EC0B20">
      <w:pPr>
        <w:pStyle w:val="NormalWeb"/>
        <w:spacing w:line="360" w:lineRule="auto"/>
        <w:ind w:firstLine="708"/>
        <w:jc w:val="both"/>
      </w:pPr>
      <w:r>
        <w:t xml:space="preserve">Doutrinadores alegam que há violação à separação de poderes, </w:t>
      </w:r>
      <w:r w:rsidR="00256140">
        <w:t>entretanto, não é segredo</w:t>
      </w:r>
      <w:r>
        <w:t xml:space="preserve"> que </w:t>
      </w:r>
      <w:r w:rsidR="00256140">
        <w:t xml:space="preserve">seu </w:t>
      </w:r>
      <w:proofErr w:type="gramStart"/>
      <w:r w:rsidR="00256140">
        <w:t>entendimento</w:t>
      </w:r>
      <w:r w:rsidR="00A13243">
        <w:t xml:space="preserve">  passou</w:t>
      </w:r>
      <w:proofErr w:type="gramEnd"/>
      <w:r w:rsidR="00A13243">
        <w:t xml:space="preserve"> por vastas altera</w:t>
      </w:r>
      <w:r w:rsidR="00256140">
        <w:t>ções desde o clássico paradigma</w:t>
      </w:r>
      <w:r>
        <w:t xml:space="preserve"> de Montesquieu, sendo que verificamos situações em que há a atuação do legislativo como julgador e até mesmo</w:t>
      </w:r>
      <w:r w:rsidR="00256140">
        <w:t xml:space="preserve"> do judiciário como </w:t>
      </w:r>
      <w:proofErr w:type="spellStart"/>
      <w:r w:rsidR="00256140">
        <w:t>legiferante</w:t>
      </w:r>
      <w:proofErr w:type="spellEnd"/>
      <w:r w:rsidR="00256140">
        <w:t xml:space="preserve">, </w:t>
      </w:r>
      <w:r>
        <w:t>de forma que não há o que se questionar quanto a uma possível atuação legislativa do Judic</w:t>
      </w:r>
      <w:r w:rsidR="00256140">
        <w:t>iário, já que sua função princip</w:t>
      </w:r>
      <w:r>
        <w:t>a</w:t>
      </w:r>
      <w:r w:rsidR="00256140">
        <w:t>l</w:t>
      </w:r>
      <w:r>
        <w:t xml:space="preserve"> </w:t>
      </w:r>
      <w:r w:rsidR="00256140">
        <w:t>não deixou, em momento algum, de ser a jurisdicional.</w:t>
      </w:r>
      <w:r>
        <w:t xml:space="preserve"> </w:t>
      </w:r>
    </w:p>
    <w:p w:rsidR="00A13243" w:rsidRDefault="00A13243" w:rsidP="00A13243">
      <w:pPr>
        <w:pStyle w:val="NormalWeb"/>
        <w:spacing w:line="360" w:lineRule="auto"/>
        <w:ind w:firstLine="708"/>
        <w:jc w:val="both"/>
      </w:pPr>
      <w:r>
        <w:t>Além do exposto, os críticos alegam um possível engessamento da jurisprudência, porém tal sustentação é facilmente refutada a partir da Lei 11.417/2006 que previu as formas de edição, revisão e cancelamento da súmula, de forma que, se as mudanças sociais exigirem, existem meios próprios para se propor o cancelamento da súmula, ela não será eterna como os críticos buscam demonstrar.</w:t>
      </w:r>
    </w:p>
    <w:p w:rsidR="00DE5936" w:rsidRPr="00AD449E" w:rsidRDefault="00E1112D" w:rsidP="00AD449E">
      <w:pPr>
        <w:pStyle w:val="NormalWeb"/>
        <w:spacing w:line="360" w:lineRule="auto"/>
        <w:ind w:firstLine="708"/>
        <w:jc w:val="both"/>
      </w:pPr>
      <w:r>
        <w:t>De fato, a revisão ou cancelamento de uma súmula vinculante será um meio mais dificultoso de mudança da jurisprudênci</w:t>
      </w:r>
      <w:r w:rsidR="00A13243">
        <w:t>a. Entretanto, esta é exatamente</w:t>
      </w:r>
      <w:r>
        <w:t xml:space="preserve"> </w:t>
      </w:r>
      <w:r w:rsidR="00A13243">
        <w:t>um dos pontos almejados pelo dispositivo</w:t>
      </w:r>
      <w:r>
        <w:t>, a uniformização da jurisprudência com a potencialização da segurança jurídica. Ressalte-se que a súmula vinculante é fruto de decisões amadurecidas e já estabilizadas</w:t>
      </w:r>
      <w:r w:rsidR="00A13243">
        <w:t>, logo</w:t>
      </w:r>
      <w:r>
        <w:t xml:space="preserve">, não </w:t>
      </w:r>
      <w:r w:rsidR="00A13243">
        <w:t>será necessária revisões constantemente.</w:t>
      </w:r>
    </w:p>
    <w:p w:rsidR="00DE5936" w:rsidRPr="006F4B1E" w:rsidRDefault="00DE5936" w:rsidP="00DE5936">
      <w:pPr>
        <w:pStyle w:val="PargrafodaLista"/>
        <w:numPr>
          <w:ilvl w:val="0"/>
          <w:numId w:val="1"/>
        </w:numPr>
        <w:spacing w:line="360" w:lineRule="auto"/>
        <w:jc w:val="both"/>
        <w:rPr>
          <w:rFonts w:ascii="Times New Roman" w:hAnsi="Times New Roman" w:cs="Times New Roman"/>
          <w:b/>
          <w:sz w:val="24"/>
          <w:szCs w:val="24"/>
        </w:rPr>
      </w:pPr>
      <w:r w:rsidRPr="006F4B1E">
        <w:rPr>
          <w:rFonts w:ascii="Times New Roman" w:hAnsi="Times New Roman" w:cs="Times New Roman"/>
          <w:b/>
          <w:sz w:val="24"/>
          <w:szCs w:val="24"/>
        </w:rPr>
        <w:lastRenderedPageBreak/>
        <w:t>LEGISLAÇÃO OU INTERPRETAÇÃO?</w:t>
      </w:r>
    </w:p>
    <w:p w:rsidR="00AD449E" w:rsidRDefault="00AD449E" w:rsidP="00AD449E">
      <w:pPr>
        <w:spacing w:line="360" w:lineRule="auto"/>
        <w:ind w:firstLine="708"/>
        <w:jc w:val="both"/>
        <w:rPr>
          <w:rFonts w:ascii="Times New Roman" w:hAnsi="Times New Roman" w:cs="Times New Roman"/>
          <w:sz w:val="24"/>
          <w:szCs w:val="24"/>
        </w:rPr>
      </w:pPr>
      <w:r w:rsidRPr="00AD449E">
        <w:rPr>
          <w:rFonts w:ascii="Times New Roman" w:hAnsi="Times New Roman" w:cs="Times New Roman"/>
          <w:sz w:val="24"/>
          <w:szCs w:val="24"/>
        </w:rPr>
        <w:t>Como já foi elucidado anteriormente, A Reforma do Poder Judiciário (EC nº45/04) tentou solucionar o problema da demora e da insegurança jurídica ao acrescentar o artigo 103-A à Constituição da República. Este artigo criou a súmula de efeito vinculante, assim o STF pode, depois de reiteradas decisões sobre matéria constitucional, editar súmulas com efeito vinculante em relação aos órgãos do Poder Judiciário e da Administração Pública.</w:t>
      </w:r>
    </w:p>
    <w:p w:rsidR="00AD449E" w:rsidRDefault="00AD449E" w:rsidP="00AD449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face do exposto, a partir de agora será feita uma análise para sabermos se o Judiciário estaria ou não exercendo indevidamente as funções do Poder Legislativo ao editar </w:t>
      </w:r>
      <w:proofErr w:type="spellStart"/>
      <w:r>
        <w:rPr>
          <w:rFonts w:ascii="Times New Roman" w:hAnsi="Times New Roman" w:cs="Times New Roman"/>
          <w:sz w:val="24"/>
          <w:szCs w:val="24"/>
        </w:rPr>
        <w:t>súmular</w:t>
      </w:r>
      <w:proofErr w:type="spellEnd"/>
      <w:r>
        <w:rPr>
          <w:rFonts w:ascii="Times New Roman" w:hAnsi="Times New Roman" w:cs="Times New Roman"/>
          <w:sz w:val="24"/>
          <w:szCs w:val="24"/>
        </w:rPr>
        <w:t xml:space="preserve"> vinculantes, já que estas são abstratas e gerais assemelhando-se às leis tradicionais.</w:t>
      </w:r>
    </w:p>
    <w:p w:rsidR="00384E0B" w:rsidRDefault="00384E0B" w:rsidP="00AD449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Como pontapé inicial, pode-se afirmar a validade das súmulas vinculantes é inquestionável, uma vez que entraram no ordenamento jurídico brasileiro através de emenda constitucional, galgando todo processo solene em que participaram os poderes Legislativo e Judiciário, como cobra nossa Constituição no artigo 60.</w:t>
      </w:r>
    </w:p>
    <w:p w:rsidR="00384E0B" w:rsidRDefault="00384E0B" w:rsidP="00AD449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próximo passo tange a gama da separação dos po</w:t>
      </w:r>
      <w:bookmarkStart w:id="0" w:name="_GoBack"/>
      <w:bookmarkEnd w:id="0"/>
      <w:r>
        <w:rPr>
          <w:rFonts w:ascii="Times New Roman" w:hAnsi="Times New Roman" w:cs="Times New Roman"/>
          <w:sz w:val="24"/>
          <w:szCs w:val="24"/>
        </w:rPr>
        <w:t xml:space="preserve">deres que, embora consagrada por </w:t>
      </w:r>
      <w:proofErr w:type="spellStart"/>
      <w:r>
        <w:rPr>
          <w:rFonts w:ascii="Times New Roman" w:hAnsi="Times New Roman" w:cs="Times New Roman"/>
          <w:sz w:val="24"/>
          <w:szCs w:val="24"/>
        </w:rPr>
        <w:t>Monterquieu</w:t>
      </w:r>
      <w:proofErr w:type="spellEnd"/>
      <w:r>
        <w:rPr>
          <w:rFonts w:ascii="Times New Roman" w:hAnsi="Times New Roman" w:cs="Times New Roman"/>
          <w:sz w:val="24"/>
          <w:szCs w:val="24"/>
        </w:rPr>
        <w:t xml:space="preserve"> na obra “O espírito das leis”, teve sua evolução com o passar dos anos, até a nossa CF de 1988 garantir que “são poderes da União, independentes e harmônicos entre si, o Legislativo, o Executivo e o Judiciário.”. Assim como o Conde de Montesquieu, </w:t>
      </w:r>
      <w:proofErr w:type="spellStart"/>
      <w:r>
        <w:rPr>
          <w:rFonts w:ascii="Times New Roman" w:hAnsi="Times New Roman" w:cs="Times New Roman"/>
          <w:sz w:val="24"/>
          <w:szCs w:val="24"/>
        </w:rPr>
        <w:t>Beccaria</w:t>
      </w:r>
      <w:proofErr w:type="spellEnd"/>
      <w:r>
        <w:rPr>
          <w:rFonts w:ascii="Times New Roman" w:hAnsi="Times New Roman" w:cs="Times New Roman"/>
          <w:sz w:val="24"/>
          <w:szCs w:val="24"/>
        </w:rPr>
        <w:t xml:space="preserve"> corrobora com a ideia de que as súmulas iriam de encontro com o princípio da separação dos poderes, uma vez que “o juiz não poderia interpretar a norma jurídica por não ser legislador”.</w:t>
      </w:r>
      <w:r w:rsidR="008B009F">
        <w:rPr>
          <w:rFonts w:ascii="Times New Roman" w:hAnsi="Times New Roman" w:cs="Times New Roman"/>
          <w:sz w:val="24"/>
          <w:szCs w:val="24"/>
        </w:rPr>
        <w:t xml:space="preserve"> Um pensamento totalmente obsoleto na hodiernidade!</w:t>
      </w:r>
    </w:p>
    <w:p w:rsidR="008B009F" w:rsidRDefault="008B009F" w:rsidP="00AD449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Glauco Salomão Leite auxilia na refutação dos argumentos que seguem a linha de raciocínio de Montesquieu ao afirmar que: </w:t>
      </w:r>
    </w:p>
    <w:p w:rsidR="008B009F" w:rsidRDefault="008B009F" w:rsidP="008B009F">
      <w:pPr>
        <w:spacing w:line="240" w:lineRule="auto"/>
        <w:ind w:left="2268"/>
        <w:jc w:val="both"/>
        <w:rPr>
          <w:rFonts w:ascii="Times New Roman" w:hAnsi="Times New Roman" w:cs="Times New Roman"/>
          <w:sz w:val="20"/>
          <w:szCs w:val="20"/>
        </w:rPr>
      </w:pPr>
    </w:p>
    <w:p w:rsidR="008B009F" w:rsidRDefault="008B009F" w:rsidP="008B009F">
      <w:pPr>
        <w:spacing w:line="240" w:lineRule="auto"/>
        <w:ind w:left="2268"/>
        <w:jc w:val="both"/>
        <w:rPr>
          <w:rFonts w:ascii="Times New Roman" w:hAnsi="Times New Roman" w:cs="Times New Roman"/>
          <w:sz w:val="20"/>
          <w:szCs w:val="20"/>
        </w:rPr>
      </w:pPr>
      <w:proofErr w:type="gramStart"/>
      <w:r w:rsidRPr="008B009F">
        <w:rPr>
          <w:rFonts w:ascii="Times New Roman" w:hAnsi="Times New Roman" w:cs="Times New Roman"/>
          <w:sz w:val="20"/>
          <w:szCs w:val="20"/>
        </w:rPr>
        <w:t>o</w:t>
      </w:r>
      <w:proofErr w:type="gramEnd"/>
      <w:r w:rsidRPr="008B009F">
        <w:rPr>
          <w:rFonts w:ascii="Times New Roman" w:hAnsi="Times New Roman" w:cs="Times New Roman"/>
          <w:sz w:val="20"/>
          <w:szCs w:val="20"/>
        </w:rPr>
        <w:t xml:space="preserve"> estabelecimento de metas e programas sociais, veiculadas por leis vagas e imprecisas, acarreta uma maior liberdade na interpretação jurídica por parte do juiz. Isso representa o alargamento da discricionariedade interpretativa, com a possibilidade de incremento da criação judicial do direito</w:t>
      </w:r>
      <w:r>
        <w:rPr>
          <w:rFonts w:ascii="Times New Roman" w:hAnsi="Times New Roman" w:cs="Times New Roman"/>
          <w:sz w:val="20"/>
          <w:szCs w:val="20"/>
        </w:rPr>
        <w:t>.</w:t>
      </w:r>
    </w:p>
    <w:p w:rsidR="008B009F" w:rsidRDefault="008B009F" w:rsidP="008B009F">
      <w:pPr>
        <w:shd w:val="clear" w:color="auto" w:fill="FFFFFF"/>
        <w:rPr>
          <w:rFonts w:ascii="Times New Roman" w:hAnsi="Times New Roman" w:cs="Times New Roman"/>
          <w:sz w:val="20"/>
          <w:szCs w:val="20"/>
        </w:rPr>
      </w:pPr>
    </w:p>
    <w:p w:rsidR="00B31B7D" w:rsidRDefault="008B009F" w:rsidP="008B009F">
      <w:pPr>
        <w:shd w:val="clear" w:color="auto" w:fill="FFFFFF"/>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Essa discricionariedade citada por Leite diferencia-se da arbitrariedade, uma vez que esta última não possui limites, já a criatividade</w:t>
      </w:r>
      <w:r w:rsidR="00B31B7D">
        <w:rPr>
          <w:rFonts w:ascii="Times New Roman" w:hAnsi="Times New Roman" w:cs="Times New Roman"/>
          <w:sz w:val="24"/>
          <w:szCs w:val="24"/>
        </w:rPr>
        <w:t>/discricionariedade</w:t>
      </w:r>
      <w:r>
        <w:rPr>
          <w:rFonts w:ascii="Times New Roman" w:hAnsi="Times New Roman" w:cs="Times New Roman"/>
          <w:sz w:val="24"/>
          <w:szCs w:val="24"/>
        </w:rPr>
        <w:t xml:space="preserve"> impõe limites processuais e substanciais ao magistrado.</w:t>
      </w:r>
      <w:r w:rsidR="00B31B7D">
        <w:rPr>
          <w:rFonts w:ascii="Times New Roman" w:hAnsi="Times New Roman" w:cs="Times New Roman"/>
          <w:sz w:val="24"/>
          <w:szCs w:val="24"/>
        </w:rPr>
        <w:t xml:space="preserve"> E é exatamente nesses limites que podemos diferenciar a criação do Direito pelo Poder Legislativo e a criação do Direito pelo Judiciário, tendo em vista que em se </w:t>
      </w:r>
      <w:proofErr w:type="spellStart"/>
      <w:r w:rsidR="00B31B7D">
        <w:rPr>
          <w:rFonts w:ascii="Times New Roman" w:hAnsi="Times New Roman" w:cs="Times New Roman"/>
          <w:sz w:val="24"/>
          <w:szCs w:val="24"/>
        </w:rPr>
        <w:t>tratanto</w:t>
      </w:r>
      <w:proofErr w:type="spellEnd"/>
      <w:r w:rsidR="00B31B7D">
        <w:rPr>
          <w:rFonts w:ascii="Times New Roman" w:hAnsi="Times New Roman" w:cs="Times New Roman"/>
          <w:sz w:val="24"/>
          <w:szCs w:val="24"/>
        </w:rPr>
        <w:t xml:space="preserve"> de processo legislativo esses limites são inexistentes.</w:t>
      </w:r>
    </w:p>
    <w:p w:rsidR="00B31B7D" w:rsidRDefault="00820B60" w:rsidP="008B009F">
      <w:pPr>
        <w:shd w:val="clear" w:color="auto" w:fill="FFFFFF"/>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Poderia se chamar</w:t>
      </w:r>
      <w:r w:rsidR="00B31B7D">
        <w:rPr>
          <w:rFonts w:ascii="Times New Roman" w:hAnsi="Times New Roman" w:cs="Times New Roman"/>
          <w:sz w:val="24"/>
          <w:szCs w:val="24"/>
        </w:rPr>
        <w:t xml:space="preserve">, portanto, em Judiciário </w:t>
      </w:r>
      <w:proofErr w:type="spellStart"/>
      <w:r w:rsidR="00B31B7D">
        <w:rPr>
          <w:rFonts w:ascii="Times New Roman" w:hAnsi="Times New Roman" w:cs="Times New Roman"/>
          <w:sz w:val="24"/>
          <w:szCs w:val="24"/>
        </w:rPr>
        <w:t>legiferante</w:t>
      </w:r>
      <w:proofErr w:type="spellEnd"/>
      <w:r>
        <w:rPr>
          <w:rFonts w:ascii="Times New Roman" w:hAnsi="Times New Roman" w:cs="Times New Roman"/>
          <w:sz w:val="24"/>
          <w:szCs w:val="24"/>
        </w:rPr>
        <w:t xml:space="preserve"> usurpador de funções do Legislativo</w:t>
      </w:r>
      <w:r w:rsidR="00B31B7D">
        <w:rPr>
          <w:rFonts w:ascii="Times New Roman" w:hAnsi="Times New Roman" w:cs="Times New Roman"/>
          <w:sz w:val="24"/>
          <w:szCs w:val="24"/>
        </w:rPr>
        <w:t xml:space="preserve"> se as súmulas editadas não possuíssem a mínima conexão com casos concretos</w:t>
      </w:r>
      <w:r>
        <w:rPr>
          <w:rFonts w:ascii="Times New Roman" w:hAnsi="Times New Roman" w:cs="Times New Roman"/>
          <w:sz w:val="24"/>
          <w:szCs w:val="24"/>
        </w:rPr>
        <w:t>. E como ocorre exatamente o inverso disso, uma vez que um dos requisitos para criação de súmulas são as reiteradas decisões sobre uma determinada matéria, não é possível falar que os tribunais exercem competência legislativa.</w:t>
      </w:r>
    </w:p>
    <w:p w:rsidR="00820B60" w:rsidRDefault="00820B60" w:rsidP="008B009F">
      <w:pPr>
        <w:shd w:val="clear" w:color="auto" w:fill="FFFFFF"/>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Outro argumento capaz de defender que as súmulas vinculantes não são objetos de legislação provenientes do Judiciário pode ser concedido através dos conceitos de norma e enunciado normativo. Enquanto este é elaborado pelo Poder Legislativo, aquele é fruto de interpretações feitas das leis (enunciados normativos) present</w:t>
      </w:r>
      <w:r w:rsidR="00994533">
        <w:rPr>
          <w:rFonts w:ascii="Times New Roman" w:hAnsi="Times New Roman" w:cs="Times New Roman"/>
          <w:sz w:val="24"/>
          <w:szCs w:val="24"/>
        </w:rPr>
        <w:t xml:space="preserve">es nos diplomas legais. Na acepção de </w:t>
      </w:r>
      <w:proofErr w:type="spellStart"/>
      <w:r w:rsidR="00994533">
        <w:rPr>
          <w:rFonts w:ascii="Times New Roman" w:hAnsi="Times New Roman" w:cs="Times New Roman"/>
          <w:sz w:val="24"/>
          <w:szCs w:val="24"/>
        </w:rPr>
        <w:t>Canotilho</w:t>
      </w:r>
      <w:proofErr w:type="spellEnd"/>
      <w:r w:rsidR="00994533">
        <w:rPr>
          <w:rFonts w:ascii="Times New Roman" w:hAnsi="Times New Roman" w:cs="Times New Roman"/>
          <w:sz w:val="24"/>
          <w:szCs w:val="24"/>
        </w:rPr>
        <w:t xml:space="preserve">: </w:t>
      </w:r>
    </w:p>
    <w:p w:rsidR="00994533" w:rsidRPr="007C061E" w:rsidRDefault="00994533" w:rsidP="007C061E">
      <w:pPr>
        <w:ind w:left="2268"/>
        <w:jc w:val="both"/>
        <w:rPr>
          <w:rFonts w:ascii="Times New Roman" w:hAnsi="Times New Roman" w:cs="Times New Roman"/>
          <w:sz w:val="20"/>
          <w:szCs w:val="20"/>
        </w:rPr>
      </w:pPr>
      <w:r w:rsidRPr="00994533">
        <w:rPr>
          <w:rFonts w:ascii="Times New Roman" w:hAnsi="Times New Roman" w:cs="Times New Roman"/>
          <w:sz w:val="20"/>
          <w:szCs w:val="20"/>
        </w:rPr>
        <w:t xml:space="preserve">Deve distinguir-se entre </w:t>
      </w:r>
      <w:r w:rsidRPr="00994533">
        <w:rPr>
          <w:rStyle w:val="nfase"/>
          <w:rFonts w:ascii="Times New Roman" w:hAnsi="Times New Roman" w:cs="Times New Roman"/>
          <w:i w:val="0"/>
          <w:sz w:val="20"/>
          <w:szCs w:val="20"/>
        </w:rPr>
        <w:t>enunciado</w:t>
      </w:r>
      <w:r w:rsidRPr="00994533">
        <w:rPr>
          <w:rFonts w:ascii="Times New Roman" w:hAnsi="Times New Roman" w:cs="Times New Roman"/>
          <w:sz w:val="20"/>
          <w:szCs w:val="20"/>
        </w:rPr>
        <w:t xml:space="preserve"> (formulação, disposição) da </w:t>
      </w:r>
      <w:r w:rsidRPr="00994533">
        <w:rPr>
          <w:rStyle w:val="nfase"/>
          <w:rFonts w:ascii="Times New Roman" w:hAnsi="Times New Roman" w:cs="Times New Roman"/>
          <w:i w:val="0"/>
          <w:sz w:val="20"/>
          <w:szCs w:val="20"/>
        </w:rPr>
        <w:t>norma</w:t>
      </w:r>
      <w:r w:rsidRPr="00994533">
        <w:rPr>
          <w:rFonts w:ascii="Times New Roman" w:hAnsi="Times New Roman" w:cs="Times New Roman"/>
          <w:i/>
          <w:sz w:val="20"/>
          <w:szCs w:val="20"/>
        </w:rPr>
        <w:t xml:space="preserve"> </w:t>
      </w:r>
      <w:r w:rsidRPr="00994533">
        <w:rPr>
          <w:rFonts w:ascii="Times New Roman" w:hAnsi="Times New Roman" w:cs="Times New Roman"/>
          <w:sz w:val="20"/>
          <w:szCs w:val="20"/>
        </w:rPr>
        <w:t xml:space="preserve">e </w:t>
      </w:r>
      <w:r w:rsidRPr="00994533">
        <w:rPr>
          <w:rStyle w:val="nfase"/>
          <w:rFonts w:ascii="Times New Roman" w:hAnsi="Times New Roman" w:cs="Times New Roman"/>
          <w:i w:val="0"/>
          <w:sz w:val="20"/>
          <w:szCs w:val="20"/>
        </w:rPr>
        <w:t>norma</w:t>
      </w:r>
      <w:r w:rsidRPr="00994533">
        <w:rPr>
          <w:rFonts w:ascii="Times New Roman" w:hAnsi="Times New Roman" w:cs="Times New Roman"/>
          <w:sz w:val="20"/>
          <w:szCs w:val="20"/>
        </w:rPr>
        <w:t xml:space="preserve">. A </w:t>
      </w:r>
      <w:r w:rsidRPr="00994533">
        <w:rPr>
          <w:rStyle w:val="Forte"/>
          <w:rFonts w:ascii="Times New Roman" w:hAnsi="Times New Roman" w:cs="Times New Roman"/>
          <w:b w:val="0"/>
          <w:sz w:val="20"/>
          <w:szCs w:val="20"/>
        </w:rPr>
        <w:t>formulação da norma</w:t>
      </w:r>
      <w:r w:rsidRPr="00994533">
        <w:rPr>
          <w:rFonts w:ascii="Times New Roman" w:hAnsi="Times New Roman" w:cs="Times New Roman"/>
          <w:sz w:val="20"/>
          <w:szCs w:val="20"/>
        </w:rPr>
        <w:t xml:space="preserve"> é qualquer enunciado que faz parte de um texto normativo (de &lt;&lt;uma fonte de direito&gt;&gt;). </w:t>
      </w:r>
      <w:r w:rsidRPr="00994533">
        <w:rPr>
          <w:rStyle w:val="Forte"/>
          <w:rFonts w:ascii="Times New Roman" w:hAnsi="Times New Roman" w:cs="Times New Roman"/>
          <w:b w:val="0"/>
          <w:sz w:val="20"/>
          <w:szCs w:val="20"/>
        </w:rPr>
        <w:t>Norma</w:t>
      </w:r>
      <w:r w:rsidRPr="00994533">
        <w:rPr>
          <w:rFonts w:ascii="Times New Roman" w:hAnsi="Times New Roman" w:cs="Times New Roman"/>
          <w:sz w:val="20"/>
          <w:szCs w:val="20"/>
        </w:rPr>
        <w:t xml:space="preserve"> é o sentido ou significado adscrito a qualquer disposição (ou a um fragmento de disposição, combinação de disposições, combinações de fragmentos de disposições). </w:t>
      </w:r>
      <w:r w:rsidRPr="00994533">
        <w:rPr>
          <w:rStyle w:val="Forte"/>
          <w:rFonts w:ascii="Times New Roman" w:hAnsi="Times New Roman" w:cs="Times New Roman"/>
          <w:b w:val="0"/>
          <w:sz w:val="20"/>
          <w:szCs w:val="20"/>
        </w:rPr>
        <w:t>Disposição</w:t>
      </w:r>
      <w:r w:rsidRPr="00994533">
        <w:rPr>
          <w:rFonts w:ascii="Times New Roman" w:hAnsi="Times New Roman" w:cs="Times New Roman"/>
          <w:sz w:val="20"/>
          <w:szCs w:val="20"/>
        </w:rPr>
        <w:t xml:space="preserve"> é parte de um texto ainda a interpretar, </w:t>
      </w:r>
      <w:r w:rsidRPr="00994533">
        <w:rPr>
          <w:rStyle w:val="nfase"/>
          <w:rFonts w:ascii="Times New Roman" w:hAnsi="Times New Roman" w:cs="Times New Roman"/>
          <w:i w:val="0"/>
          <w:sz w:val="20"/>
          <w:szCs w:val="20"/>
        </w:rPr>
        <w:t>norma</w:t>
      </w:r>
      <w:r w:rsidRPr="00994533">
        <w:rPr>
          <w:rFonts w:ascii="Times New Roman" w:hAnsi="Times New Roman" w:cs="Times New Roman"/>
          <w:sz w:val="20"/>
          <w:szCs w:val="20"/>
        </w:rPr>
        <w:t xml:space="preserve"> é parte de um texto interpretado.</w:t>
      </w:r>
    </w:p>
    <w:p w:rsidR="00994533" w:rsidRDefault="00994533" w:rsidP="00994533">
      <w:pPr>
        <w:shd w:val="clear" w:color="auto" w:fill="FFFFFF"/>
        <w:spacing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Portanto, seguindo a linha de raciocínio do citado autor, conclui-se que, uma vez que as súmulas vinculantes são feitas a partir de decisões reiteradas acerca de determinada matéria constitucional, seu conteúdo é a interpretação feita pelo Supremo Tribunal Federal de enunciados normativos a partir de casos concretos.</w:t>
      </w:r>
    </w:p>
    <w:p w:rsidR="00DE5936" w:rsidRDefault="00994533" w:rsidP="00640F5B">
      <w:pPr>
        <w:spacing w:line="360" w:lineRule="auto"/>
        <w:ind w:firstLine="708"/>
        <w:jc w:val="both"/>
        <w:rPr>
          <w:rFonts w:ascii="Times New Roman" w:hAnsi="Times New Roman" w:cs="Times New Roman"/>
          <w:sz w:val="24"/>
          <w:szCs w:val="24"/>
        </w:rPr>
      </w:pPr>
      <w:r w:rsidRPr="00994533">
        <w:rPr>
          <w:rFonts w:ascii="Times New Roman" w:hAnsi="Times New Roman" w:cs="Times New Roman"/>
          <w:color w:val="000000"/>
          <w:sz w:val="24"/>
          <w:szCs w:val="24"/>
        </w:rPr>
        <w:t>Nossa Suprema Corte</w:t>
      </w:r>
      <w:r w:rsidR="007C061E">
        <w:rPr>
          <w:rFonts w:ascii="Times New Roman" w:hAnsi="Times New Roman" w:cs="Times New Roman"/>
          <w:color w:val="000000"/>
          <w:sz w:val="24"/>
          <w:szCs w:val="24"/>
        </w:rPr>
        <w:t>, portanto,</w:t>
      </w:r>
      <w:r w:rsidRPr="00994533">
        <w:rPr>
          <w:rFonts w:ascii="Times New Roman" w:hAnsi="Times New Roman" w:cs="Times New Roman"/>
          <w:color w:val="000000"/>
          <w:sz w:val="24"/>
          <w:szCs w:val="24"/>
        </w:rPr>
        <w:t xml:space="preserve"> não estaria legislando, pois como afirma Glauco Salomão Leite </w:t>
      </w:r>
      <w:r>
        <w:rPr>
          <w:rFonts w:ascii="Times New Roman" w:hAnsi="Times New Roman" w:cs="Times New Roman"/>
          <w:color w:val="000000"/>
          <w:sz w:val="24"/>
          <w:szCs w:val="24"/>
        </w:rPr>
        <w:t>“</w:t>
      </w:r>
      <w:r w:rsidRPr="00994533">
        <w:rPr>
          <w:rFonts w:ascii="Times New Roman" w:hAnsi="Times New Roman" w:cs="Times New Roman"/>
          <w:sz w:val="24"/>
          <w:szCs w:val="24"/>
        </w:rPr>
        <w:t xml:space="preserve">o enunciado da súmula apenas sintetiza a essência do entendimento consolidado </w:t>
      </w:r>
      <w:proofErr w:type="spellStart"/>
      <w:r w:rsidRPr="00994533">
        <w:rPr>
          <w:rStyle w:val="nfase"/>
          <w:rFonts w:ascii="Times New Roman" w:hAnsi="Times New Roman" w:cs="Times New Roman"/>
          <w:sz w:val="24"/>
          <w:szCs w:val="24"/>
        </w:rPr>
        <w:t>jurisprudencialmente</w:t>
      </w:r>
      <w:proofErr w:type="spellEnd"/>
      <w:r w:rsidRPr="00994533">
        <w:rPr>
          <w:rFonts w:ascii="Times New Roman" w:hAnsi="Times New Roman" w:cs="Times New Roman"/>
          <w:sz w:val="24"/>
          <w:szCs w:val="24"/>
        </w:rPr>
        <w:t xml:space="preserve"> pelo Supremo Tribunal Federal sobre determinada matéria</w:t>
      </w:r>
      <w:r>
        <w:rPr>
          <w:rFonts w:ascii="Times New Roman" w:hAnsi="Times New Roman" w:cs="Times New Roman"/>
          <w:sz w:val="24"/>
          <w:szCs w:val="24"/>
        </w:rPr>
        <w:t>”</w:t>
      </w:r>
      <w:r w:rsidR="007C061E">
        <w:rPr>
          <w:rFonts w:ascii="Times New Roman" w:hAnsi="Times New Roman" w:cs="Times New Roman"/>
          <w:sz w:val="24"/>
          <w:szCs w:val="24"/>
        </w:rPr>
        <w:t xml:space="preserve"> com objeti</w:t>
      </w:r>
      <w:r w:rsidR="00640F5B">
        <w:rPr>
          <w:rFonts w:ascii="Times New Roman" w:hAnsi="Times New Roman" w:cs="Times New Roman"/>
          <w:sz w:val="24"/>
          <w:szCs w:val="24"/>
        </w:rPr>
        <w:t>v</w:t>
      </w:r>
      <w:r w:rsidR="007C061E">
        <w:rPr>
          <w:rFonts w:ascii="Times New Roman" w:hAnsi="Times New Roman" w:cs="Times New Roman"/>
          <w:sz w:val="24"/>
          <w:szCs w:val="24"/>
        </w:rPr>
        <w:t>o de prover segurança jurídica. É interessante salientar ainda que o Legislativo pode criar leis de entendimento contrário às súmulas, já que não está vinculado ao seu efeito.</w:t>
      </w:r>
    </w:p>
    <w:p w:rsidR="00DE5936" w:rsidRDefault="00DE5936" w:rsidP="00DE5936">
      <w:pPr>
        <w:pStyle w:val="PargrafodaLista"/>
        <w:spacing w:line="360" w:lineRule="auto"/>
        <w:ind w:left="0" w:firstLine="708"/>
        <w:jc w:val="both"/>
        <w:rPr>
          <w:rFonts w:ascii="Times New Roman" w:hAnsi="Times New Roman" w:cs="Times New Roman"/>
          <w:sz w:val="24"/>
          <w:szCs w:val="24"/>
        </w:rPr>
      </w:pPr>
    </w:p>
    <w:p w:rsidR="00DE5936" w:rsidRDefault="00DE5936" w:rsidP="00665448">
      <w:pPr>
        <w:spacing w:line="360" w:lineRule="auto"/>
        <w:jc w:val="both"/>
        <w:rPr>
          <w:rFonts w:ascii="Times New Roman" w:hAnsi="Times New Roman" w:cs="Times New Roman"/>
          <w:b/>
          <w:sz w:val="24"/>
          <w:szCs w:val="24"/>
        </w:rPr>
      </w:pPr>
      <w:r w:rsidRPr="00665448">
        <w:rPr>
          <w:rFonts w:ascii="Times New Roman" w:hAnsi="Times New Roman" w:cs="Times New Roman"/>
          <w:b/>
          <w:sz w:val="24"/>
          <w:szCs w:val="24"/>
        </w:rPr>
        <w:t>REFERENCIAL BIBLIOGRÁFICO</w:t>
      </w:r>
    </w:p>
    <w:p w:rsidR="00AE1FE4" w:rsidRPr="00AE1FE4" w:rsidRDefault="00AE1FE4" w:rsidP="00665448">
      <w:pPr>
        <w:spacing w:line="360" w:lineRule="auto"/>
        <w:jc w:val="both"/>
        <w:rPr>
          <w:rFonts w:ascii="Times New Roman" w:hAnsi="Times New Roman" w:cs="Times New Roman"/>
          <w:color w:val="333333"/>
          <w:sz w:val="24"/>
          <w:szCs w:val="24"/>
          <w:shd w:val="clear" w:color="auto" w:fill="FFFFFF"/>
        </w:rPr>
      </w:pPr>
      <w:r w:rsidRPr="00AE1FE4">
        <w:rPr>
          <w:rFonts w:ascii="Times New Roman" w:hAnsi="Times New Roman" w:cs="Times New Roman"/>
          <w:color w:val="333333"/>
          <w:sz w:val="24"/>
          <w:szCs w:val="24"/>
          <w:shd w:val="clear" w:color="auto" w:fill="FFFFFF"/>
        </w:rPr>
        <w:t>ÁVILA, Humberto.</w:t>
      </w:r>
      <w:r w:rsidRPr="00AE1FE4">
        <w:rPr>
          <w:rStyle w:val="apple-converted-space"/>
          <w:rFonts w:ascii="Times New Roman" w:hAnsi="Times New Roman" w:cs="Times New Roman"/>
          <w:color w:val="333333"/>
          <w:sz w:val="24"/>
          <w:szCs w:val="24"/>
          <w:shd w:val="clear" w:color="auto" w:fill="FFFFFF"/>
        </w:rPr>
        <w:t> </w:t>
      </w:r>
      <w:r w:rsidRPr="00AE1FE4">
        <w:rPr>
          <w:rStyle w:val="Forte"/>
          <w:rFonts w:ascii="Times New Roman" w:hAnsi="Times New Roman" w:cs="Times New Roman"/>
          <w:color w:val="333333"/>
          <w:sz w:val="24"/>
          <w:szCs w:val="24"/>
          <w:shd w:val="clear" w:color="auto" w:fill="FFFFFF"/>
        </w:rPr>
        <w:t>Teoria dos Princípios:</w:t>
      </w:r>
      <w:r w:rsidRPr="00AE1FE4">
        <w:rPr>
          <w:rStyle w:val="apple-converted-space"/>
          <w:rFonts w:ascii="Times New Roman" w:hAnsi="Times New Roman" w:cs="Times New Roman"/>
          <w:b/>
          <w:bCs/>
          <w:color w:val="333333"/>
          <w:sz w:val="24"/>
          <w:szCs w:val="24"/>
          <w:shd w:val="clear" w:color="auto" w:fill="FFFFFF"/>
        </w:rPr>
        <w:t> </w:t>
      </w:r>
      <w:r w:rsidRPr="00AE1FE4">
        <w:rPr>
          <w:rFonts w:ascii="Times New Roman" w:hAnsi="Times New Roman" w:cs="Times New Roman"/>
          <w:color w:val="333333"/>
          <w:sz w:val="24"/>
          <w:szCs w:val="24"/>
          <w:shd w:val="clear" w:color="auto" w:fill="FFFFFF"/>
        </w:rPr>
        <w:t>da definição à aplicação dos princípios jurídicos. 7 ed. São Paulo: Malheiros, 2007.</w:t>
      </w:r>
    </w:p>
    <w:p w:rsidR="00640F5B" w:rsidRPr="00AE1FE4" w:rsidRDefault="00640F5B" w:rsidP="00665448">
      <w:pPr>
        <w:spacing w:line="360" w:lineRule="auto"/>
        <w:jc w:val="both"/>
        <w:rPr>
          <w:rFonts w:ascii="Times New Roman" w:hAnsi="Times New Roman" w:cs="Times New Roman"/>
          <w:b/>
          <w:sz w:val="24"/>
          <w:szCs w:val="24"/>
        </w:rPr>
      </w:pPr>
      <w:r w:rsidRPr="00AE1FE4">
        <w:rPr>
          <w:rFonts w:ascii="Times New Roman" w:hAnsi="Times New Roman" w:cs="Times New Roman"/>
          <w:color w:val="333333"/>
          <w:sz w:val="24"/>
          <w:szCs w:val="24"/>
          <w:shd w:val="clear" w:color="auto" w:fill="FFFFFF"/>
        </w:rPr>
        <w:t>MORAES, Alexandre de.</w:t>
      </w:r>
      <w:r w:rsidRPr="00AE1FE4">
        <w:rPr>
          <w:rStyle w:val="apple-converted-space"/>
          <w:rFonts w:ascii="Times New Roman" w:hAnsi="Times New Roman" w:cs="Times New Roman"/>
          <w:color w:val="333333"/>
          <w:sz w:val="24"/>
          <w:szCs w:val="24"/>
          <w:shd w:val="clear" w:color="auto" w:fill="FFFFFF"/>
        </w:rPr>
        <w:t> </w:t>
      </w:r>
      <w:r w:rsidRPr="00AE1FE4">
        <w:rPr>
          <w:rStyle w:val="Forte"/>
          <w:rFonts w:ascii="Times New Roman" w:hAnsi="Times New Roman" w:cs="Times New Roman"/>
          <w:color w:val="333333"/>
          <w:sz w:val="24"/>
          <w:szCs w:val="24"/>
          <w:shd w:val="clear" w:color="auto" w:fill="FFFFFF"/>
        </w:rPr>
        <w:t>Direito Constitucional</w:t>
      </w:r>
      <w:r w:rsidRPr="00AE1FE4">
        <w:rPr>
          <w:rFonts w:ascii="Times New Roman" w:hAnsi="Times New Roman" w:cs="Times New Roman"/>
          <w:color w:val="333333"/>
          <w:sz w:val="24"/>
          <w:szCs w:val="24"/>
          <w:shd w:val="clear" w:color="auto" w:fill="FFFFFF"/>
        </w:rPr>
        <w:t>. 22. ed. São Paulo: Atlas, 2007</w:t>
      </w:r>
    </w:p>
    <w:p w:rsidR="005354D3" w:rsidRPr="00AE1FE4" w:rsidRDefault="00640F5B" w:rsidP="00640F5B">
      <w:pPr>
        <w:spacing w:after="0" w:line="240" w:lineRule="auto"/>
        <w:contextualSpacing/>
        <w:jc w:val="both"/>
        <w:rPr>
          <w:rFonts w:ascii="Times New Roman" w:eastAsia="Times New Roman" w:hAnsi="Times New Roman" w:cs="Times New Roman"/>
          <w:sz w:val="24"/>
          <w:szCs w:val="24"/>
          <w:lang w:eastAsia="pt-BR"/>
        </w:rPr>
      </w:pPr>
      <w:r w:rsidRPr="00AE1FE4">
        <w:rPr>
          <w:rFonts w:ascii="Times New Roman" w:hAnsi="Times New Roman" w:cs="Times New Roman"/>
          <w:sz w:val="24"/>
          <w:szCs w:val="24"/>
        </w:rPr>
        <w:t xml:space="preserve">RESENDE, Aline Castello Branco. </w:t>
      </w:r>
      <w:r w:rsidRPr="00AE1FE4">
        <w:rPr>
          <w:rFonts w:ascii="Times New Roman" w:hAnsi="Times New Roman" w:cs="Times New Roman"/>
          <w:b/>
          <w:sz w:val="24"/>
          <w:szCs w:val="24"/>
        </w:rPr>
        <w:t>Súmulas vinculantes e usur</w:t>
      </w:r>
      <w:r w:rsidRPr="00AE1FE4">
        <w:rPr>
          <w:rFonts w:ascii="Times New Roman" w:hAnsi="Times New Roman" w:cs="Times New Roman"/>
          <w:sz w:val="24"/>
          <w:szCs w:val="24"/>
        </w:rPr>
        <w:t>p</w:t>
      </w:r>
      <w:r w:rsidRPr="00AE1FE4">
        <w:rPr>
          <w:rFonts w:ascii="Times New Roman" w:hAnsi="Times New Roman" w:cs="Times New Roman"/>
          <w:sz w:val="24"/>
          <w:szCs w:val="24"/>
        </w:rPr>
        <w:t xml:space="preserve">ação de funções do </w:t>
      </w:r>
      <w:r w:rsidRPr="00AE1FE4">
        <w:rPr>
          <w:rFonts w:ascii="Times New Roman" w:hAnsi="Times New Roman" w:cs="Times New Roman"/>
          <w:sz w:val="24"/>
          <w:szCs w:val="24"/>
        </w:rPr>
        <w:t>p</w:t>
      </w:r>
      <w:r w:rsidRPr="00AE1FE4">
        <w:rPr>
          <w:rFonts w:ascii="Times New Roman" w:hAnsi="Times New Roman" w:cs="Times New Roman"/>
          <w:sz w:val="24"/>
          <w:szCs w:val="24"/>
        </w:rPr>
        <w:t xml:space="preserve">oder legislativo </w:t>
      </w:r>
      <w:r w:rsidRPr="00AE1FE4">
        <w:rPr>
          <w:rFonts w:ascii="Times New Roman" w:hAnsi="Times New Roman" w:cs="Times New Roman"/>
          <w:sz w:val="24"/>
          <w:szCs w:val="24"/>
        </w:rPr>
        <w:t>p</w:t>
      </w:r>
      <w:r w:rsidRPr="00AE1FE4">
        <w:rPr>
          <w:rFonts w:ascii="Times New Roman" w:hAnsi="Times New Roman" w:cs="Times New Roman"/>
          <w:sz w:val="24"/>
          <w:szCs w:val="24"/>
        </w:rPr>
        <w:t xml:space="preserve">elo </w:t>
      </w:r>
      <w:r w:rsidRPr="00AE1FE4">
        <w:rPr>
          <w:rFonts w:ascii="Times New Roman" w:hAnsi="Times New Roman" w:cs="Times New Roman"/>
          <w:sz w:val="24"/>
          <w:szCs w:val="24"/>
        </w:rPr>
        <w:t>p</w:t>
      </w:r>
      <w:r w:rsidRPr="00AE1FE4">
        <w:rPr>
          <w:rFonts w:ascii="Times New Roman" w:hAnsi="Times New Roman" w:cs="Times New Roman"/>
          <w:sz w:val="24"/>
          <w:szCs w:val="24"/>
        </w:rPr>
        <w:t xml:space="preserve">oder judiciário. </w:t>
      </w:r>
      <w:proofErr w:type="spellStart"/>
      <w:r w:rsidRPr="00AE1FE4">
        <w:rPr>
          <w:rFonts w:ascii="Times New Roman" w:hAnsi="Times New Roman" w:cs="Times New Roman"/>
          <w:sz w:val="24"/>
          <w:szCs w:val="24"/>
        </w:rPr>
        <w:t>Disonível</w:t>
      </w:r>
      <w:proofErr w:type="spellEnd"/>
      <w:r w:rsidRPr="00AE1FE4">
        <w:rPr>
          <w:rFonts w:ascii="Times New Roman" w:hAnsi="Times New Roman" w:cs="Times New Roman"/>
          <w:sz w:val="24"/>
          <w:szCs w:val="24"/>
        </w:rPr>
        <w:t xml:space="preserve"> em: &lt;</w:t>
      </w:r>
      <w:hyperlink r:id="rId9" w:history="1">
        <w:r w:rsidR="005354D3" w:rsidRPr="00AE1FE4">
          <w:rPr>
            <w:rStyle w:val="Hyperlink"/>
            <w:rFonts w:ascii="Times New Roman" w:eastAsia="Times New Roman" w:hAnsi="Times New Roman" w:cs="Times New Roman"/>
            <w:color w:val="auto"/>
            <w:sz w:val="24"/>
            <w:szCs w:val="24"/>
            <w:u w:val="none"/>
            <w:lang w:eastAsia="pt-BR"/>
          </w:rPr>
          <w:t>http://jus.com.br/revista/texto/12777/sumulas-vinculantes-e-a-usurpacao-de-funcoes-do-poder-legislativo-pelo-poder-judiciario</w:t>
        </w:r>
      </w:hyperlink>
      <w:r w:rsidR="005354D3" w:rsidRPr="00AE1FE4">
        <w:rPr>
          <w:rFonts w:ascii="Times New Roman" w:eastAsia="Times New Roman" w:hAnsi="Times New Roman" w:cs="Times New Roman"/>
          <w:sz w:val="24"/>
          <w:szCs w:val="24"/>
          <w:lang w:eastAsia="pt-BR"/>
        </w:rPr>
        <w:t xml:space="preserve"> </w:t>
      </w:r>
    </w:p>
    <w:p w:rsidR="00DE5936" w:rsidRPr="00AE1FE4" w:rsidRDefault="00DA7D55" w:rsidP="00640F5B">
      <w:pPr>
        <w:spacing w:line="360" w:lineRule="auto"/>
        <w:jc w:val="both"/>
        <w:rPr>
          <w:rFonts w:ascii="Times New Roman" w:hAnsi="Times New Roman" w:cs="Times New Roman"/>
          <w:sz w:val="24"/>
          <w:szCs w:val="24"/>
        </w:rPr>
      </w:pPr>
      <w:hyperlink r:id="rId10" w:history="1">
        <w:r w:rsidR="00E1112D" w:rsidRPr="00AE1FE4">
          <w:rPr>
            <w:rStyle w:val="Hyperlink"/>
            <w:rFonts w:ascii="Times New Roman" w:hAnsi="Times New Roman" w:cs="Times New Roman"/>
            <w:color w:val="auto"/>
            <w:sz w:val="24"/>
            <w:szCs w:val="24"/>
            <w:u w:val="none"/>
          </w:rPr>
          <w:t>http://www.arcos.org.br/artigos/os-pros-e-contras-das-sumulas-vinculantes-no-ordenamento-juridico-brasileiro/</w:t>
        </w:r>
      </w:hyperlink>
      <w:r w:rsidR="00640F5B" w:rsidRPr="00AE1FE4">
        <w:rPr>
          <w:rStyle w:val="Hyperlink"/>
          <w:rFonts w:ascii="Times New Roman" w:hAnsi="Times New Roman" w:cs="Times New Roman"/>
          <w:color w:val="auto"/>
          <w:sz w:val="24"/>
          <w:szCs w:val="24"/>
          <w:u w:val="none"/>
        </w:rPr>
        <w:t>&gt;</w:t>
      </w:r>
      <w:r w:rsidR="00E1112D" w:rsidRPr="00AE1FE4">
        <w:rPr>
          <w:rFonts w:ascii="Times New Roman" w:hAnsi="Times New Roman" w:cs="Times New Roman"/>
          <w:sz w:val="24"/>
          <w:szCs w:val="24"/>
        </w:rPr>
        <w:t xml:space="preserve"> </w:t>
      </w:r>
    </w:p>
    <w:p w:rsidR="00640F5B" w:rsidRPr="00AE1FE4" w:rsidRDefault="00640F5B" w:rsidP="00640F5B">
      <w:pPr>
        <w:spacing w:line="360" w:lineRule="auto"/>
        <w:jc w:val="both"/>
        <w:rPr>
          <w:rFonts w:ascii="Times New Roman" w:hAnsi="Times New Roman" w:cs="Times New Roman"/>
          <w:sz w:val="24"/>
          <w:szCs w:val="24"/>
        </w:rPr>
      </w:pPr>
      <w:r w:rsidRPr="00AE1FE4">
        <w:rPr>
          <w:rFonts w:ascii="Times New Roman" w:hAnsi="Times New Roman" w:cs="Times New Roman"/>
          <w:color w:val="333333"/>
          <w:sz w:val="24"/>
          <w:szCs w:val="24"/>
          <w:shd w:val="clear" w:color="auto" w:fill="FFFFFF"/>
        </w:rPr>
        <w:t>TAVARES, André Ramos.</w:t>
      </w:r>
      <w:r w:rsidRPr="00AE1FE4">
        <w:rPr>
          <w:rStyle w:val="apple-converted-space"/>
          <w:rFonts w:ascii="Times New Roman" w:hAnsi="Times New Roman" w:cs="Times New Roman"/>
          <w:color w:val="333333"/>
          <w:sz w:val="24"/>
          <w:szCs w:val="24"/>
          <w:shd w:val="clear" w:color="auto" w:fill="FFFFFF"/>
        </w:rPr>
        <w:t> </w:t>
      </w:r>
      <w:r w:rsidRPr="00AE1FE4">
        <w:rPr>
          <w:rStyle w:val="Forte"/>
          <w:rFonts w:ascii="Times New Roman" w:hAnsi="Times New Roman" w:cs="Times New Roman"/>
          <w:color w:val="333333"/>
          <w:sz w:val="24"/>
          <w:szCs w:val="24"/>
          <w:shd w:val="clear" w:color="auto" w:fill="FFFFFF"/>
        </w:rPr>
        <w:t>Nova lei da súmula vinculante:</w:t>
      </w:r>
      <w:r w:rsidRPr="00AE1FE4">
        <w:rPr>
          <w:rStyle w:val="apple-converted-space"/>
          <w:rFonts w:ascii="Times New Roman" w:hAnsi="Times New Roman" w:cs="Times New Roman"/>
          <w:b/>
          <w:bCs/>
          <w:color w:val="333333"/>
          <w:sz w:val="24"/>
          <w:szCs w:val="24"/>
          <w:shd w:val="clear" w:color="auto" w:fill="FFFFFF"/>
        </w:rPr>
        <w:t> </w:t>
      </w:r>
      <w:r w:rsidRPr="00AE1FE4">
        <w:rPr>
          <w:rFonts w:ascii="Times New Roman" w:hAnsi="Times New Roman" w:cs="Times New Roman"/>
          <w:color w:val="333333"/>
          <w:sz w:val="24"/>
          <w:szCs w:val="24"/>
          <w:shd w:val="clear" w:color="auto" w:fill="FFFFFF"/>
        </w:rPr>
        <w:t>estudos e comentários à Lei 11.417, de 19.12.2006. São Paulo: Método, 2007.</w:t>
      </w:r>
    </w:p>
    <w:p w:rsidR="00DE5936" w:rsidRPr="00AE1FE4" w:rsidRDefault="00DE5936" w:rsidP="00DE5936">
      <w:pPr>
        <w:pStyle w:val="PargrafodaLista"/>
        <w:spacing w:line="360" w:lineRule="auto"/>
        <w:ind w:left="0" w:firstLine="708"/>
        <w:jc w:val="both"/>
        <w:rPr>
          <w:rFonts w:ascii="Times New Roman" w:hAnsi="Times New Roman" w:cs="Times New Roman"/>
          <w:sz w:val="24"/>
          <w:szCs w:val="24"/>
        </w:rPr>
      </w:pPr>
    </w:p>
    <w:p w:rsidR="00DE5936" w:rsidRPr="00AE1FE4" w:rsidRDefault="00DE5936" w:rsidP="00DE5936">
      <w:pPr>
        <w:rPr>
          <w:rFonts w:ascii="Times New Roman" w:hAnsi="Times New Roman" w:cs="Times New Roman"/>
          <w:sz w:val="24"/>
          <w:szCs w:val="24"/>
        </w:rPr>
      </w:pPr>
    </w:p>
    <w:p w:rsidR="00DE5936" w:rsidRPr="00AE1FE4" w:rsidRDefault="00DE5936" w:rsidP="00DE5936">
      <w:pPr>
        <w:rPr>
          <w:rFonts w:ascii="Times New Roman" w:hAnsi="Times New Roman" w:cs="Times New Roman"/>
          <w:sz w:val="24"/>
          <w:szCs w:val="24"/>
        </w:rPr>
      </w:pPr>
    </w:p>
    <w:p w:rsidR="00DE5936" w:rsidRPr="00AE1FE4" w:rsidRDefault="00DE5936" w:rsidP="00DE5936">
      <w:pPr>
        <w:rPr>
          <w:rFonts w:ascii="Times New Roman" w:hAnsi="Times New Roman" w:cs="Times New Roman"/>
          <w:sz w:val="24"/>
          <w:szCs w:val="24"/>
        </w:rPr>
      </w:pPr>
    </w:p>
    <w:p w:rsidR="00DE5936" w:rsidRPr="00AE1FE4" w:rsidRDefault="00DE5936" w:rsidP="00DE5936">
      <w:pPr>
        <w:rPr>
          <w:rFonts w:ascii="Times New Roman" w:hAnsi="Times New Roman" w:cs="Times New Roman"/>
          <w:sz w:val="24"/>
          <w:szCs w:val="24"/>
        </w:rPr>
      </w:pPr>
    </w:p>
    <w:p w:rsidR="00DE5936" w:rsidRPr="00AE1FE4" w:rsidRDefault="00DE5936" w:rsidP="00DE5936">
      <w:pPr>
        <w:rPr>
          <w:rFonts w:ascii="Times New Roman" w:hAnsi="Times New Roman" w:cs="Times New Roman"/>
          <w:sz w:val="24"/>
          <w:szCs w:val="24"/>
        </w:rPr>
      </w:pPr>
    </w:p>
    <w:p w:rsidR="00DE5936" w:rsidRDefault="00DE5936" w:rsidP="00DE5936"/>
    <w:p w:rsidR="00DE5936" w:rsidRDefault="00DE5936" w:rsidP="00DE5936">
      <w:pPr>
        <w:jc w:val="both"/>
        <w:rPr>
          <w:rFonts w:ascii="Times New Roman" w:hAnsi="Times New Roman" w:cs="Times New Roman"/>
          <w:b/>
          <w:sz w:val="24"/>
          <w:szCs w:val="24"/>
        </w:rPr>
      </w:pPr>
    </w:p>
    <w:p w:rsidR="00DE5936" w:rsidRDefault="00DE5936" w:rsidP="00DE5936"/>
    <w:p w:rsidR="00DE5936" w:rsidRDefault="00DE5936" w:rsidP="00DE5936"/>
    <w:p w:rsidR="003C2671" w:rsidRDefault="003C2671"/>
    <w:sectPr w:rsidR="003C2671" w:rsidSect="000D048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D55" w:rsidRDefault="00DA7D55" w:rsidP="00DE5936">
      <w:pPr>
        <w:spacing w:after="0" w:line="240" w:lineRule="auto"/>
      </w:pPr>
      <w:r>
        <w:separator/>
      </w:r>
    </w:p>
  </w:endnote>
  <w:endnote w:type="continuationSeparator" w:id="0">
    <w:p w:rsidR="00DA7D55" w:rsidRDefault="00DA7D55" w:rsidP="00DE5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D55" w:rsidRDefault="00DA7D55" w:rsidP="00DE5936">
      <w:pPr>
        <w:spacing w:after="0" w:line="240" w:lineRule="auto"/>
      </w:pPr>
      <w:r>
        <w:separator/>
      </w:r>
    </w:p>
  </w:footnote>
  <w:footnote w:type="continuationSeparator" w:id="0">
    <w:p w:rsidR="00DA7D55" w:rsidRDefault="00DA7D55" w:rsidP="00DE5936">
      <w:pPr>
        <w:spacing w:after="0" w:line="240" w:lineRule="auto"/>
      </w:pPr>
      <w:r>
        <w:continuationSeparator/>
      </w:r>
    </w:p>
  </w:footnote>
  <w:footnote w:id="1">
    <w:p w:rsidR="00DE5936" w:rsidRDefault="00DE5936" w:rsidP="00DE5936">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i/>
        </w:rPr>
        <w:t xml:space="preserve">Paper </w:t>
      </w:r>
      <w:r>
        <w:rPr>
          <w:rFonts w:ascii="Times New Roman" w:hAnsi="Times New Roman" w:cs="Times New Roman"/>
        </w:rPr>
        <w:t>apresentado à disciplina Direito Constitucional I–Unidade de Ensino Superior Dom Bosco – UNDB;</w:t>
      </w:r>
    </w:p>
  </w:footnote>
  <w:footnote w:id="2">
    <w:p w:rsidR="00DE5936" w:rsidRDefault="00DE5936" w:rsidP="00DE5936">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rPr>
        <w:t>Aluno do 3º período noturno, da UNDB;</w:t>
      </w:r>
    </w:p>
  </w:footnote>
  <w:footnote w:id="3">
    <w:p w:rsidR="00DE5936" w:rsidRDefault="00DE5936" w:rsidP="00DE5936">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rPr>
        <w:t xml:space="preserve"> Professor, orientador.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6670F"/>
    <w:multiLevelType w:val="hybridMultilevel"/>
    <w:tmpl w:val="F276614C"/>
    <w:lvl w:ilvl="0" w:tplc="0416000F">
      <w:start w:val="1"/>
      <w:numFmt w:val="decimal"/>
      <w:lvlText w:val="%1."/>
      <w:lvlJc w:val="left"/>
      <w:pPr>
        <w:ind w:left="709" w:hanging="360"/>
      </w:p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1">
    <w:nsid w:val="34FE3922"/>
    <w:multiLevelType w:val="hybridMultilevel"/>
    <w:tmpl w:val="2F9842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4025402"/>
    <w:multiLevelType w:val="hybridMultilevel"/>
    <w:tmpl w:val="5508879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C074FA1"/>
    <w:multiLevelType w:val="hybridMultilevel"/>
    <w:tmpl w:val="2C80A40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78CD1903"/>
    <w:multiLevelType w:val="hybridMultilevel"/>
    <w:tmpl w:val="FED623B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E5936"/>
    <w:rsid w:val="000212AF"/>
    <w:rsid w:val="000260B8"/>
    <w:rsid w:val="00093F19"/>
    <w:rsid w:val="00143C14"/>
    <w:rsid w:val="00256140"/>
    <w:rsid w:val="002957F5"/>
    <w:rsid w:val="002E082D"/>
    <w:rsid w:val="00326FE8"/>
    <w:rsid w:val="00384E0B"/>
    <w:rsid w:val="003C2671"/>
    <w:rsid w:val="003C7111"/>
    <w:rsid w:val="003F480D"/>
    <w:rsid w:val="00447398"/>
    <w:rsid w:val="00493193"/>
    <w:rsid w:val="004A59CB"/>
    <w:rsid w:val="005354D3"/>
    <w:rsid w:val="005A012B"/>
    <w:rsid w:val="00640F5B"/>
    <w:rsid w:val="00655521"/>
    <w:rsid w:val="00665448"/>
    <w:rsid w:val="007C061E"/>
    <w:rsid w:val="00820B60"/>
    <w:rsid w:val="008B009F"/>
    <w:rsid w:val="008D473A"/>
    <w:rsid w:val="00994533"/>
    <w:rsid w:val="009F5E72"/>
    <w:rsid w:val="00A13243"/>
    <w:rsid w:val="00AD18F2"/>
    <w:rsid w:val="00AD449E"/>
    <w:rsid w:val="00AE1FE4"/>
    <w:rsid w:val="00B31B7D"/>
    <w:rsid w:val="00B74012"/>
    <w:rsid w:val="00C255FE"/>
    <w:rsid w:val="00CB3B07"/>
    <w:rsid w:val="00CE1D9B"/>
    <w:rsid w:val="00D5014E"/>
    <w:rsid w:val="00DA7D55"/>
    <w:rsid w:val="00DE5936"/>
    <w:rsid w:val="00DE69D9"/>
    <w:rsid w:val="00E1112D"/>
    <w:rsid w:val="00EC0B20"/>
    <w:rsid w:val="00F02F93"/>
    <w:rsid w:val="00F04FED"/>
    <w:rsid w:val="00FB30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884FA1-51E2-449A-839A-6EEF78DA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93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DE593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E5936"/>
    <w:rPr>
      <w:sz w:val="20"/>
      <w:szCs w:val="20"/>
    </w:rPr>
  </w:style>
  <w:style w:type="paragraph" w:styleId="PargrafodaLista">
    <w:name w:val="List Paragraph"/>
    <w:basedOn w:val="Normal"/>
    <w:uiPriority w:val="34"/>
    <w:qFormat/>
    <w:rsid w:val="00DE5936"/>
    <w:pPr>
      <w:ind w:left="720"/>
      <w:contextualSpacing/>
    </w:pPr>
  </w:style>
  <w:style w:type="character" w:styleId="Refdenotaderodap">
    <w:name w:val="footnote reference"/>
    <w:basedOn w:val="Fontepargpadro"/>
    <w:uiPriority w:val="99"/>
    <w:semiHidden/>
    <w:unhideWhenUsed/>
    <w:rsid w:val="00DE5936"/>
    <w:rPr>
      <w:vertAlign w:val="superscript"/>
    </w:rPr>
  </w:style>
  <w:style w:type="paragraph" w:styleId="NormalWeb">
    <w:name w:val="Normal (Web)"/>
    <w:basedOn w:val="Normal"/>
    <w:uiPriority w:val="99"/>
    <w:unhideWhenUsed/>
    <w:rsid w:val="00DE593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qterm">
    <w:name w:val="qterm"/>
    <w:basedOn w:val="Fontepargpadro"/>
    <w:rsid w:val="00DE5936"/>
  </w:style>
  <w:style w:type="character" w:styleId="Hyperlink">
    <w:name w:val="Hyperlink"/>
    <w:basedOn w:val="Fontepargpadro"/>
    <w:uiPriority w:val="99"/>
    <w:unhideWhenUsed/>
    <w:rsid w:val="00DE5936"/>
    <w:rPr>
      <w:color w:val="0000FF"/>
      <w:u w:val="single"/>
    </w:rPr>
  </w:style>
  <w:style w:type="character" w:styleId="nfase">
    <w:name w:val="Emphasis"/>
    <w:basedOn w:val="Fontepargpadro"/>
    <w:uiPriority w:val="20"/>
    <w:qFormat/>
    <w:rsid w:val="00DE5936"/>
    <w:rPr>
      <w:i/>
      <w:iCs/>
    </w:rPr>
  </w:style>
  <w:style w:type="character" w:styleId="Forte">
    <w:name w:val="Strong"/>
    <w:basedOn w:val="Fontepargpadro"/>
    <w:uiPriority w:val="22"/>
    <w:qFormat/>
    <w:rsid w:val="00DE5936"/>
    <w:rPr>
      <w:b/>
      <w:bCs/>
    </w:rPr>
  </w:style>
  <w:style w:type="character" w:customStyle="1" w:styleId="url">
    <w:name w:val="url"/>
    <w:basedOn w:val="Fontepargpadro"/>
    <w:rsid w:val="00DE5936"/>
  </w:style>
  <w:style w:type="character" w:customStyle="1" w:styleId="timeaccess">
    <w:name w:val="timeaccess"/>
    <w:basedOn w:val="Fontepargpadro"/>
    <w:rsid w:val="00DE5936"/>
  </w:style>
  <w:style w:type="character" w:styleId="HiperlinkVisitado">
    <w:name w:val="FollowedHyperlink"/>
    <w:basedOn w:val="Fontepargpadro"/>
    <w:uiPriority w:val="99"/>
    <w:semiHidden/>
    <w:unhideWhenUsed/>
    <w:rsid w:val="00A13243"/>
    <w:rPr>
      <w:color w:val="800080" w:themeColor="followedHyperlink"/>
      <w:u w:val="single"/>
    </w:rPr>
  </w:style>
  <w:style w:type="character" w:customStyle="1" w:styleId="apple-converted-space">
    <w:name w:val="apple-converted-space"/>
    <w:basedOn w:val="Fontepargpadro"/>
    <w:rsid w:val="00640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60516">
      <w:bodyDiv w:val="1"/>
      <w:marLeft w:val="0"/>
      <w:marRight w:val="0"/>
      <w:marTop w:val="0"/>
      <w:marBottom w:val="0"/>
      <w:divBdr>
        <w:top w:val="none" w:sz="0" w:space="0" w:color="auto"/>
        <w:left w:val="none" w:sz="0" w:space="0" w:color="auto"/>
        <w:bottom w:val="none" w:sz="0" w:space="0" w:color="auto"/>
        <w:right w:val="none" w:sz="0" w:space="0" w:color="auto"/>
      </w:divBdr>
    </w:div>
    <w:div w:id="137765091">
      <w:bodyDiv w:val="1"/>
      <w:marLeft w:val="0"/>
      <w:marRight w:val="0"/>
      <w:marTop w:val="0"/>
      <w:marBottom w:val="0"/>
      <w:divBdr>
        <w:top w:val="none" w:sz="0" w:space="0" w:color="auto"/>
        <w:left w:val="none" w:sz="0" w:space="0" w:color="auto"/>
        <w:bottom w:val="none" w:sz="0" w:space="0" w:color="auto"/>
        <w:right w:val="none" w:sz="0" w:space="0" w:color="auto"/>
      </w:divBdr>
    </w:div>
    <w:div w:id="509221167">
      <w:bodyDiv w:val="1"/>
      <w:marLeft w:val="0"/>
      <w:marRight w:val="0"/>
      <w:marTop w:val="0"/>
      <w:marBottom w:val="0"/>
      <w:divBdr>
        <w:top w:val="none" w:sz="0" w:space="0" w:color="auto"/>
        <w:left w:val="none" w:sz="0" w:space="0" w:color="auto"/>
        <w:bottom w:val="none" w:sz="0" w:space="0" w:color="auto"/>
        <w:right w:val="none" w:sz="0" w:space="0" w:color="auto"/>
      </w:divBdr>
    </w:div>
    <w:div w:id="661159324">
      <w:bodyDiv w:val="1"/>
      <w:marLeft w:val="0"/>
      <w:marRight w:val="0"/>
      <w:marTop w:val="0"/>
      <w:marBottom w:val="0"/>
      <w:divBdr>
        <w:top w:val="none" w:sz="0" w:space="0" w:color="auto"/>
        <w:left w:val="none" w:sz="0" w:space="0" w:color="auto"/>
        <w:bottom w:val="none" w:sz="0" w:space="0" w:color="auto"/>
        <w:right w:val="none" w:sz="0" w:space="0" w:color="auto"/>
      </w:divBdr>
    </w:div>
    <w:div w:id="1011446024">
      <w:bodyDiv w:val="1"/>
      <w:marLeft w:val="0"/>
      <w:marRight w:val="0"/>
      <w:marTop w:val="0"/>
      <w:marBottom w:val="0"/>
      <w:divBdr>
        <w:top w:val="none" w:sz="0" w:space="0" w:color="auto"/>
        <w:left w:val="none" w:sz="0" w:space="0" w:color="auto"/>
        <w:bottom w:val="none" w:sz="0" w:space="0" w:color="auto"/>
        <w:right w:val="none" w:sz="0" w:space="0" w:color="auto"/>
      </w:divBdr>
    </w:div>
    <w:div w:id="1341856630">
      <w:bodyDiv w:val="1"/>
      <w:marLeft w:val="0"/>
      <w:marRight w:val="0"/>
      <w:marTop w:val="0"/>
      <w:marBottom w:val="0"/>
      <w:divBdr>
        <w:top w:val="none" w:sz="0" w:space="0" w:color="auto"/>
        <w:left w:val="none" w:sz="0" w:space="0" w:color="auto"/>
        <w:bottom w:val="none" w:sz="0" w:space="0" w:color="auto"/>
        <w:right w:val="none" w:sz="0" w:space="0" w:color="auto"/>
      </w:divBdr>
    </w:div>
    <w:div w:id="1498617799">
      <w:bodyDiv w:val="1"/>
      <w:marLeft w:val="0"/>
      <w:marRight w:val="0"/>
      <w:marTop w:val="0"/>
      <w:marBottom w:val="0"/>
      <w:divBdr>
        <w:top w:val="none" w:sz="0" w:space="0" w:color="auto"/>
        <w:left w:val="none" w:sz="0" w:space="0" w:color="auto"/>
        <w:bottom w:val="none" w:sz="0" w:space="0" w:color="auto"/>
        <w:right w:val="none" w:sz="0" w:space="0" w:color="auto"/>
      </w:divBdr>
    </w:div>
    <w:div w:id="1653681418">
      <w:bodyDiv w:val="1"/>
      <w:marLeft w:val="0"/>
      <w:marRight w:val="0"/>
      <w:marTop w:val="0"/>
      <w:marBottom w:val="0"/>
      <w:divBdr>
        <w:top w:val="none" w:sz="0" w:space="0" w:color="auto"/>
        <w:left w:val="none" w:sz="0" w:space="0" w:color="auto"/>
        <w:bottom w:val="none" w:sz="0" w:space="0" w:color="auto"/>
        <w:right w:val="none" w:sz="0" w:space="0" w:color="auto"/>
      </w:divBdr>
    </w:div>
    <w:div w:id="1697079392">
      <w:bodyDiv w:val="1"/>
      <w:marLeft w:val="0"/>
      <w:marRight w:val="0"/>
      <w:marTop w:val="0"/>
      <w:marBottom w:val="0"/>
      <w:divBdr>
        <w:top w:val="none" w:sz="0" w:space="0" w:color="auto"/>
        <w:left w:val="none" w:sz="0" w:space="0" w:color="auto"/>
        <w:bottom w:val="none" w:sz="0" w:space="0" w:color="auto"/>
        <w:right w:val="none" w:sz="0" w:space="0" w:color="auto"/>
      </w:divBdr>
    </w:div>
    <w:div w:id="1734546939">
      <w:bodyDiv w:val="1"/>
      <w:marLeft w:val="0"/>
      <w:marRight w:val="0"/>
      <w:marTop w:val="0"/>
      <w:marBottom w:val="0"/>
      <w:divBdr>
        <w:top w:val="none" w:sz="0" w:space="0" w:color="auto"/>
        <w:left w:val="none" w:sz="0" w:space="0" w:color="auto"/>
        <w:bottom w:val="none" w:sz="0" w:space="0" w:color="auto"/>
        <w:right w:val="none" w:sz="0" w:space="0" w:color="auto"/>
      </w:divBdr>
    </w:div>
    <w:div w:id="187179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rcos.org.br/artigos/os-pros-e-contras-das-sumulas-vinculantes-no-ordenamento-juridico-brasileiro/" TargetMode="External"/><Relationship Id="rId4" Type="http://schemas.openxmlformats.org/officeDocument/2006/relationships/webSettings" Target="webSettings.xml"/><Relationship Id="rId9" Type="http://schemas.openxmlformats.org/officeDocument/2006/relationships/hyperlink" Target="http://jus.com.br/revista/texto/12777/sumulas-vinculantes-e-a-usurpacao-de-funcoes-do-poder-legislativo-pelo-poder-judiciar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10</Pages>
  <Words>2966</Words>
  <Characters>16022</Characters>
  <Application>Microsoft Office Word</Application>
  <DocSecurity>0</DocSecurity>
  <Lines>133</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18951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Thales</dc:creator>
  <cp:lastModifiedBy>Thales Torres</cp:lastModifiedBy>
  <cp:revision>16</cp:revision>
  <dcterms:created xsi:type="dcterms:W3CDTF">2013-05-23T14:42:00Z</dcterms:created>
  <dcterms:modified xsi:type="dcterms:W3CDTF">2016-07-03T15:03:00Z</dcterms:modified>
</cp:coreProperties>
</file>