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F1" w:rsidRPr="00DB606E" w:rsidRDefault="00EC0FDC" w:rsidP="00DB606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606E">
        <w:rPr>
          <w:rFonts w:ascii="Times New Roman" w:hAnsi="Times New Roman" w:cs="Times New Roman"/>
          <w:b/>
          <w:color w:val="auto"/>
          <w:sz w:val="28"/>
          <w:szCs w:val="28"/>
        </w:rPr>
        <w:t>SINOPSE DO CASE</w:t>
      </w:r>
      <w:r w:rsidR="009915D2" w:rsidRPr="00DB606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F1AD8" w:rsidRPr="00DB606E">
        <w:rPr>
          <w:rFonts w:ascii="Times New Roman" w:hAnsi="Times New Roman" w:cs="Times New Roman"/>
          <w:b/>
          <w:color w:val="auto"/>
          <w:sz w:val="28"/>
          <w:szCs w:val="28"/>
        </w:rPr>
        <w:t>EXECUÇÃO POR QUANTIA CERTA CONTRA PESSOA JURÍDICA DISSOLVIDA DE FORMA IRREGULAR</w:t>
      </w:r>
      <w:r w:rsidR="00C0141E" w:rsidRPr="00DB606E">
        <w:rPr>
          <w:rFonts w:ascii="Times New Roman" w:hAnsi="Times New Roman" w:cs="Times New Roman"/>
          <w:b/>
          <w:color w:val="auto"/>
          <w:sz w:val="28"/>
          <w:szCs w:val="28"/>
        </w:rPr>
        <w:t>¹</w:t>
      </w:r>
    </w:p>
    <w:p w:rsidR="00E60A4E" w:rsidRPr="00DB606E" w:rsidRDefault="00E60A4E" w:rsidP="00DB606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72276" w:rsidRPr="00DB606E" w:rsidRDefault="007F1AD8" w:rsidP="000E4B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606E">
        <w:rPr>
          <w:rFonts w:ascii="Times New Roman" w:hAnsi="Times New Roman" w:cs="Times New Roman"/>
          <w:i/>
          <w:sz w:val="24"/>
          <w:szCs w:val="24"/>
        </w:rPr>
        <w:t xml:space="preserve">Gabriela Felix </w:t>
      </w:r>
      <w:proofErr w:type="spellStart"/>
      <w:r w:rsidRPr="00DB606E">
        <w:rPr>
          <w:rFonts w:ascii="Times New Roman" w:hAnsi="Times New Roman" w:cs="Times New Roman"/>
          <w:i/>
          <w:sz w:val="24"/>
          <w:szCs w:val="24"/>
        </w:rPr>
        <w:t>Marão</w:t>
      </w:r>
      <w:proofErr w:type="spellEnd"/>
      <w:r w:rsidRPr="00DB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06E">
        <w:rPr>
          <w:rFonts w:ascii="Times New Roman" w:hAnsi="Times New Roman" w:cs="Times New Roman"/>
          <w:i/>
          <w:sz w:val="24"/>
          <w:szCs w:val="24"/>
        </w:rPr>
        <w:t>Martins</w:t>
      </w:r>
      <w:r w:rsidR="00B72276" w:rsidRPr="00DB606E">
        <w:rPr>
          <w:rFonts w:ascii="Times New Roman" w:hAnsi="Times New Roman" w:cs="Times New Roman"/>
          <w:i/>
          <w:sz w:val="24"/>
          <w:szCs w:val="24"/>
        </w:rPr>
        <w:t>²</w:t>
      </w:r>
      <w:proofErr w:type="spellEnd"/>
    </w:p>
    <w:p w:rsidR="006A0878" w:rsidRPr="00DB606E" w:rsidRDefault="007F1AD8" w:rsidP="000E4B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606E">
        <w:rPr>
          <w:rFonts w:ascii="Times New Roman" w:hAnsi="Times New Roman" w:cs="Times New Roman"/>
          <w:i/>
          <w:sz w:val="24"/>
          <w:szCs w:val="24"/>
        </w:rPr>
        <w:t xml:space="preserve">Carlos Eduardo </w:t>
      </w:r>
      <w:proofErr w:type="spellStart"/>
      <w:r w:rsidRPr="00DB606E">
        <w:rPr>
          <w:rFonts w:ascii="Times New Roman" w:hAnsi="Times New Roman" w:cs="Times New Roman"/>
          <w:i/>
          <w:sz w:val="24"/>
          <w:szCs w:val="24"/>
        </w:rPr>
        <w:t>Cavalcanti</w:t>
      </w:r>
      <w:r w:rsidR="00B72276" w:rsidRPr="00DB606E">
        <w:rPr>
          <w:rFonts w:ascii="Times New Roman" w:hAnsi="Times New Roman" w:cs="Times New Roman"/>
          <w:i/>
          <w:sz w:val="24"/>
          <w:szCs w:val="24"/>
        </w:rPr>
        <w:t>³</w:t>
      </w:r>
      <w:proofErr w:type="spellEnd"/>
    </w:p>
    <w:p w:rsidR="00E60A4E" w:rsidRPr="00DB606E" w:rsidRDefault="00E60A4E" w:rsidP="00DB6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09" w:rsidRPr="00DB606E" w:rsidRDefault="006A0878" w:rsidP="00FD3D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06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606E"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</w:p>
    <w:p w:rsidR="00DD25FE" w:rsidRDefault="00146918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Buscando o pagamento do valor de R$ 500.000,00 de um cheque recebido por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Naftali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Investimentos Ltda.,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Zaqueu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Tomarga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entrou com uma ação de execução em fevereiro de 2015. Depois de citada, o oficial de justiça alegou a não localização da executada no local indicado. Zaqueu, ao</w:t>
      </w:r>
      <w:r w:rsid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constatar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 fato, com base no artigo 50 do Código Civil,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pleitou</w:t>
      </w:r>
      <w:r w:rsid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>pela</w:t>
      </w:r>
      <w:proofErr w:type="spellEnd"/>
      <w:r w:rsid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>Desconsideração da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ersonalidade 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urídica, </w:t>
      </w:r>
      <w:r w:rsid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pedindo pela inclusão de todos os sócios da empresa à época da emissão do cheque no pólo passivo da lide, incluindo os sócios atuais. </w:t>
      </w:r>
    </w:p>
    <w:p w:rsidR="00DD25FE" w:rsidRDefault="00825AE2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juiz, de imediato, determinou a penhora “on-line” de todos os sócios e ex sócios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Naftali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Investimentos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Ltda.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penhora só obteve êxito em relação a Levi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Metusael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teve 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>R$ 20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>.000,00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penhorados de um investimento em plano de previdência privada (modalidade VGBL)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>R$ 30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>.000,00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penhorados de uma conta-poupança, 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>e R$ 2.000,00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uma conta-corrente.</w:t>
      </w:r>
    </w:p>
    <w:p w:rsidR="00116397" w:rsidRDefault="00825AE2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Levi cont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>atou seu advogado e alegou que, em acordo com a cláusula quinta do Contrato Social,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esde a formação desta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sociedade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administração ficou a cargo do sócio JETRO ZÍPORA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D25FE"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>que fazia uso isoladamente da f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irma NAFTALI INVESTIMENTOS LTDA, disse também que entrou na sociedade em 2013, e sua quota-parte representava apenas 2% das quotas do capital social, saindo em 2014 e 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cedendo </w:t>
      </w:r>
      <w:r w:rsidR="00DD25FE">
        <w:rPr>
          <w:rFonts w:ascii="Times New Roman" w:hAnsi="Times New Roman" w:cs="Times New Roman"/>
          <w:sz w:val="24"/>
          <w:szCs w:val="24"/>
          <w:shd w:val="clear" w:color="auto" w:fill="FFFFFF"/>
        </w:rPr>
        <w:t>todas as suas quotas ao administrador.</w:t>
      </w:r>
      <w:r w:rsidR="002D1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Afirmou que não sabia da dívida para com Zaqueu e 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>que a autoridade policial, via inquérito, havia concluído que o credor teria praticado crime contra a economia</w:t>
      </w:r>
      <w:r w:rsidR="002D1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popular, posto que, 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ZAQUEU havia emprestado dinheiro à </w:t>
      </w:r>
      <w:r w:rsidR="002D177E">
        <w:rPr>
          <w:rFonts w:ascii="Times New Roman" w:hAnsi="Times New Roman" w:cs="Times New Roman"/>
          <w:sz w:val="24"/>
          <w:szCs w:val="24"/>
          <w:shd w:val="clear" w:color="auto" w:fill="FFFFFF"/>
        </w:rPr>
        <w:t>empresa cobrando</w:t>
      </w:r>
      <w:r w:rsidRPr="00825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juros de 20% a.m., constituindo essa operação a origem do cheque em quest</w:t>
      </w:r>
      <w:r w:rsidR="002D177E">
        <w:rPr>
          <w:rFonts w:ascii="Times New Roman" w:hAnsi="Times New Roman" w:cs="Times New Roman"/>
          <w:sz w:val="24"/>
          <w:szCs w:val="24"/>
          <w:shd w:val="clear" w:color="auto" w:fill="FFFFFF"/>
        </w:rPr>
        <w:t>ão (emitido em janeiro de 2014).</w:t>
      </w:r>
    </w:p>
    <w:p w:rsidR="00656A96" w:rsidRDefault="00656A96" w:rsidP="00FD3D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D5597" w:rsidRPr="00DB606E" w:rsidRDefault="00C66723" w:rsidP="00FD3D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DB6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DB6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IDENTIFICAÇÃO E ANÁLISE DO CASO</w:t>
      </w:r>
    </w:p>
    <w:p w:rsidR="00ED1386" w:rsidRDefault="005D1A1B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Devido Processo Legal é uma das garantias e direitos constitucionais que a C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onstituição Brasileira traz em seu artigo 5º. Por meio deste princípio é assegurado que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ninguém será privado de seus bens sem o devido processo legal, e que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aos acusados em geral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certificado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contraditório e 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ampla defesa.</w:t>
      </w:r>
      <w:r w:rsidR="007A5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Assim, a ampla defesa e o contraditório, </w:t>
      </w:r>
      <w:r w:rsidR="007A5D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enquanto direitos que garantem a ciência do réu e seu direito de defesa, encontram-se intimamente ligados ao Devido Processo Legal. Visto isso, p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or meio do artigo 185- A, da L</w:t>
      </w:r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 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omplementar nº 118, de </w:t>
      </w:r>
      <w:proofErr w:type="gramStart"/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proofErr w:type="gramEnd"/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fevereiro de 2005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, que alterou o Código Tributário Nacional, conclui-se que a penhora on-</w:t>
      </w:r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line só poderá ser determinada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Juiz quando o devedor for devidamente citado e </w:t>
      </w:r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não paga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nem apresenta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bens à penhora e 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="00872CC0" w:rsidRP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quando não são encontrados bens penh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oráveis, o que não se depreende do caso em questão. 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requerer a decretação deste tipo de penhora, é necessário que o credor comprove que utilizou de todos os caminhos possíveis para encontrar os bens do devedor. </w:t>
      </w:r>
      <w:r w:rsidR="00872CC0">
        <w:rPr>
          <w:rFonts w:ascii="Times New Roman" w:hAnsi="Times New Roman" w:cs="Times New Roman"/>
          <w:sz w:val="24"/>
          <w:szCs w:val="24"/>
          <w:shd w:val="clear" w:color="auto" w:fill="FFFFFF"/>
        </w:rPr>
        <w:t>Esse é o posicionamento que majora nos tribunais.</w:t>
      </w:r>
    </w:p>
    <w:p w:rsidR="00ED1386" w:rsidRDefault="00553F1B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Importante salientar que o p</w:t>
      </w:r>
      <w:r w:rsidRP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>rovimento nº31/06 da Corregedoria-Geral da Justiça permitiu o imediato bloqueio dos valores de contas correntes dos devedore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s, no entanto, o bloqueio diferencia-se da penhora</w:t>
      </w:r>
      <w:r w:rsidR="00255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40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 fato de que, como bem leciona Guilherme </w:t>
      </w:r>
      <w:proofErr w:type="spellStart"/>
      <w:r w:rsidR="00740F0A" w:rsidRPr="00740F0A">
        <w:rPr>
          <w:rFonts w:ascii="Times New Roman" w:hAnsi="Times New Roman" w:cs="Times New Roman"/>
          <w:sz w:val="24"/>
          <w:szCs w:val="24"/>
          <w:shd w:val="clear" w:color="auto" w:fill="FFFFFF"/>
        </w:rPr>
        <w:t>Goldschmidt</w:t>
      </w:r>
      <w:proofErr w:type="spellEnd"/>
      <w:r w:rsidR="00255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F0A">
        <w:rPr>
          <w:rFonts w:ascii="Times New Roman" w:hAnsi="Times New Roman" w:cs="Times New Roman"/>
          <w:sz w:val="24"/>
          <w:szCs w:val="24"/>
          <w:shd w:val="clear" w:color="auto" w:fill="FFFFFF"/>
        </w:rPr>
        <w:t>(2008), se trata</w:t>
      </w:r>
      <w:r w:rsidR="00255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apenas de uma barreira ou proteção, onde permanece na própria conta que fora localizado e é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fato imediata e feita sem a oitiva do devedor. </w:t>
      </w:r>
      <w:r w:rsidR="00740F0A">
        <w:rPr>
          <w:rFonts w:ascii="Times New Roman" w:hAnsi="Times New Roman" w:cs="Times New Roman"/>
          <w:sz w:val="24"/>
          <w:szCs w:val="24"/>
          <w:shd w:val="clear" w:color="auto" w:fill="FFFFFF"/>
        </w:rPr>
        <w:t>A penhora, por sua vez, é “</w:t>
      </w:r>
      <w:r w:rsidR="00740F0A" w:rsidRPr="00255A1C">
        <w:rPr>
          <w:rFonts w:ascii="Times New Roman" w:hAnsi="Times New Roman" w:cs="Times New Roman"/>
          <w:sz w:val="24"/>
          <w:szCs w:val="24"/>
          <w:shd w:val="clear" w:color="auto" w:fill="FFFFFF"/>
        </w:rPr>
        <w:t>ato de apreensão judicial, pelo qual se tomam bens do devedor para que neles se cumpra o pagamento da divida ou a satisfação da obrigação objeto da execução”</w:t>
      </w:r>
      <w:r w:rsidR="00740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(GOLDSCHMIDT, </w:t>
      </w:r>
      <w:r w:rsidR="00ED1386">
        <w:rPr>
          <w:rFonts w:ascii="Times New Roman" w:hAnsi="Times New Roman" w:cs="Times New Roman"/>
          <w:sz w:val="24"/>
          <w:szCs w:val="24"/>
          <w:shd w:val="clear" w:color="auto" w:fill="FFFFFF"/>
        </w:rPr>
        <w:t>2008, p. 61</w:t>
      </w:r>
      <w:r w:rsidR="00740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553F1B" w:rsidRDefault="00740F0A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Sendo assim, a penhora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só pode ser decretada se preenchidos tais requisitos. Destarte, após o bloqueio, em conformidade com o </w:t>
      </w:r>
      <w:r w:rsidR="00553F1B" w:rsidRP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652, §1º do CPC, o escrivão lavra o termo de penhora, 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>e em seguida deve ser feita a</w:t>
      </w:r>
      <w:r w:rsidR="00553F1B" w:rsidRP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intimação do executado pelo oficial de justiça, que será 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>alcançad</w:t>
      </w:r>
      <w:r w:rsidR="00553F1B" w:rsidRP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na pessoa do seu procurador 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 </w:t>
      </w:r>
      <w:r w:rsidR="00553F1B" w:rsidRP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>será feita pessoalmente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53F1B" w:rsidRP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ausência deste, 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>o que também não foi respeitado no caso em questão.É clar</w:t>
      </w:r>
      <w:r w:rsidR="00D1452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>, portanto, a não obser</w:t>
      </w:r>
      <w:r w:rsidR="00D14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vância </w:t>
      </w:r>
      <w:r w:rsidR="00553F1B">
        <w:rPr>
          <w:rFonts w:ascii="Times New Roman" w:hAnsi="Times New Roman" w:cs="Times New Roman"/>
          <w:sz w:val="24"/>
          <w:szCs w:val="24"/>
          <w:shd w:val="clear" w:color="auto" w:fill="FFFFFF"/>
        </w:rPr>
        <w:t>do Devido Processo Legal.</w:t>
      </w:r>
    </w:p>
    <w:p w:rsidR="008B57E7" w:rsidRDefault="00D1452A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Lei nº </w:t>
      </w:r>
      <w:r>
        <w:rPr>
          <w:rFonts w:ascii="Times New Roman" w:hAnsi="Times New Roman" w:cs="Times New Roman"/>
          <w:sz w:val="24"/>
          <w:szCs w:val="24"/>
        </w:rPr>
        <w:t xml:space="preserve">7.357/85 determina como prazo para apresentação do cheque 30 dias contados da data da emissão, caso seja um cheque de mesma praça e 60 dias em caso de praças diferentes. A prescrição de um cheque inicia-se após o fim do prazo de apresentação, decorridos seis meses. Prescrito, um título não apresenta suas principais características: liquidez, certeza e exigibilidade. </w:t>
      </w:r>
      <w:r w:rsidR="00FF793E">
        <w:rPr>
          <w:rFonts w:ascii="Times New Roman" w:hAnsi="Times New Roman" w:cs="Times New Roman"/>
          <w:sz w:val="24"/>
          <w:szCs w:val="24"/>
        </w:rPr>
        <w:t xml:space="preserve">Considerando que Zaqueu recebera o cheque em janeiro de 2014 e somente buscou receber os valores em fevereiro de 2015, o título não é mais líquido, certo, ou exigível e, por isso, será nula a execução. </w:t>
      </w:r>
      <w:r w:rsidR="00FF793E" w:rsidRPr="002D5460">
        <w:rPr>
          <w:rFonts w:ascii="Times New Roman" w:hAnsi="Times New Roman" w:cs="Times New Roman"/>
          <w:sz w:val="24"/>
          <w:szCs w:val="24"/>
        </w:rPr>
        <w:t xml:space="preserve">O cheque também não é exigível por conta de sua natureza ilícita, a julgar pela emissão do título de crédito que se deu por meio de uma atividade ilícita de </w:t>
      </w:r>
      <w:proofErr w:type="spellStart"/>
      <w:r w:rsidR="00FF793E" w:rsidRPr="002D5460">
        <w:rPr>
          <w:rFonts w:ascii="Times New Roman" w:hAnsi="Times New Roman" w:cs="Times New Roman"/>
          <w:sz w:val="24"/>
          <w:szCs w:val="24"/>
        </w:rPr>
        <w:t>Zaqueu</w:t>
      </w:r>
      <w:proofErr w:type="spellEnd"/>
      <w:r w:rsidR="00FF793E" w:rsidRPr="002D5460">
        <w:rPr>
          <w:rFonts w:ascii="Times New Roman" w:hAnsi="Times New Roman" w:cs="Times New Roman"/>
          <w:sz w:val="24"/>
          <w:szCs w:val="24"/>
        </w:rPr>
        <w:t>: crime de agiotagem.</w:t>
      </w:r>
      <w:r w:rsidR="004C235D">
        <w:rPr>
          <w:rFonts w:ascii="Times New Roman" w:hAnsi="Times New Roman" w:cs="Times New Roman"/>
          <w:sz w:val="24"/>
          <w:szCs w:val="24"/>
        </w:rPr>
        <w:t xml:space="preserve"> </w:t>
      </w:r>
      <w:r w:rsidR="008B57E7" w:rsidRPr="002D5460">
        <w:rPr>
          <w:rFonts w:ascii="Times New Roman" w:hAnsi="Times New Roman" w:cs="Times New Roman"/>
          <w:sz w:val="24"/>
          <w:szCs w:val="24"/>
        </w:rPr>
        <w:t>As empresas do Sistema Financeiro possuem um limite imposto pela Constituição Federal, que estabelece que as taxas de juros reais não pos</w:t>
      </w:r>
      <w:r w:rsidR="000C761A">
        <w:rPr>
          <w:rFonts w:ascii="Times New Roman" w:hAnsi="Times New Roman" w:cs="Times New Roman"/>
          <w:sz w:val="24"/>
          <w:szCs w:val="24"/>
        </w:rPr>
        <w:t xml:space="preserve">sam ser superiores a 12% ao ano, conforme artigo 1º do </w:t>
      </w:r>
      <w:r w:rsidR="000C761A" w:rsidRPr="000C761A">
        <w:rPr>
          <w:rFonts w:ascii="Times New Roman" w:hAnsi="Times New Roman" w:cs="Times New Roman"/>
          <w:sz w:val="24"/>
          <w:szCs w:val="24"/>
        </w:rPr>
        <w:t>Decreto nº 22.626 de 1933</w:t>
      </w:r>
      <w:r w:rsidR="000C761A">
        <w:rPr>
          <w:rFonts w:ascii="Times New Roman" w:hAnsi="Times New Roman" w:cs="Times New Roman"/>
          <w:sz w:val="24"/>
          <w:szCs w:val="24"/>
        </w:rPr>
        <w:t xml:space="preserve">. </w:t>
      </w:r>
      <w:r w:rsidR="000C761A">
        <w:rPr>
          <w:rFonts w:ascii="Times New Roman" w:hAnsi="Times New Roman" w:cs="Times New Roman"/>
          <w:sz w:val="24"/>
          <w:szCs w:val="24"/>
        </w:rPr>
        <w:lastRenderedPageBreak/>
        <w:t xml:space="preserve">Entretanto, há que se falar que Levi </w:t>
      </w:r>
      <w:proofErr w:type="spellStart"/>
      <w:r w:rsidR="000C761A">
        <w:rPr>
          <w:rFonts w:ascii="Times New Roman" w:hAnsi="Times New Roman" w:cs="Times New Roman"/>
          <w:sz w:val="24"/>
          <w:szCs w:val="24"/>
        </w:rPr>
        <w:t>Metusael</w:t>
      </w:r>
      <w:proofErr w:type="spellEnd"/>
      <w:r w:rsidR="000C761A">
        <w:rPr>
          <w:rFonts w:ascii="Times New Roman" w:hAnsi="Times New Roman" w:cs="Times New Roman"/>
          <w:sz w:val="24"/>
          <w:szCs w:val="24"/>
        </w:rPr>
        <w:t xml:space="preserve"> levou em consideração somente provas colhidas durante inquérito policial, o que, conforme entendimento</w:t>
      </w:r>
      <w:r w:rsidR="004A0036">
        <w:rPr>
          <w:rFonts w:ascii="Times New Roman" w:hAnsi="Times New Roman" w:cs="Times New Roman"/>
          <w:sz w:val="24"/>
          <w:szCs w:val="24"/>
        </w:rPr>
        <w:t xml:space="preserve"> majoritário</w:t>
      </w:r>
      <w:proofErr w:type="gramStart"/>
      <w:r w:rsidR="000C761A">
        <w:rPr>
          <w:rFonts w:ascii="Times New Roman" w:hAnsi="Times New Roman" w:cs="Times New Roman"/>
          <w:sz w:val="24"/>
          <w:szCs w:val="24"/>
        </w:rPr>
        <w:t>, são</w:t>
      </w:r>
      <w:proofErr w:type="gramEnd"/>
      <w:r w:rsidR="000C761A">
        <w:rPr>
          <w:rFonts w:ascii="Times New Roman" w:hAnsi="Times New Roman" w:cs="Times New Roman"/>
          <w:sz w:val="24"/>
          <w:szCs w:val="24"/>
        </w:rPr>
        <w:t xml:space="preserve"> provas</w:t>
      </w:r>
      <w:r w:rsidR="004A0036">
        <w:rPr>
          <w:rFonts w:ascii="Times New Roman" w:hAnsi="Times New Roman" w:cs="Times New Roman"/>
          <w:sz w:val="24"/>
          <w:szCs w:val="24"/>
        </w:rPr>
        <w:t xml:space="preserve"> que têm valor probatório relativo, e</w:t>
      </w:r>
      <w:r w:rsidR="000C761A">
        <w:rPr>
          <w:rFonts w:ascii="Times New Roman" w:hAnsi="Times New Roman" w:cs="Times New Roman"/>
          <w:sz w:val="24"/>
          <w:szCs w:val="24"/>
        </w:rPr>
        <w:t xml:space="preserve"> precisam ser rediscutidas e avaliadas pelo juiz, pois estas não </w:t>
      </w:r>
      <w:r w:rsidR="004A0036">
        <w:rPr>
          <w:rFonts w:ascii="Times New Roman" w:hAnsi="Times New Roman" w:cs="Times New Roman"/>
          <w:sz w:val="24"/>
          <w:szCs w:val="24"/>
        </w:rPr>
        <w:t xml:space="preserve">possuem </w:t>
      </w:r>
      <w:r w:rsidR="000C761A">
        <w:rPr>
          <w:rFonts w:ascii="Times New Roman" w:hAnsi="Times New Roman" w:cs="Times New Roman"/>
          <w:sz w:val="24"/>
          <w:szCs w:val="24"/>
        </w:rPr>
        <w:t>forças</w:t>
      </w:r>
      <w:r w:rsidR="004A0036">
        <w:rPr>
          <w:rFonts w:ascii="Times New Roman" w:hAnsi="Times New Roman" w:cs="Times New Roman"/>
          <w:sz w:val="24"/>
          <w:szCs w:val="24"/>
        </w:rPr>
        <w:t>,</w:t>
      </w:r>
      <w:r w:rsidR="000C761A">
        <w:rPr>
          <w:rFonts w:ascii="Times New Roman" w:hAnsi="Times New Roman" w:cs="Times New Roman"/>
          <w:sz w:val="24"/>
          <w:szCs w:val="24"/>
        </w:rPr>
        <w:t xml:space="preserve"> por si só</w:t>
      </w:r>
      <w:r w:rsidR="004A0036">
        <w:rPr>
          <w:rFonts w:ascii="Times New Roman" w:hAnsi="Times New Roman" w:cs="Times New Roman"/>
          <w:sz w:val="24"/>
          <w:szCs w:val="24"/>
        </w:rPr>
        <w:t>,</w:t>
      </w:r>
      <w:r w:rsidR="000C761A">
        <w:rPr>
          <w:rFonts w:ascii="Times New Roman" w:hAnsi="Times New Roman" w:cs="Times New Roman"/>
          <w:sz w:val="24"/>
          <w:szCs w:val="24"/>
        </w:rPr>
        <w:t xml:space="preserve"> para uma possível condenação.</w:t>
      </w:r>
    </w:p>
    <w:p w:rsidR="008B57E7" w:rsidRDefault="008B57E7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diz respeito à Desconsideração da Personalidade Jurídica tem-se duas grandes teorias. A Teoria Maior e a Teoria Menor. </w:t>
      </w:r>
      <w:r w:rsidR="00E5734A">
        <w:rPr>
          <w:rFonts w:ascii="Times New Roman" w:hAnsi="Times New Roman" w:cs="Times New Roman"/>
          <w:sz w:val="24"/>
          <w:szCs w:val="24"/>
        </w:rPr>
        <w:t>Conforme Garcia (2009), a primeira exige requisitos legais específicos para que o uso fraudulento da personalidade jurídica seja concretizado.</w:t>
      </w:r>
      <w:r w:rsidR="004C235D">
        <w:rPr>
          <w:rFonts w:ascii="Times New Roman" w:hAnsi="Times New Roman" w:cs="Times New Roman"/>
          <w:sz w:val="24"/>
          <w:szCs w:val="24"/>
        </w:rPr>
        <w:t xml:space="preserve"> Pela Teoria Menor, bastaria a comprovação da insolvência da pessoa jurídica. </w:t>
      </w:r>
      <w:r w:rsidR="00E5734A">
        <w:rPr>
          <w:rFonts w:ascii="Times New Roman" w:hAnsi="Times New Roman" w:cs="Times New Roman"/>
          <w:sz w:val="24"/>
          <w:szCs w:val="24"/>
        </w:rPr>
        <w:t xml:space="preserve">Vamos nos ater à </w:t>
      </w:r>
      <w:r w:rsidR="004C235D">
        <w:rPr>
          <w:rFonts w:ascii="Times New Roman" w:hAnsi="Times New Roman" w:cs="Times New Roman"/>
          <w:sz w:val="24"/>
          <w:szCs w:val="24"/>
        </w:rPr>
        <w:t>Teoria Maior</w:t>
      </w:r>
      <w:r w:rsidR="00E5734A">
        <w:rPr>
          <w:rFonts w:ascii="Times New Roman" w:hAnsi="Times New Roman" w:cs="Times New Roman"/>
          <w:sz w:val="24"/>
          <w:szCs w:val="24"/>
        </w:rPr>
        <w:t xml:space="preserve"> posto que </w:t>
      </w:r>
      <w:proofErr w:type="gramStart"/>
      <w:r w:rsidR="00E5734A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E5734A">
        <w:rPr>
          <w:rFonts w:ascii="Times New Roman" w:hAnsi="Times New Roman" w:cs="Times New Roman"/>
          <w:sz w:val="24"/>
          <w:szCs w:val="24"/>
        </w:rPr>
        <w:t xml:space="preserve"> a adotada pelo Código Civil, em seu artigo 50. Por este artigo, depreende-se que a desconsideração não pode ser aplicada </w:t>
      </w:r>
      <w:r w:rsidR="002D5460">
        <w:rPr>
          <w:rFonts w:ascii="Times New Roman" w:hAnsi="Times New Roman" w:cs="Times New Roman"/>
          <w:sz w:val="24"/>
          <w:szCs w:val="24"/>
        </w:rPr>
        <w:t>se não for comprovado o dolo no agir do devedor. E mais, conforme doutrina majoritária, isso se dá quando a pessoa jurídica se utiliza de fraude, abuso de direito ou de personalidade jurídica, desvio de função da pessoa jurídica, excesso de poder, violaçã</w:t>
      </w:r>
      <w:r w:rsidR="004A0036">
        <w:rPr>
          <w:rFonts w:ascii="Times New Roman" w:hAnsi="Times New Roman" w:cs="Times New Roman"/>
          <w:sz w:val="24"/>
          <w:szCs w:val="24"/>
        </w:rPr>
        <w:t>o da lei ou do contrato social ou confusão patrimonial.</w:t>
      </w:r>
      <w:r w:rsidR="002D5460">
        <w:rPr>
          <w:rFonts w:ascii="Times New Roman" w:hAnsi="Times New Roman" w:cs="Times New Roman"/>
          <w:sz w:val="24"/>
          <w:szCs w:val="24"/>
        </w:rPr>
        <w:t xml:space="preserve"> Portanto, não pode o juiz aferir o dolo somente por não encontrar a empresa no local indicado na exordial. Sem o dolo e os requisitos legais esp</w:t>
      </w:r>
      <w:r w:rsidR="000C761A">
        <w:rPr>
          <w:rFonts w:ascii="Times New Roman" w:hAnsi="Times New Roman" w:cs="Times New Roman"/>
          <w:sz w:val="24"/>
          <w:szCs w:val="24"/>
        </w:rPr>
        <w:t>ecíficos, que são aqueles que tê</w:t>
      </w:r>
      <w:r w:rsidR="002D5460">
        <w:rPr>
          <w:rFonts w:ascii="Times New Roman" w:hAnsi="Times New Roman" w:cs="Times New Roman"/>
          <w:sz w:val="24"/>
          <w:szCs w:val="24"/>
        </w:rPr>
        <w:t xml:space="preserve">m por fim uma conduta que </w:t>
      </w:r>
      <w:r w:rsidR="004A0036">
        <w:rPr>
          <w:rFonts w:ascii="Times New Roman" w:hAnsi="Times New Roman" w:cs="Times New Roman"/>
          <w:sz w:val="24"/>
          <w:szCs w:val="24"/>
        </w:rPr>
        <w:t xml:space="preserve">venha a prejudicar os credores e fraudar a lei, </w:t>
      </w:r>
      <w:r w:rsidR="002D5460">
        <w:rPr>
          <w:rFonts w:ascii="Times New Roman" w:hAnsi="Times New Roman" w:cs="Times New Roman"/>
          <w:sz w:val="24"/>
          <w:szCs w:val="24"/>
        </w:rPr>
        <w:t>não há que se falar em desconsideração da pessoa jurídica</w:t>
      </w:r>
      <w:r w:rsidR="004C235D">
        <w:rPr>
          <w:rFonts w:ascii="Times New Roman" w:hAnsi="Times New Roman" w:cs="Times New Roman"/>
          <w:sz w:val="24"/>
          <w:szCs w:val="24"/>
        </w:rPr>
        <w:t>, haja vista que a teoria adotada pelo Código Civil</w:t>
      </w:r>
      <w:proofErr w:type="gramStart"/>
      <w:r w:rsidR="004C235D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="004C235D">
        <w:rPr>
          <w:rFonts w:ascii="Times New Roman" w:hAnsi="Times New Roman" w:cs="Times New Roman"/>
          <w:sz w:val="24"/>
          <w:szCs w:val="24"/>
        </w:rPr>
        <w:t xml:space="preserve"> a Teoria Maior, não a Teoria Menor</w:t>
      </w:r>
      <w:r w:rsidR="002D5460">
        <w:rPr>
          <w:rFonts w:ascii="Times New Roman" w:hAnsi="Times New Roman" w:cs="Times New Roman"/>
          <w:sz w:val="24"/>
          <w:szCs w:val="24"/>
        </w:rPr>
        <w:t>.</w:t>
      </w:r>
    </w:p>
    <w:p w:rsidR="002D5460" w:rsidRDefault="006E73A0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acordo com o artigo 1.052 do Código Civil, o</w:t>
      </w:r>
      <w:r w:rsidRPr="006E73A0">
        <w:rPr>
          <w:rFonts w:ascii="Times New Roman" w:hAnsi="Times New Roman" w:cs="Times New Roman"/>
          <w:sz w:val="24"/>
          <w:szCs w:val="24"/>
        </w:rPr>
        <w:t xml:space="preserve"> limite da responsabilidad</w:t>
      </w:r>
      <w:r>
        <w:rPr>
          <w:rFonts w:ascii="Times New Roman" w:hAnsi="Times New Roman" w:cs="Times New Roman"/>
          <w:sz w:val="24"/>
          <w:szCs w:val="24"/>
        </w:rPr>
        <w:t>e dos sócios pelas obrigações em uma sociedade</w:t>
      </w:r>
      <w:r w:rsidRPr="006E73A0">
        <w:rPr>
          <w:rFonts w:ascii="Times New Roman" w:hAnsi="Times New Roman" w:cs="Times New Roman"/>
          <w:sz w:val="24"/>
          <w:szCs w:val="24"/>
        </w:rPr>
        <w:t xml:space="preserve"> limitada é o total do capital social subscrito e não integralizado</w:t>
      </w:r>
      <w:r>
        <w:rPr>
          <w:rFonts w:ascii="Times New Roman" w:hAnsi="Times New Roman" w:cs="Times New Roman"/>
          <w:sz w:val="24"/>
          <w:szCs w:val="24"/>
        </w:rPr>
        <w:t xml:space="preserve">, assim a responsabilidade de cada sócio é restrita ao valor de sua quota.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Metusael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pode ter seu patrimônio penhorado para satisfação integral desta dívida da empresa, mas, caso isso ocorra, este tem direito de regresso para com os outros sócios. </w:t>
      </w:r>
      <w:r w:rsidR="00511013">
        <w:rPr>
          <w:rFonts w:ascii="Times New Roman" w:hAnsi="Times New Roman" w:cs="Times New Roman"/>
          <w:sz w:val="24"/>
          <w:szCs w:val="24"/>
        </w:rPr>
        <w:t xml:space="preserve">No entanto, é mais importante ainda que se ressalte que o cheque está prescrito, assim, não há que se falar em penhora. </w:t>
      </w:r>
    </w:p>
    <w:p w:rsidR="005D2B0D" w:rsidRDefault="00656A96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à penhora da conta-poupança de Levi, esta é ilegal, tomando por base o artigo 649, inciso X do Código de Processo civil, pois o valor não </w:t>
      </w:r>
      <w:r w:rsidR="005D2B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superior a 40 salários mínimos. Sobre a conta-corrente, temos que</w:t>
      </w:r>
      <w:r w:rsidR="005D2B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B0D">
        <w:rPr>
          <w:rFonts w:ascii="Times New Roman" w:hAnsi="Times New Roman" w:cs="Times New Roman"/>
          <w:sz w:val="24"/>
          <w:szCs w:val="24"/>
        </w:rPr>
        <w:t xml:space="preserve">nas jurisprudências dos tribunais superiores, a penhora pode recair sobre o dinheiro na conta-corrente do executado, a exemplo dos acórdãos dos </w:t>
      </w:r>
      <w:proofErr w:type="spellStart"/>
      <w:proofErr w:type="gramStart"/>
      <w:r w:rsidR="005D2B0D">
        <w:rPr>
          <w:rFonts w:ascii="Times New Roman" w:hAnsi="Times New Roman" w:cs="Times New Roman"/>
          <w:sz w:val="24"/>
          <w:szCs w:val="24"/>
        </w:rPr>
        <w:t>REsp</w:t>
      </w:r>
      <w:proofErr w:type="spellEnd"/>
      <w:proofErr w:type="gramEnd"/>
      <w:r w:rsidR="005D2B0D">
        <w:rPr>
          <w:rFonts w:ascii="Times New Roman" w:hAnsi="Times New Roman" w:cs="Times New Roman"/>
          <w:sz w:val="24"/>
          <w:szCs w:val="24"/>
        </w:rPr>
        <w:t xml:space="preserve"> nº 528.227/RJ e 390.116/SP. No entanto, há entendimento contrário, ainda que não majoritário, de que não é penhorável o dinheiro em depósito de conta-corrente se o valor penhorado não for suficiente nem para pagar as custas processuais, como no caso em questão. Em se tratando d</w:t>
      </w:r>
      <w:r w:rsidR="007C2DF0">
        <w:rPr>
          <w:rFonts w:ascii="Times New Roman" w:hAnsi="Times New Roman" w:cs="Times New Roman"/>
          <w:sz w:val="24"/>
          <w:szCs w:val="24"/>
        </w:rPr>
        <w:t>a penhora</w:t>
      </w:r>
      <w:r w:rsidR="005D2B0D">
        <w:rPr>
          <w:rFonts w:ascii="Times New Roman" w:hAnsi="Times New Roman" w:cs="Times New Roman"/>
          <w:sz w:val="24"/>
          <w:szCs w:val="24"/>
        </w:rPr>
        <w:t xml:space="preserve"> do plano de previdência privada, há </w:t>
      </w:r>
      <w:r w:rsidR="007C2DF0">
        <w:rPr>
          <w:rFonts w:ascii="Times New Roman" w:hAnsi="Times New Roman" w:cs="Times New Roman"/>
          <w:sz w:val="24"/>
          <w:szCs w:val="24"/>
        </w:rPr>
        <w:t>grandes divergências doutrinária</w:t>
      </w:r>
      <w:r w:rsidR="005D2B0D">
        <w:rPr>
          <w:rFonts w:ascii="Times New Roman" w:hAnsi="Times New Roman" w:cs="Times New Roman"/>
          <w:sz w:val="24"/>
          <w:szCs w:val="24"/>
        </w:rPr>
        <w:t xml:space="preserve">s. Um destes entendimentos, </w:t>
      </w:r>
      <w:r w:rsidR="007C2DF0">
        <w:rPr>
          <w:rFonts w:ascii="Times New Roman" w:hAnsi="Times New Roman" w:cs="Times New Roman"/>
          <w:sz w:val="24"/>
          <w:szCs w:val="24"/>
        </w:rPr>
        <w:t xml:space="preserve">representado pelo STJ, </w:t>
      </w:r>
      <w:r w:rsidR="005D2B0D">
        <w:rPr>
          <w:rFonts w:ascii="Times New Roman" w:hAnsi="Times New Roman" w:cs="Times New Roman"/>
          <w:sz w:val="24"/>
          <w:szCs w:val="24"/>
        </w:rPr>
        <w:t xml:space="preserve">defende que </w:t>
      </w:r>
      <w:r w:rsidR="007C2DF0">
        <w:rPr>
          <w:rFonts w:ascii="Times New Roman" w:hAnsi="Times New Roman" w:cs="Times New Roman"/>
          <w:sz w:val="24"/>
          <w:szCs w:val="24"/>
        </w:rPr>
        <w:t xml:space="preserve">se esse dinheiro </w:t>
      </w:r>
      <w:r w:rsidR="007C2DF0">
        <w:rPr>
          <w:rFonts w:ascii="Times New Roman" w:hAnsi="Times New Roman" w:cs="Times New Roman"/>
          <w:sz w:val="24"/>
          <w:szCs w:val="24"/>
        </w:rPr>
        <w:lastRenderedPageBreak/>
        <w:t>de previdência for de natureza alimentar, este não pode ser penhorado, diferente dos casos em que não tem a finalidade sustento do executado ou de sua família. Há também a posição que aplica o mesmo entendimento da conta-poupança, considerando como impenhoráveis os valores menos que 40 salários mínimos. O entendimento majoritário, encontrado em diversos julgados, é aquele que considera que a penhora de plano de previdência privada é plenamente possível, por considerar</w:t>
      </w:r>
      <w:r w:rsidR="00B369C2">
        <w:rPr>
          <w:rFonts w:ascii="Times New Roman" w:hAnsi="Times New Roman" w:cs="Times New Roman"/>
          <w:sz w:val="24"/>
          <w:szCs w:val="24"/>
        </w:rPr>
        <w:t xml:space="preserve"> que</w:t>
      </w:r>
      <w:r w:rsidR="007C2DF0">
        <w:rPr>
          <w:rFonts w:ascii="Times New Roman" w:hAnsi="Times New Roman" w:cs="Times New Roman"/>
          <w:sz w:val="24"/>
          <w:szCs w:val="24"/>
        </w:rPr>
        <w:t xml:space="preserve"> os planos de previdência privada </w:t>
      </w:r>
      <w:r w:rsidR="00B369C2">
        <w:rPr>
          <w:rFonts w:ascii="Times New Roman" w:hAnsi="Times New Roman" w:cs="Times New Roman"/>
          <w:sz w:val="24"/>
          <w:szCs w:val="24"/>
        </w:rPr>
        <w:t xml:space="preserve">são </w:t>
      </w:r>
      <w:r w:rsidR="007C2DF0">
        <w:rPr>
          <w:rFonts w:ascii="Times New Roman" w:hAnsi="Times New Roman" w:cs="Times New Roman"/>
          <w:sz w:val="24"/>
          <w:szCs w:val="24"/>
        </w:rPr>
        <w:t xml:space="preserve">investimentos comuns, não suscetíveis à regra da impenhorabilidade, partindo-se desse pressuposto é cabível a penhora do plano de previdência privada de Levi. </w:t>
      </w:r>
    </w:p>
    <w:p w:rsidR="00DC49BD" w:rsidRDefault="00DC49BD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por base tais análises, </w:t>
      </w:r>
      <w:r w:rsidR="00E9256C">
        <w:rPr>
          <w:rFonts w:ascii="Times New Roman" w:hAnsi="Times New Roman" w:cs="Times New Roman"/>
          <w:sz w:val="24"/>
          <w:szCs w:val="24"/>
        </w:rPr>
        <w:t>fica fácil deduzir que</w:t>
      </w:r>
      <w:r>
        <w:rPr>
          <w:rFonts w:ascii="Times New Roman" w:hAnsi="Times New Roman" w:cs="Times New Roman"/>
          <w:sz w:val="24"/>
          <w:szCs w:val="24"/>
        </w:rPr>
        <w:t>, em sua defesa, Levi pode alegar que esse processo não possui validade, por não garantir a ampla defesa e o contraditório, inexistindo uma c</w:t>
      </w:r>
      <w:r w:rsidR="00C3769A">
        <w:rPr>
          <w:rFonts w:ascii="Times New Roman" w:hAnsi="Times New Roman" w:cs="Times New Roman"/>
          <w:sz w:val="24"/>
          <w:szCs w:val="24"/>
        </w:rPr>
        <w:t>itação. Como afirma Didier (2008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citação é uma condição de eficácia do processo em relação ao réu. Ela garante o conhecimento do réu e promove o cumprimento de diversos princípios constitucionais. A falta de citação acarreta em indeferimento da inicial, e tem como conseqüência a extinção do processo sem resolução de mérito (artigos 295, 267, I e 285-A do Código de Processo Civil).</w:t>
      </w:r>
    </w:p>
    <w:p w:rsidR="004C235D" w:rsidRDefault="00DC49BD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mesma forma, é plausível que Levi afirme que o credor é carente da execução, posto que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há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execução sem título. E, como visto anteriormente, o título extrajudicial em questão é prescrito e advém de uma atividade ilícita, retirando suas principais características, quais </w:t>
      </w:r>
      <w:proofErr w:type="gramStart"/>
      <w:r>
        <w:rPr>
          <w:rFonts w:ascii="Times New Roman" w:hAnsi="Times New Roman" w:cs="Times New Roman"/>
          <w:sz w:val="24"/>
          <w:szCs w:val="24"/>
        </w:rPr>
        <w:t>sejam,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liquidez, certeza e </w:t>
      </w:r>
      <w:r w:rsidR="004C235D">
        <w:rPr>
          <w:rFonts w:ascii="Times New Roman" w:hAnsi="Times New Roman" w:cs="Times New Roman"/>
          <w:sz w:val="24"/>
          <w:szCs w:val="24"/>
        </w:rPr>
        <w:t>exigibilidade. Sem título líquido certo e exigível, não há execução e não há que se falar em penhora ou em qualquer outra atividade típica do processo de execução.</w:t>
      </w:r>
      <w:r w:rsidR="004C235D" w:rsidRPr="004C235D">
        <w:rPr>
          <w:rFonts w:ascii="Times New Roman" w:hAnsi="Times New Roman" w:cs="Times New Roman"/>
          <w:sz w:val="24"/>
          <w:szCs w:val="24"/>
        </w:rPr>
        <w:t xml:space="preserve"> </w:t>
      </w:r>
      <w:r w:rsidR="004C235D">
        <w:rPr>
          <w:rFonts w:ascii="Times New Roman" w:hAnsi="Times New Roman" w:cs="Times New Roman"/>
          <w:sz w:val="24"/>
          <w:szCs w:val="24"/>
        </w:rPr>
        <w:t>Destarte, Levi pode apresentar embargos do devedor, embargos à execução e também a exceção de pré-executividade.</w:t>
      </w:r>
    </w:p>
    <w:p w:rsidR="00DC49BD" w:rsidRDefault="00A64927" w:rsidP="00FD3D2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(2015), em estudo recente, traz diversas modalidades de defesas do executado, ao afirmar </w:t>
      </w:r>
      <w:r w:rsidRPr="00982818">
        <w:rPr>
          <w:rFonts w:ascii="Times New Roman" w:hAnsi="Times New Roman" w:cs="Times New Roman"/>
          <w:color w:val="000000" w:themeColor="text1"/>
          <w:sz w:val="24"/>
          <w:szCs w:val="24"/>
        </w:rPr>
        <w:t>nulidades ou questões de direito material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Essas modalidades seriam oponíveis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Zaqueu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defesa de Levi. Em suas palavras: </w:t>
      </w:r>
    </w:p>
    <w:p w:rsidR="00A64927" w:rsidRPr="00982818" w:rsidRDefault="00E9256C" w:rsidP="00A64927">
      <w:pPr>
        <w:spacing w:line="240" w:lineRule="auto"/>
        <w:ind w:left="36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A64927" w:rsidRPr="00982818">
        <w:rPr>
          <w:rFonts w:ascii="Times New Roman" w:hAnsi="Times New Roman" w:cs="Times New Roman"/>
          <w:color w:val="000000" w:themeColor="text1"/>
          <w:sz w:val="20"/>
          <w:szCs w:val="20"/>
        </w:rPr>
        <w:t>Poderá o Embargante, nos Embargos à Execução, alegar nulidade da execução, por não ser executivo o título apresentado; penhora incorreta ou avaliação errônea; excesso de execução ou cumulação indevida de execuções; retenção por benfeitorias necessárias ou úteis, nos casos de título para entrega de coisa certa; ou qualquer matéria que lhe seria lícito deduzir como defesa em processo de conhecimento.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</w:t>
      </w:r>
      <w:r w:rsidR="00A64927" w:rsidRPr="00FD3D26">
        <w:rPr>
          <w:rFonts w:ascii="Times New Roman" w:hAnsi="Times New Roman" w:cs="Times New Roman"/>
          <w:sz w:val="20"/>
          <w:szCs w:val="20"/>
        </w:rPr>
        <w:t>(NOMURA, p. 02</w:t>
      </w:r>
      <w:r w:rsidRPr="00FD3D26">
        <w:rPr>
          <w:rFonts w:ascii="Times New Roman" w:hAnsi="Times New Roman" w:cs="Times New Roman"/>
          <w:sz w:val="20"/>
          <w:szCs w:val="20"/>
        </w:rPr>
        <w:t>,</w:t>
      </w:r>
      <w:r w:rsidR="00A64927" w:rsidRPr="00FD3D26">
        <w:rPr>
          <w:rFonts w:ascii="Times New Roman" w:hAnsi="Times New Roman" w:cs="Times New Roman"/>
          <w:sz w:val="20"/>
          <w:szCs w:val="20"/>
        </w:rPr>
        <w:t xml:space="preserve"> 2015).</w:t>
      </w:r>
    </w:p>
    <w:p w:rsidR="00A64927" w:rsidRDefault="00A64927" w:rsidP="002D54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1013" w:rsidRPr="00AF1A68" w:rsidRDefault="00511013" w:rsidP="002D54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F793E" w:rsidRDefault="00FF793E" w:rsidP="002D54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4927" w:rsidRDefault="00A64927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B13ED" w:rsidRPr="00DB606E" w:rsidRDefault="00107350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  <w:r w:rsidRPr="00DB606E">
        <w:rPr>
          <w:b/>
          <w:shd w:val="clear" w:color="auto" w:fill="FFFFFF"/>
        </w:rPr>
        <w:lastRenderedPageBreak/>
        <w:t>REFERÊNCIAS</w:t>
      </w:r>
    </w:p>
    <w:p w:rsidR="00532CC3" w:rsidRPr="00DB606E" w:rsidRDefault="00532CC3" w:rsidP="0079671B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FFFF"/>
          <w:shd w:val="clear" w:color="auto" w:fill="2A2A2A"/>
        </w:rPr>
      </w:pPr>
    </w:p>
    <w:p w:rsidR="0079671B" w:rsidRPr="00A64927" w:rsidRDefault="0079671B" w:rsidP="00A6492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927">
        <w:rPr>
          <w:rFonts w:ascii="Times New Roman" w:hAnsi="Times New Roman" w:cs="Times New Roman"/>
          <w:sz w:val="24"/>
          <w:szCs w:val="24"/>
        </w:rPr>
        <w:t xml:space="preserve">BRASIL. </w:t>
      </w:r>
      <w:proofErr w:type="spellStart"/>
      <w:r w:rsidRPr="00A64927">
        <w:rPr>
          <w:rFonts w:ascii="Times New Roman" w:hAnsi="Times New Roman" w:cs="Times New Roman"/>
          <w:b/>
          <w:iCs/>
          <w:sz w:val="24"/>
          <w:szCs w:val="24"/>
        </w:rPr>
        <w:t>Vade</w:t>
      </w:r>
      <w:proofErr w:type="spellEnd"/>
      <w:r w:rsidRPr="00A649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64927">
        <w:rPr>
          <w:rFonts w:ascii="Times New Roman" w:hAnsi="Times New Roman" w:cs="Times New Roman"/>
          <w:b/>
          <w:iCs/>
          <w:sz w:val="24"/>
          <w:szCs w:val="24"/>
        </w:rPr>
        <w:t>Mecum</w:t>
      </w:r>
      <w:proofErr w:type="spellEnd"/>
      <w:r w:rsidRPr="00A64927">
        <w:rPr>
          <w:rFonts w:ascii="Times New Roman" w:hAnsi="Times New Roman" w:cs="Times New Roman"/>
          <w:sz w:val="24"/>
          <w:szCs w:val="24"/>
        </w:rPr>
        <w:t xml:space="preserve">. 10. Ed. São Paulo: </w:t>
      </w:r>
      <w:proofErr w:type="gramStart"/>
      <w:r w:rsidRPr="00A64927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A64927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3769A" w:rsidRPr="00A64927" w:rsidRDefault="00C3769A" w:rsidP="00A64927">
      <w:pPr>
        <w:pStyle w:val="NormalWeb"/>
        <w:spacing w:before="0" w:beforeAutospacing="0" w:after="0" w:afterAutospacing="0" w:line="360" w:lineRule="auto"/>
        <w:jc w:val="both"/>
      </w:pPr>
      <w:r w:rsidRPr="00A64927">
        <w:t xml:space="preserve">DIDIER JR, </w:t>
      </w:r>
      <w:proofErr w:type="spellStart"/>
      <w:r w:rsidRPr="00A64927">
        <w:t>Fredie</w:t>
      </w:r>
      <w:proofErr w:type="spellEnd"/>
      <w:r w:rsidRPr="00A64927">
        <w:t xml:space="preserve">. </w:t>
      </w:r>
      <w:r w:rsidRPr="00A64927">
        <w:rPr>
          <w:b/>
        </w:rPr>
        <w:t>Curso de Direito Processual Civil – Teoria Geral do Processo e do Processo de Conhecimento.</w:t>
      </w:r>
      <w:r w:rsidRPr="00A64927">
        <w:t xml:space="preserve"> Volume </w:t>
      </w:r>
      <w:proofErr w:type="gramStart"/>
      <w:r w:rsidRPr="00A64927">
        <w:t>1</w:t>
      </w:r>
      <w:proofErr w:type="gramEnd"/>
      <w:r w:rsidRPr="00A64927">
        <w:t xml:space="preserve">. Salvador: Editora </w:t>
      </w:r>
      <w:proofErr w:type="spellStart"/>
      <w:r w:rsidRPr="00A64927">
        <w:t>Juspodivm</w:t>
      </w:r>
      <w:proofErr w:type="spellEnd"/>
      <w:r w:rsidRPr="00A64927">
        <w:t>, 2008</w:t>
      </w:r>
    </w:p>
    <w:p w:rsidR="00255A1C" w:rsidRPr="00A64927" w:rsidRDefault="00255A1C" w:rsidP="00A64927">
      <w:pPr>
        <w:pStyle w:val="NormalWeb"/>
        <w:spacing w:before="0" w:beforeAutospacing="0" w:after="0" w:afterAutospacing="0" w:line="360" w:lineRule="auto"/>
        <w:jc w:val="both"/>
      </w:pPr>
      <w:r w:rsidRPr="00A64927">
        <w:t xml:space="preserve">GARCIA, Leonardo de Medeiros. </w:t>
      </w:r>
      <w:r w:rsidRPr="00A64927">
        <w:rPr>
          <w:b/>
        </w:rPr>
        <w:t>Direito do consumidor.</w:t>
      </w:r>
      <w:r w:rsidRPr="00A64927">
        <w:t xml:space="preserve"> Niterói/RJ: Editora </w:t>
      </w:r>
      <w:proofErr w:type="spellStart"/>
      <w:r w:rsidRPr="00A64927">
        <w:t>Impetus</w:t>
      </w:r>
      <w:proofErr w:type="spellEnd"/>
      <w:r w:rsidRPr="00A64927">
        <w:t>, 2009.</w:t>
      </w:r>
    </w:p>
    <w:p w:rsidR="00255A1C" w:rsidRPr="00A64927" w:rsidRDefault="00255A1C" w:rsidP="00A64927">
      <w:pPr>
        <w:pStyle w:val="NormalWeb"/>
        <w:spacing w:before="0" w:beforeAutospacing="0" w:after="0" w:afterAutospacing="0" w:line="360" w:lineRule="auto"/>
        <w:jc w:val="both"/>
      </w:pPr>
      <w:r w:rsidRPr="00A64927">
        <w:t xml:space="preserve">GOLDSCHMIDT, Guilherme. </w:t>
      </w:r>
      <w:r w:rsidRPr="00A64927">
        <w:rPr>
          <w:b/>
        </w:rPr>
        <w:t xml:space="preserve">A Penhora </w:t>
      </w:r>
      <w:proofErr w:type="spellStart"/>
      <w:proofErr w:type="gramStart"/>
      <w:r w:rsidRPr="00A64927">
        <w:rPr>
          <w:b/>
        </w:rPr>
        <w:t>OnLine</w:t>
      </w:r>
      <w:proofErr w:type="spellEnd"/>
      <w:proofErr w:type="gramEnd"/>
      <w:r w:rsidRPr="00A64927">
        <w:rPr>
          <w:b/>
        </w:rPr>
        <w:t xml:space="preserve"> do Direito Processual Brasileiro.</w:t>
      </w:r>
      <w:r w:rsidRPr="00A64927">
        <w:t xml:space="preserve"> Porto Alegre: Livraria do Advogado Editora, 2008.</w:t>
      </w:r>
    </w:p>
    <w:p w:rsidR="00A64927" w:rsidRPr="00A64927" w:rsidRDefault="00A64927" w:rsidP="00A649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A64927">
        <w:rPr>
          <w:rFonts w:ascii="Times New Roman" w:hAnsi="Times New Roman" w:cs="Times New Roman"/>
          <w:color w:val="000000" w:themeColor="text1"/>
          <w:sz w:val="24"/>
          <w:szCs w:val="24"/>
        </w:rPr>
        <w:t>MURA.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927">
        <w:rPr>
          <w:rFonts w:ascii="Times New Roman" w:hAnsi="Times New Roman" w:cs="Times New Roman"/>
          <w:color w:val="000000" w:themeColor="text1"/>
          <w:sz w:val="24"/>
          <w:szCs w:val="24"/>
        </w:rPr>
        <w:t>Takeshi</w:t>
      </w:r>
      <w:proofErr w:type="spellEnd"/>
      <w:r w:rsidRPr="00A64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64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Embargos à execução</w:t>
      </w:r>
      <w:r w:rsidRPr="00A64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Disponível em: </w:t>
      </w:r>
      <w:r w:rsidRPr="00A64927">
        <w:rPr>
          <w:rFonts w:ascii="Times New Roman" w:hAnsi="Times New Roman" w:cs="Times New Roman"/>
          <w:sz w:val="24"/>
          <w:szCs w:val="24"/>
        </w:rPr>
        <w:t>http://www.fadipa.br/pdf/embarg</w:t>
      </w:r>
      <w:r w:rsidRPr="00A64927">
        <w:rPr>
          <w:rFonts w:ascii="Times New Roman" w:hAnsi="Times New Roman" w:cs="Times New Roman"/>
          <w:sz w:val="24"/>
          <w:szCs w:val="24"/>
        </w:rPr>
        <w:t>o</w:t>
      </w:r>
      <w:r w:rsidRPr="00A64927">
        <w:rPr>
          <w:rFonts w:ascii="Times New Roman" w:hAnsi="Times New Roman" w:cs="Times New Roman"/>
          <w:sz w:val="24"/>
          <w:szCs w:val="24"/>
        </w:rPr>
        <w:t>s_execucao.pdf</w:t>
      </w:r>
      <w:r w:rsidRPr="00A64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 em: 11 de Março de 2015. </w:t>
      </w:r>
    </w:p>
    <w:p w:rsidR="00A64927" w:rsidRDefault="00A64927" w:rsidP="0079671B">
      <w:pPr>
        <w:pStyle w:val="NormalWeb"/>
        <w:spacing w:before="0" w:beforeAutospacing="0" w:after="0" w:afterAutospacing="0" w:line="360" w:lineRule="auto"/>
        <w:jc w:val="both"/>
      </w:pPr>
    </w:p>
    <w:p w:rsidR="0079671B" w:rsidRDefault="0079671B" w:rsidP="0079671B">
      <w:pPr>
        <w:pStyle w:val="NormalWeb"/>
        <w:spacing w:before="0" w:beforeAutospacing="0" w:after="0" w:afterAutospacing="0" w:line="360" w:lineRule="auto"/>
        <w:jc w:val="both"/>
      </w:pPr>
    </w:p>
    <w:p w:rsidR="00C3769A" w:rsidRPr="00255A1C" w:rsidRDefault="00C3769A" w:rsidP="00DB606E">
      <w:pPr>
        <w:pStyle w:val="NormalWeb"/>
        <w:spacing w:before="0" w:beforeAutospacing="0" w:after="0" w:afterAutospacing="0" w:line="360" w:lineRule="auto"/>
        <w:jc w:val="both"/>
      </w:pPr>
    </w:p>
    <w:sectPr w:rsidR="00C3769A" w:rsidRPr="00255A1C" w:rsidSect="00144924">
      <w:footerReference w:type="firs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86" w:rsidRDefault="00ED1386" w:rsidP="00B74EE5">
      <w:pPr>
        <w:spacing w:after="0" w:line="240" w:lineRule="auto"/>
      </w:pPr>
      <w:r>
        <w:separator/>
      </w:r>
    </w:p>
  </w:endnote>
  <w:endnote w:type="continuationSeparator" w:id="1">
    <w:p w:rsidR="00ED1386" w:rsidRDefault="00ED1386" w:rsidP="00B7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1</w:t>
    </w:r>
    <w:proofErr w:type="gramEnd"/>
    <w:r>
      <w:rPr>
        <w:rFonts w:ascii="Times New Roman" w:hAnsi="Times New Roman" w:cs="Times New Roman"/>
        <w:sz w:val="20"/>
        <w:szCs w:val="20"/>
      </w:rPr>
      <w:t xml:space="preserve"> Case apresentado à disciplina de Processo de Execuçãona Unidade de Ensino Superior Dom Bosco – UNDB.</w:t>
    </w:r>
  </w:p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2</w:t>
    </w:r>
    <w:proofErr w:type="gramEnd"/>
    <w:r>
      <w:rPr>
        <w:rFonts w:ascii="Times New Roman" w:hAnsi="Times New Roman" w:cs="Times New Roman"/>
        <w:sz w:val="20"/>
        <w:szCs w:val="20"/>
      </w:rPr>
      <w:t xml:space="preserve"> Aluna do 7º período do curso de Direito na UNDB.</w:t>
    </w:r>
  </w:p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3</w:t>
    </w:r>
    <w:proofErr w:type="gramEnd"/>
    <w:r>
      <w:rPr>
        <w:rFonts w:ascii="Times New Roman" w:hAnsi="Times New Roman" w:cs="Times New Roman"/>
        <w:sz w:val="20"/>
        <w:szCs w:val="20"/>
      </w:rPr>
      <w:t xml:space="preserve"> Professorespecialista, orientador.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86" w:rsidRDefault="00ED1386" w:rsidP="00B74EE5">
      <w:pPr>
        <w:spacing w:after="0" w:line="240" w:lineRule="auto"/>
      </w:pPr>
      <w:r>
        <w:separator/>
      </w:r>
    </w:p>
  </w:footnote>
  <w:footnote w:type="continuationSeparator" w:id="1">
    <w:p w:rsidR="00ED1386" w:rsidRDefault="00ED1386" w:rsidP="00B7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27556EA"/>
    <w:multiLevelType w:val="hybridMultilevel"/>
    <w:tmpl w:val="3ED27206"/>
    <w:lvl w:ilvl="0" w:tplc="AC5CE0B6">
      <w:start w:val="1"/>
      <w:numFmt w:val="lowerLetter"/>
      <w:lvlText w:val="%1)"/>
      <w:lvlJc w:val="left"/>
      <w:pPr>
        <w:ind w:left="2559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DA1F2E"/>
    <w:multiLevelType w:val="hybridMultilevel"/>
    <w:tmpl w:val="F85C7242"/>
    <w:lvl w:ilvl="0" w:tplc="9634C2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67A5"/>
    <w:multiLevelType w:val="hybridMultilevel"/>
    <w:tmpl w:val="7B52970E"/>
    <w:lvl w:ilvl="0" w:tplc="9D52CB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61BA"/>
    <w:multiLevelType w:val="hybridMultilevel"/>
    <w:tmpl w:val="18885AA0"/>
    <w:lvl w:ilvl="0" w:tplc="721629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A0B4E"/>
    <w:multiLevelType w:val="hybridMultilevel"/>
    <w:tmpl w:val="B06CA136"/>
    <w:lvl w:ilvl="0" w:tplc="04160017">
      <w:start w:val="1"/>
      <w:numFmt w:val="lowerLetter"/>
      <w:lvlText w:val="%1)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F873B24"/>
    <w:multiLevelType w:val="hybridMultilevel"/>
    <w:tmpl w:val="972627FC"/>
    <w:lvl w:ilvl="0" w:tplc="FBAA5F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E230E"/>
    <w:multiLevelType w:val="hybridMultilevel"/>
    <w:tmpl w:val="122432B4"/>
    <w:lvl w:ilvl="0" w:tplc="A7A858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F1220"/>
    <w:multiLevelType w:val="hybridMultilevel"/>
    <w:tmpl w:val="E102AD44"/>
    <w:lvl w:ilvl="0" w:tplc="77F6A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025"/>
    <w:multiLevelType w:val="hybridMultilevel"/>
    <w:tmpl w:val="6440807E"/>
    <w:lvl w:ilvl="0" w:tplc="B48ABAD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8703865"/>
    <w:multiLevelType w:val="hybridMultilevel"/>
    <w:tmpl w:val="217E2AC6"/>
    <w:lvl w:ilvl="0" w:tplc="D16823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9354F"/>
    <w:multiLevelType w:val="hybridMultilevel"/>
    <w:tmpl w:val="6D6C4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C0FDC"/>
    <w:rsid w:val="00005F7D"/>
    <w:rsid w:val="000247E7"/>
    <w:rsid w:val="00025EF0"/>
    <w:rsid w:val="000267CB"/>
    <w:rsid w:val="00026E1F"/>
    <w:rsid w:val="00033640"/>
    <w:rsid w:val="00040AAE"/>
    <w:rsid w:val="00047C51"/>
    <w:rsid w:val="00052F47"/>
    <w:rsid w:val="00066DC8"/>
    <w:rsid w:val="00067567"/>
    <w:rsid w:val="00075A13"/>
    <w:rsid w:val="0007643A"/>
    <w:rsid w:val="00091B8E"/>
    <w:rsid w:val="000A2F0A"/>
    <w:rsid w:val="000A3874"/>
    <w:rsid w:val="000C61B2"/>
    <w:rsid w:val="000C761A"/>
    <w:rsid w:val="000E1140"/>
    <w:rsid w:val="000E4B13"/>
    <w:rsid w:val="000E6349"/>
    <w:rsid w:val="000F5443"/>
    <w:rsid w:val="00106379"/>
    <w:rsid w:val="00106CE8"/>
    <w:rsid w:val="00107350"/>
    <w:rsid w:val="00116397"/>
    <w:rsid w:val="001240C6"/>
    <w:rsid w:val="00127213"/>
    <w:rsid w:val="00130254"/>
    <w:rsid w:val="00133719"/>
    <w:rsid w:val="00144924"/>
    <w:rsid w:val="00146918"/>
    <w:rsid w:val="0015269E"/>
    <w:rsid w:val="00155A66"/>
    <w:rsid w:val="00162BEF"/>
    <w:rsid w:val="001729BB"/>
    <w:rsid w:val="00175674"/>
    <w:rsid w:val="001818DE"/>
    <w:rsid w:val="001970B8"/>
    <w:rsid w:val="001A416A"/>
    <w:rsid w:val="001B1C84"/>
    <w:rsid w:val="001D0382"/>
    <w:rsid w:val="001D6F51"/>
    <w:rsid w:val="001F570C"/>
    <w:rsid w:val="0020734A"/>
    <w:rsid w:val="00217D6D"/>
    <w:rsid w:val="00232162"/>
    <w:rsid w:val="00233207"/>
    <w:rsid w:val="00236892"/>
    <w:rsid w:val="002418E9"/>
    <w:rsid w:val="00255A1C"/>
    <w:rsid w:val="00262760"/>
    <w:rsid w:val="00265D68"/>
    <w:rsid w:val="00271DD2"/>
    <w:rsid w:val="00272D76"/>
    <w:rsid w:val="00273E13"/>
    <w:rsid w:val="0028004D"/>
    <w:rsid w:val="00281075"/>
    <w:rsid w:val="00285B12"/>
    <w:rsid w:val="00291F6C"/>
    <w:rsid w:val="002A0FF1"/>
    <w:rsid w:val="002A1779"/>
    <w:rsid w:val="002B365B"/>
    <w:rsid w:val="002B3F09"/>
    <w:rsid w:val="002C717B"/>
    <w:rsid w:val="002D177E"/>
    <w:rsid w:val="002D2A63"/>
    <w:rsid w:val="002D38EC"/>
    <w:rsid w:val="002D5460"/>
    <w:rsid w:val="002E7FFC"/>
    <w:rsid w:val="003014BE"/>
    <w:rsid w:val="003063DB"/>
    <w:rsid w:val="00313D82"/>
    <w:rsid w:val="00315D0D"/>
    <w:rsid w:val="003374B8"/>
    <w:rsid w:val="00340E6F"/>
    <w:rsid w:val="00342DED"/>
    <w:rsid w:val="003436BC"/>
    <w:rsid w:val="0034720F"/>
    <w:rsid w:val="003503B8"/>
    <w:rsid w:val="00354489"/>
    <w:rsid w:val="0036219B"/>
    <w:rsid w:val="003710E0"/>
    <w:rsid w:val="00375F33"/>
    <w:rsid w:val="003811CE"/>
    <w:rsid w:val="00386873"/>
    <w:rsid w:val="00387EB1"/>
    <w:rsid w:val="00394CF0"/>
    <w:rsid w:val="003A486E"/>
    <w:rsid w:val="003B4C86"/>
    <w:rsid w:val="003C1381"/>
    <w:rsid w:val="003C2AA7"/>
    <w:rsid w:val="003C6170"/>
    <w:rsid w:val="003E71B0"/>
    <w:rsid w:val="003F2DCF"/>
    <w:rsid w:val="00402CBE"/>
    <w:rsid w:val="00410A05"/>
    <w:rsid w:val="00415767"/>
    <w:rsid w:val="0041577F"/>
    <w:rsid w:val="00422018"/>
    <w:rsid w:val="00437244"/>
    <w:rsid w:val="004372D9"/>
    <w:rsid w:val="004454F4"/>
    <w:rsid w:val="00445947"/>
    <w:rsid w:val="00450CFD"/>
    <w:rsid w:val="00461FDA"/>
    <w:rsid w:val="004713C5"/>
    <w:rsid w:val="00477D80"/>
    <w:rsid w:val="00485CCD"/>
    <w:rsid w:val="004872B8"/>
    <w:rsid w:val="00490432"/>
    <w:rsid w:val="004921D1"/>
    <w:rsid w:val="004946BD"/>
    <w:rsid w:val="0049686A"/>
    <w:rsid w:val="004A0036"/>
    <w:rsid w:val="004A1485"/>
    <w:rsid w:val="004B21AF"/>
    <w:rsid w:val="004C235D"/>
    <w:rsid w:val="004D0E05"/>
    <w:rsid w:val="004E6438"/>
    <w:rsid w:val="004E78D6"/>
    <w:rsid w:val="004F39AA"/>
    <w:rsid w:val="004F52FB"/>
    <w:rsid w:val="005005E3"/>
    <w:rsid w:val="0050564F"/>
    <w:rsid w:val="00505C01"/>
    <w:rsid w:val="00511013"/>
    <w:rsid w:val="00517AA1"/>
    <w:rsid w:val="005266EB"/>
    <w:rsid w:val="00527B3B"/>
    <w:rsid w:val="00532CC3"/>
    <w:rsid w:val="005453B4"/>
    <w:rsid w:val="0054610E"/>
    <w:rsid w:val="00550E81"/>
    <w:rsid w:val="00553498"/>
    <w:rsid w:val="00553F1B"/>
    <w:rsid w:val="00557DD3"/>
    <w:rsid w:val="00573501"/>
    <w:rsid w:val="005806CD"/>
    <w:rsid w:val="00582044"/>
    <w:rsid w:val="005833D6"/>
    <w:rsid w:val="00583A8E"/>
    <w:rsid w:val="00584639"/>
    <w:rsid w:val="00584D74"/>
    <w:rsid w:val="00587145"/>
    <w:rsid w:val="005A04DE"/>
    <w:rsid w:val="005A0D72"/>
    <w:rsid w:val="005A101B"/>
    <w:rsid w:val="005A510B"/>
    <w:rsid w:val="005B1489"/>
    <w:rsid w:val="005D097E"/>
    <w:rsid w:val="005D1A1B"/>
    <w:rsid w:val="005D2B0D"/>
    <w:rsid w:val="005D315B"/>
    <w:rsid w:val="005D4798"/>
    <w:rsid w:val="005D6240"/>
    <w:rsid w:val="005E3C95"/>
    <w:rsid w:val="005E790D"/>
    <w:rsid w:val="005F33CB"/>
    <w:rsid w:val="005F3E02"/>
    <w:rsid w:val="00600516"/>
    <w:rsid w:val="00602168"/>
    <w:rsid w:val="00634851"/>
    <w:rsid w:val="00647CB8"/>
    <w:rsid w:val="00656A96"/>
    <w:rsid w:val="006608CF"/>
    <w:rsid w:val="0066454B"/>
    <w:rsid w:val="00675FE7"/>
    <w:rsid w:val="006840A2"/>
    <w:rsid w:val="00691FC9"/>
    <w:rsid w:val="006946DA"/>
    <w:rsid w:val="00697BE0"/>
    <w:rsid w:val="006A0878"/>
    <w:rsid w:val="006A2639"/>
    <w:rsid w:val="006C2566"/>
    <w:rsid w:val="006D03F8"/>
    <w:rsid w:val="006D23CA"/>
    <w:rsid w:val="006D243B"/>
    <w:rsid w:val="006D64C6"/>
    <w:rsid w:val="006E73A0"/>
    <w:rsid w:val="00700E18"/>
    <w:rsid w:val="007029C8"/>
    <w:rsid w:val="007051B0"/>
    <w:rsid w:val="00711C87"/>
    <w:rsid w:val="007129AA"/>
    <w:rsid w:val="0071495A"/>
    <w:rsid w:val="007208D1"/>
    <w:rsid w:val="007313BB"/>
    <w:rsid w:val="0073484E"/>
    <w:rsid w:val="0073505D"/>
    <w:rsid w:val="00736257"/>
    <w:rsid w:val="0073667E"/>
    <w:rsid w:val="00736909"/>
    <w:rsid w:val="00740F0A"/>
    <w:rsid w:val="00746BD0"/>
    <w:rsid w:val="00747F80"/>
    <w:rsid w:val="00752776"/>
    <w:rsid w:val="007541E6"/>
    <w:rsid w:val="007556E0"/>
    <w:rsid w:val="00755C7E"/>
    <w:rsid w:val="007616B3"/>
    <w:rsid w:val="00762DC5"/>
    <w:rsid w:val="00763BBC"/>
    <w:rsid w:val="0076763E"/>
    <w:rsid w:val="007743BE"/>
    <w:rsid w:val="007823CD"/>
    <w:rsid w:val="00783E49"/>
    <w:rsid w:val="0079671B"/>
    <w:rsid w:val="007A5D27"/>
    <w:rsid w:val="007A6922"/>
    <w:rsid w:val="007C2DF0"/>
    <w:rsid w:val="007C6B7E"/>
    <w:rsid w:val="007D27E6"/>
    <w:rsid w:val="007D5597"/>
    <w:rsid w:val="007D6E70"/>
    <w:rsid w:val="007E57C7"/>
    <w:rsid w:val="007E608E"/>
    <w:rsid w:val="007F1AD8"/>
    <w:rsid w:val="0080364A"/>
    <w:rsid w:val="008201C3"/>
    <w:rsid w:val="008239E6"/>
    <w:rsid w:val="00825AE2"/>
    <w:rsid w:val="00830FDC"/>
    <w:rsid w:val="00831342"/>
    <w:rsid w:val="00835018"/>
    <w:rsid w:val="00836923"/>
    <w:rsid w:val="008427CA"/>
    <w:rsid w:val="008522CA"/>
    <w:rsid w:val="008619F6"/>
    <w:rsid w:val="00866A83"/>
    <w:rsid w:val="00872CC0"/>
    <w:rsid w:val="00874481"/>
    <w:rsid w:val="00876FF2"/>
    <w:rsid w:val="00896922"/>
    <w:rsid w:val="00897691"/>
    <w:rsid w:val="00897B9B"/>
    <w:rsid w:val="008A5CFE"/>
    <w:rsid w:val="008B1A86"/>
    <w:rsid w:val="008B3541"/>
    <w:rsid w:val="008B4A4C"/>
    <w:rsid w:val="008B57E7"/>
    <w:rsid w:val="008C172F"/>
    <w:rsid w:val="008D0D12"/>
    <w:rsid w:val="008D1543"/>
    <w:rsid w:val="008D1835"/>
    <w:rsid w:val="008D2500"/>
    <w:rsid w:val="008D5676"/>
    <w:rsid w:val="008D7A3F"/>
    <w:rsid w:val="008E784F"/>
    <w:rsid w:val="008F2E64"/>
    <w:rsid w:val="008F3DF4"/>
    <w:rsid w:val="0092067A"/>
    <w:rsid w:val="00922DF2"/>
    <w:rsid w:val="0092449D"/>
    <w:rsid w:val="00931A15"/>
    <w:rsid w:val="009359D9"/>
    <w:rsid w:val="009422DF"/>
    <w:rsid w:val="00966E6D"/>
    <w:rsid w:val="00981088"/>
    <w:rsid w:val="009915D2"/>
    <w:rsid w:val="009A0BEF"/>
    <w:rsid w:val="009B06A9"/>
    <w:rsid w:val="009B08D7"/>
    <w:rsid w:val="009B13ED"/>
    <w:rsid w:val="009D42DA"/>
    <w:rsid w:val="00A0001C"/>
    <w:rsid w:val="00A17B19"/>
    <w:rsid w:val="00A31E7F"/>
    <w:rsid w:val="00A42CBB"/>
    <w:rsid w:val="00A43DD4"/>
    <w:rsid w:val="00A55CDA"/>
    <w:rsid w:val="00A64927"/>
    <w:rsid w:val="00A710F8"/>
    <w:rsid w:val="00A777DF"/>
    <w:rsid w:val="00A85914"/>
    <w:rsid w:val="00A85D0C"/>
    <w:rsid w:val="00A924B5"/>
    <w:rsid w:val="00A9367D"/>
    <w:rsid w:val="00AA443A"/>
    <w:rsid w:val="00AB3BD8"/>
    <w:rsid w:val="00AB5EA7"/>
    <w:rsid w:val="00AC4B04"/>
    <w:rsid w:val="00AC79BB"/>
    <w:rsid w:val="00AD1623"/>
    <w:rsid w:val="00AD33E7"/>
    <w:rsid w:val="00AD470E"/>
    <w:rsid w:val="00AF1A68"/>
    <w:rsid w:val="00AF215D"/>
    <w:rsid w:val="00AF239E"/>
    <w:rsid w:val="00AF5E8F"/>
    <w:rsid w:val="00AF7260"/>
    <w:rsid w:val="00B1320D"/>
    <w:rsid w:val="00B17A66"/>
    <w:rsid w:val="00B21298"/>
    <w:rsid w:val="00B22A49"/>
    <w:rsid w:val="00B25581"/>
    <w:rsid w:val="00B27956"/>
    <w:rsid w:val="00B31B5C"/>
    <w:rsid w:val="00B365F3"/>
    <w:rsid w:val="00B369C2"/>
    <w:rsid w:val="00B36C3D"/>
    <w:rsid w:val="00B3786C"/>
    <w:rsid w:val="00B430A3"/>
    <w:rsid w:val="00B50F38"/>
    <w:rsid w:val="00B52AB8"/>
    <w:rsid w:val="00B5540F"/>
    <w:rsid w:val="00B64466"/>
    <w:rsid w:val="00B64598"/>
    <w:rsid w:val="00B6702F"/>
    <w:rsid w:val="00B672D8"/>
    <w:rsid w:val="00B72276"/>
    <w:rsid w:val="00B74EE5"/>
    <w:rsid w:val="00B7625D"/>
    <w:rsid w:val="00B9572C"/>
    <w:rsid w:val="00B96516"/>
    <w:rsid w:val="00BA2A54"/>
    <w:rsid w:val="00BA6DD0"/>
    <w:rsid w:val="00BB0977"/>
    <w:rsid w:val="00BB79B0"/>
    <w:rsid w:val="00BD1F7E"/>
    <w:rsid w:val="00BD29B6"/>
    <w:rsid w:val="00BE1EB2"/>
    <w:rsid w:val="00BE4FED"/>
    <w:rsid w:val="00C01310"/>
    <w:rsid w:val="00C0141E"/>
    <w:rsid w:val="00C01810"/>
    <w:rsid w:val="00C126C1"/>
    <w:rsid w:val="00C15544"/>
    <w:rsid w:val="00C15918"/>
    <w:rsid w:val="00C15C4E"/>
    <w:rsid w:val="00C164DE"/>
    <w:rsid w:val="00C17991"/>
    <w:rsid w:val="00C20D2C"/>
    <w:rsid w:val="00C22836"/>
    <w:rsid w:val="00C22FD4"/>
    <w:rsid w:val="00C328C4"/>
    <w:rsid w:val="00C32FCA"/>
    <w:rsid w:val="00C32FDB"/>
    <w:rsid w:val="00C3769A"/>
    <w:rsid w:val="00C42491"/>
    <w:rsid w:val="00C5680C"/>
    <w:rsid w:val="00C66723"/>
    <w:rsid w:val="00C70D43"/>
    <w:rsid w:val="00C735A7"/>
    <w:rsid w:val="00C81C55"/>
    <w:rsid w:val="00C86323"/>
    <w:rsid w:val="00C903F0"/>
    <w:rsid w:val="00C90CF6"/>
    <w:rsid w:val="00C93E9E"/>
    <w:rsid w:val="00C953D7"/>
    <w:rsid w:val="00C97B99"/>
    <w:rsid w:val="00CA034A"/>
    <w:rsid w:val="00CA1D18"/>
    <w:rsid w:val="00CA478D"/>
    <w:rsid w:val="00CB3D4A"/>
    <w:rsid w:val="00CC4301"/>
    <w:rsid w:val="00CC4D09"/>
    <w:rsid w:val="00CC5953"/>
    <w:rsid w:val="00CC7836"/>
    <w:rsid w:val="00CD5968"/>
    <w:rsid w:val="00CD5A40"/>
    <w:rsid w:val="00CE5203"/>
    <w:rsid w:val="00CE6873"/>
    <w:rsid w:val="00CF5B61"/>
    <w:rsid w:val="00CF7150"/>
    <w:rsid w:val="00D019BB"/>
    <w:rsid w:val="00D019D7"/>
    <w:rsid w:val="00D12AF5"/>
    <w:rsid w:val="00D1452A"/>
    <w:rsid w:val="00D17DAE"/>
    <w:rsid w:val="00D32F01"/>
    <w:rsid w:val="00D35E6A"/>
    <w:rsid w:val="00D433B4"/>
    <w:rsid w:val="00D436ED"/>
    <w:rsid w:val="00D52764"/>
    <w:rsid w:val="00D565C9"/>
    <w:rsid w:val="00D60566"/>
    <w:rsid w:val="00D6165A"/>
    <w:rsid w:val="00D65A6A"/>
    <w:rsid w:val="00D838BF"/>
    <w:rsid w:val="00D854CD"/>
    <w:rsid w:val="00D9197B"/>
    <w:rsid w:val="00D93163"/>
    <w:rsid w:val="00D931FA"/>
    <w:rsid w:val="00D93DA8"/>
    <w:rsid w:val="00DB06AB"/>
    <w:rsid w:val="00DB606E"/>
    <w:rsid w:val="00DC2345"/>
    <w:rsid w:val="00DC3074"/>
    <w:rsid w:val="00DC49BD"/>
    <w:rsid w:val="00DD25FE"/>
    <w:rsid w:val="00DD59C3"/>
    <w:rsid w:val="00DE6FE5"/>
    <w:rsid w:val="00DF4A8B"/>
    <w:rsid w:val="00DF785D"/>
    <w:rsid w:val="00E03F99"/>
    <w:rsid w:val="00E07BC3"/>
    <w:rsid w:val="00E14D45"/>
    <w:rsid w:val="00E20DEE"/>
    <w:rsid w:val="00E233D6"/>
    <w:rsid w:val="00E2526D"/>
    <w:rsid w:val="00E3513B"/>
    <w:rsid w:val="00E41691"/>
    <w:rsid w:val="00E41BFB"/>
    <w:rsid w:val="00E4235C"/>
    <w:rsid w:val="00E437BC"/>
    <w:rsid w:val="00E43C87"/>
    <w:rsid w:val="00E47B4C"/>
    <w:rsid w:val="00E5178A"/>
    <w:rsid w:val="00E540BA"/>
    <w:rsid w:val="00E54D6A"/>
    <w:rsid w:val="00E55E22"/>
    <w:rsid w:val="00E560A0"/>
    <w:rsid w:val="00E562C5"/>
    <w:rsid w:val="00E5734A"/>
    <w:rsid w:val="00E60A4E"/>
    <w:rsid w:val="00E61213"/>
    <w:rsid w:val="00E64F22"/>
    <w:rsid w:val="00E77183"/>
    <w:rsid w:val="00E773A2"/>
    <w:rsid w:val="00E85B50"/>
    <w:rsid w:val="00E85BE5"/>
    <w:rsid w:val="00E9256C"/>
    <w:rsid w:val="00E93301"/>
    <w:rsid w:val="00E957A1"/>
    <w:rsid w:val="00EA4796"/>
    <w:rsid w:val="00EB0ADF"/>
    <w:rsid w:val="00EB4331"/>
    <w:rsid w:val="00EC0FDC"/>
    <w:rsid w:val="00EC1E52"/>
    <w:rsid w:val="00ED1386"/>
    <w:rsid w:val="00ED3536"/>
    <w:rsid w:val="00ED4CD1"/>
    <w:rsid w:val="00ED7315"/>
    <w:rsid w:val="00EE1807"/>
    <w:rsid w:val="00EE6BF5"/>
    <w:rsid w:val="00EF0740"/>
    <w:rsid w:val="00EF5AC5"/>
    <w:rsid w:val="00F12372"/>
    <w:rsid w:val="00F16138"/>
    <w:rsid w:val="00F4475D"/>
    <w:rsid w:val="00F44878"/>
    <w:rsid w:val="00F46458"/>
    <w:rsid w:val="00F51234"/>
    <w:rsid w:val="00F55E08"/>
    <w:rsid w:val="00F6289F"/>
    <w:rsid w:val="00F636DD"/>
    <w:rsid w:val="00FA5421"/>
    <w:rsid w:val="00FD0651"/>
    <w:rsid w:val="00FD3D26"/>
    <w:rsid w:val="00FD4DBF"/>
    <w:rsid w:val="00FE26C0"/>
    <w:rsid w:val="00FE674F"/>
    <w:rsid w:val="00FE6EAC"/>
    <w:rsid w:val="00FF4D1F"/>
    <w:rsid w:val="00FF6A97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01"/>
  </w:style>
  <w:style w:type="paragraph" w:styleId="Ttulo1">
    <w:name w:val="heading 1"/>
    <w:basedOn w:val="Normal"/>
    <w:link w:val="Ttulo1Char"/>
    <w:uiPriority w:val="9"/>
    <w:qFormat/>
    <w:rsid w:val="00C5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5A6A"/>
  </w:style>
  <w:style w:type="character" w:styleId="Hyperlink">
    <w:name w:val="Hyperlink"/>
    <w:basedOn w:val="Fontepargpadro"/>
    <w:uiPriority w:val="99"/>
    <w:unhideWhenUsed/>
    <w:rsid w:val="00D65A6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0AAE"/>
    <w:rPr>
      <w:b/>
      <w:bCs/>
    </w:rPr>
  </w:style>
  <w:style w:type="character" w:customStyle="1" w:styleId="qterm">
    <w:name w:val="qterm"/>
    <w:basedOn w:val="Fontepargpadro"/>
    <w:rsid w:val="00040AAE"/>
  </w:style>
  <w:style w:type="paragraph" w:styleId="SemEspaamento">
    <w:name w:val="No Spacing"/>
    <w:uiPriority w:val="1"/>
    <w:qFormat/>
    <w:rsid w:val="00AB3BD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568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rl">
    <w:name w:val="url"/>
    <w:basedOn w:val="Fontepargpadro"/>
    <w:rsid w:val="00BE4FED"/>
  </w:style>
  <w:style w:type="character" w:customStyle="1" w:styleId="timeaccess">
    <w:name w:val="timeaccess"/>
    <w:basedOn w:val="Fontepargpadro"/>
    <w:rsid w:val="00BE4FED"/>
  </w:style>
  <w:style w:type="paragraph" w:styleId="NormalWeb">
    <w:name w:val="Normal (Web)"/>
    <w:basedOn w:val="Normal"/>
    <w:uiPriority w:val="99"/>
    <w:unhideWhenUsed/>
    <w:rsid w:val="004F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4B5"/>
    <w:pPr>
      <w:ind w:left="720"/>
      <w:contextualSpacing/>
    </w:pPr>
  </w:style>
  <w:style w:type="paragraph" w:customStyle="1" w:styleId="bodytextindent">
    <w:name w:val="bodytextindent"/>
    <w:basedOn w:val="Normal"/>
    <w:rsid w:val="003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EE5"/>
  </w:style>
  <w:style w:type="paragraph" w:styleId="Rodap">
    <w:name w:val="footer"/>
    <w:basedOn w:val="Normal"/>
    <w:link w:val="Rodap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EE5"/>
  </w:style>
  <w:style w:type="character" w:customStyle="1" w:styleId="apple-style-span">
    <w:name w:val="apple-style-span"/>
    <w:basedOn w:val="Fontepargpadro"/>
    <w:rsid w:val="0050564F"/>
  </w:style>
  <w:style w:type="character" w:styleId="HiperlinkVisitado">
    <w:name w:val="FollowedHyperlink"/>
    <w:basedOn w:val="Fontepargpadro"/>
    <w:uiPriority w:val="99"/>
    <w:semiHidden/>
    <w:unhideWhenUsed/>
    <w:rsid w:val="00691FC9"/>
    <w:rPr>
      <w:color w:val="800080" w:themeColor="followedHyperlink"/>
      <w:u w:val="single"/>
    </w:rPr>
  </w:style>
  <w:style w:type="paragraph" w:customStyle="1" w:styleId="Default">
    <w:name w:val="Default"/>
    <w:rsid w:val="00E20D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24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203"/>
    <w:rPr>
      <w:color w:val="808080"/>
    </w:rPr>
  </w:style>
  <w:style w:type="character" w:styleId="nfase">
    <w:name w:val="Emphasis"/>
    <w:basedOn w:val="Fontepargpadro"/>
    <w:uiPriority w:val="20"/>
    <w:qFormat/>
    <w:rsid w:val="00573501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6348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42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42DA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">
    <w:name w:val="art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mapn">
    <w:name w:val="temap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">
    <w:name w:val="eme"/>
    <w:basedOn w:val="Normal"/>
    <w:rsid w:val="008B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5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5A6A"/>
  </w:style>
  <w:style w:type="character" w:styleId="Hyperlink">
    <w:name w:val="Hyperlink"/>
    <w:basedOn w:val="Fontepargpadro"/>
    <w:uiPriority w:val="99"/>
    <w:unhideWhenUsed/>
    <w:rsid w:val="00D65A6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0AAE"/>
    <w:rPr>
      <w:b/>
      <w:bCs/>
    </w:rPr>
  </w:style>
  <w:style w:type="character" w:customStyle="1" w:styleId="qterm">
    <w:name w:val="qterm"/>
    <w:basedOn w:val="Fontepargpadro"/>
    <w:rsid w:val="00040AAE"/>
  </w:style>
  <w:style w:type="paragraph" w:styleId="SemEspaamento">
    <w:name w:val="No Spacing"/>
    <w:uiPriority w:val="1"/>
    <w:qFormat/>
    <w:rsid w:val="00AB3BD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568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rl">
    <w:name w:val="url"/>
    <w:basedOn w:val="Fontepargpadro"/>
    <w:rsid w:val="00BE4FED"/>
  </w:style>
  <w:style w:type="character" w:customStyle="1" w:styleId="timeaccess">
    <w:name w:val="timeaccess"/>
    <w:basedOn w:val="Fontepargpadro"/>
    <w:rsid w:val="00BE4FED"/>
  </w:style>
  <w:style w:type="paragraph" w:styleId="NormalWeb">
    <w:name w:val="Normal (Web)"/>
    <w:basedOn w:val="Normal"/>
    <w:uiPriority w:val="99"/>
    <w:unhideWhenUsed/>
    <w:rsid w:val="004F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4B5"/>
    <w:pPr>
      <w:ind w:left="720"/>
      <w:contextualSpacing/>
    </w:pPr>
  </w:style>
  <w:style w:type="paragraph" w:customStyle="1" w:styleId="bodytextindent">
    <w:name w:val="bodytextindent"/>
    <w:basedOn w:val="Normal"/>
    <w:rsid w:val="003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D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670">
          <w:marLeft w:val="225"/>
          <w:marRight w:val="0"/>
          <w:marTop w:val="225"/>
          <w:marBottom w:val="225"/>
          <w:divBdr>
            <w:top w:val="single" w:sz="12" w:space="8" w:color="CCCCCC"/>
            <w:left w:val="single" w:sz="12" w:space="4" w:color="CCCCCC"/>
            <w:bottom w:val="single" w:sz="12" w:space="2" w:color="CCCCCC"/>
            <w:right w:val="single" w:sz="12" w:space="4" w:color="CCCCCC"/>
          </w:divBdr>
        </w:div>
      </w:divsChild>
    </w:div>
    <w:div w:id="252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6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199">
          <w:marLeft w:val="60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1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5</Pages>
  <Words>1718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Mirtis</dc:creator>
  <cp:lastModifiedBy>estagiario</cp:lastModifiedBy>
  <cp:revision>68</cp:revision>
  <cp:lastPrinted>2013-09-11T13:59:00Z</cp:lastPrinted>
  <dcterms:created xsi:type="dcterms:W3CDTF">2012-10-10T02:48:00Z</dcterms:created>
  <dcterms:modified xsi:type="dcterms:W3CDTF">2015-03-17T13:17:00Z</dcterms:modified>
</cp:coreProperties>
</file>