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12" w:rsidRPr="00DE03C1" w:rsidRDefault="00DE03C1" w:rsidP="00DE03C1">
      <w:pPr>
        <w:jc w:val="center"/>
        <w:rPr>
          <w:b/>
        </w:rPr>
      </w:pPr>
      <w:r w:rsidRPr="00DE03C1">
        <w:rPr>
          <w:b/>
        </w:rPr>
        <w:t>A penhora de aposentadoria para o pagamento de pensão alimentícia</w:t>
      </w:r>
    </w:p>
    <w:p w:rsidR="00DE03C1" w:rsidRDefault="00DE03C1"/>
    <w:p w:rsidR="00C42E88" w:rsidRDefault="003B23D4" w:rsidP="002859E3">
      <w:pPr>
        <w:jc w:val="both"/>
      </w:pPr>
      <w:r>
        <w:t>Não são raras as vezes que o beneficiário de uma pensão alimentícia sofre com a inadimplência, muitas vezes contumaz, do devedor da pensão alimentícia.</w:t>
      </w:r>
    </w:p>
    <w:p w:rsidR="003B23D4" w:rsidRDefault="003B23D4" w:rsidP="002859E3">
      <w:pPr>
        <w:jc w:val="both"/>
      </w:pPr>
      <w:r>
        <w:t xml:space="preserve">Infelizmente a cultura de muitos pais e filhos (aqui me refiro aos casos em que os filhos devem pensão alimentícia aos pais) é de ocultar os rendimentos e os bens para que não sejam penhorados ou utilizados </w:t>
      </w:r>
      <w:r w:rsidR="002859E3">
        <w:t>n</w:t>
      </w:r>
      <w:r>
        <w:t>o pagamento da pensão alimentícia fixada judicialmente.</w:t>
      </w:r>
    </w:p>
    <w:p w:rsidR="003B23D4" w:rsidRDefault="002859E3" w:rsidP="002859E3">
      <w:pPr>
        <w:jc w:val="both"/>
      </w:pPr>
      <w:r>
        <w:t>Para nossa esperança, esta conduta tem sido muito bem combatida pelos Tribunais, haja vista o grande esforço que se tem feito na localização, penhora e alienação de bens de devedores para a satisfação de seus débitos.</w:t>
      </w:r>
    </w:p>
    <w:p w:rsidR="002859E3" w:rsidRDefault="002859E3" w:rsidP="002859E3">
      <w:pPr>
        <w:jc w:val="both"/>
      </w:pPr>
      <w:r>
        <w:t xml:space="preserve">E neste combate contra a inadimplência, cabe ao advogado </w:t>
      </w:r>
      <w:r w:rsidR="004A2BE9">
        <w:t xml:space="preserve">esmiuçar a Lei em busca de </w:t>
      </w:r>
      <w:r>
        <w:t>novas soluções jurídicas para ver satisfeito o crédito de seu cliente, observando sempre os parâmetros do art. 620 do Código de Processo Civil (</w:t>
      </w:r>
      <w:r w:rsidRPr="002859E3">
        <w:rPr>
          <w:rFonts w:ascii="Arial" w:hAnsi="Arial" w:cs="Arial"/>
          <w:i/>
          <w:sz w:val="20"/>
          <w:szCs w:val="20"/>
        </w:rPr>
        <w:t>Quando por vários meios o credor puder promover a execução, o juiz mandará que se faça pelo modo menos gravoso para o devedor</w:t>
      </w:r>
      <w:r>
        <w:t>).</w:t>
      </w:r>
    </w:p>
    <w:p w:rsidR="004A2BE9" w:rsidRDefault="004A2BE9" w:rsidP="002859E3">
      <w:pPr>
        <w:jc w:val="both"/>
      </w:pPr>
      <w:r>
        <w:t>Embora a Lei Processual diga que a aposentadoria é impenhorável (CPC, art. 649, IV), houve, por intermédio da Lei 11.382/2006, a inclusão de uma valiosa exceção (CPC, art. 649, §2º), na qual a mencionada impenhorabilidade da aposentadoria não se aplica para o pagamento de prestação alimentícia.</w:t>
      </w:r>
    </w:p>
    <w:p w:rsidR="002859E3" w:rsidRDefault="004A2BE9" w:rsidP="004A2BE9">
      <w:pPr>
        <w:jc w:val="both"/>
      </w:pPr>
      <w:r>
        <w:t xml:space="preserve">Tal permissão visa garantir, em muitos casos, a </w:t>
      </w:r>
      <w:r w:rsidR="002859E3" w:rsidRPr="004A2BE9">
        <w:t xml:space="preserve">única oportunidade de saldar os débitos de alimentos não pagos </w:t>
      </w:r>
      <w:r>
        <w:t>pelo devedor.</w:t>
      </w:r>
    </w:p>
    <w:p w:rsidR="002859E3" w:rsidRDefault="004A2BE9" w:rsidP="004A2BE9">
      <w:pPr>
        <w:jc w:val="both"/>
        <w:rPr>
          <w:rFonts w:ascii="Arial" w:hAnsi="Arial" w:cs="Arial"/>
          <w:sz w:val="24"/>
        </w:rPr>
      </w:pPr>
      <w:r>
        <w:t xml:space="preserve">Vale dizer que a </w:t>
      </w:r>
      <w:r w:rsidR="002859E3" w:rsidRPr="004A2BE9">
        <w:t>jurisprudência do Colendo Superior Tribunal de Justiça já firmou o entendimento sobre a possibilidade de penhora de aposentadoria para saldar dívida alimentícia.</w:t>
      </w:r>
    </w:p>
    <w:p w:rsidR="002859E3" w:rsidRPr="004A2BE9" w:rsidRDefault="002859E3" w:rsidP="00285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jc w:val="both"/>
      </w:pPr>
      <w:r w:rsidRPr="004A2BE9">
        <w:t>DIREITO CIVIL E PROCESSO CIVIL. FAMÍLIA. EXECUÇÃO DE ALIMENTOS. PENHORA DE APOSENTADORIA. POSSIBILIDADE. ART. 649, IV E VII, DO CPC.  PENHORA DA INTEGRALIDADE DO VALOR DA APOSENTADORIA. INADMISSIBILIDADE. NECESSIDADE DE FIXAÇÃO EM PERCENTUAL QUE POSSIBILITE A SUBSISTÊNCIA DO EXECUTADO-ALIMENTANTE.</w:t>
      </w:r>
    </w:p>
    <w:p w:rsidR="002859E3" w:rsidRPr="004A2BE9" w:rsidRDefault="002859E3" w:rsidP="00285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jc w:val="both"/>
      </w:pPr>
      <w:r w:rsidRPr="004A2BE9">
        <w:t>- Os proventos líquidos de aposentadoria podem ser penhorados para pagamento de execução de pensão alimentícia, não obstante o inc. VII, do art. 649, do CPC silencie a esse respeito.</w:t>
      </w:r>
    </w:p>
    <w:p w:rsidR="002859E3" w:rsidRPr="004A2BE9" w:rsidRDefault="002859E3" w:rsidP="00285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jc w:val="both"/>
      </w:pPr>
      <w:r w:rsidRPr="004A2BE9">
        <w:t>- Para pagamento de prestação alimentícia, não pode ser penhorada a integralidade dos proventos líquidos de aposentadoria, mas apenas um percentual que permita o indispensável à subsistência do executado-alimentante; que, na espécie, é fixado em 66% dos proventos líquidos da aposentadoria mensal do recorrente.</w:t>
      </w:r>
    </w:p>
    <w:p w:rsidR="002859E3" w:rsidRPr="004A2BE9" w:rsidRDefault="002859E3" w:rsidP="00285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jc w:val="both"/>
      </w:pPr>
      <w:r w:rsidRPr="004A2BE9">
        <w:lastRenderedPageBreak/>
        <w:t>Recurso especial provido apenas para adequação do percentual da penhora.</w:t>
      </w:r>
    </w:p>
    <w:p w:rsidR="002859E3" w:rsidRPr="004A2BE9" w:rsidRDefault="002859E3" w:rsidP="00285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jc w:val="both"/>
      </w:pPr>
      <w:r w:rsidRPr="004A2BE9">
        <w:t>(</w:t>
      </w:r>
      <w:proofErr w:type="spellStart"/>
      <w:proofErr w:type="gramStart"/>
      <w:r w:rsidRPr="004A2BE9">
        <w:t>REsp</w:t>
      </w:r>
      <w:proofErr w:type="spellEnd"/>
      <w:proofErr w:type="gramEnd"/>
      <w:r w:rsidRPr="004A2BE9">
        <w:t xml:space="preserve"> 770.797/RS, Rel. Ministra NANCY ANDRIGHI, TERCEIRA TURMA, julgado em 29/11/2006, DJ 18/12/2006, p. 377) (</w:t>
      </w:r>
      <w:proofErr w:type="spellStart"/>
      <w:r w:rsidRPr="004A2BE9">
        <w:t>g.n.</w:t>
      </w:r>
      <w:proofErr w:type="spellEnd"/>
      <w:r w:rsidRPr="004A2BE9">
        <w:t>)</w:t>
      </w:r>
    </w:p>
    <w:p w:rsidR="002859E3" w:rsidRDefault="002859E3" w:rsidP="002859E3">
      <w:pPr>
        <w:ind w:firstLine="3119"/>
        <w:jc w:val="both"/>
        <w:rPr>
          <w:rFonts w:ascii="Arial" w:hAnsi="Arial" w:cs="Arial"/>
          <w:sz w:val="24"/>
        </w:rPr>
      </w:pPr>
    </w:p>
    <w:p w:rsidR="002859E3" w:rsidRPr="004A2BE9" w:rsidRDefault="004A2BE9" w:rsidP="004A2BE9">
      <w:pPr>
        <w:jc w:val="both"/>
      </w:pPr>
      <w:r w:rsidRPr="004A2BE9">
        <w:t xml:space="preserve">Portanto, </w:t>
      </w:r>
      <w:r w:rsidR="002859E3" w:rsidRPr="004A2BE9">
        <w:t xml:space="preserve">considerando </w:t>
      </w:r>
      <w:r w:rsidRPr="004A2BE9">
        <w:t xml:space="preserve">a exceção introduzida pela </w:t>
      </w:r>
      <w:r>
        <w:t>Lei 11.382/2006 e</w:t>
      </w:r>
      <w:r w:rsidRPr="004A2BE9">
        <w:t xml:space="preserve"> </w:t>
      </w:r>
      <w:r w:rsidR="002859E3" w:rsidRPr="004A2BE9">
        <w:t xml:space="preserve">o precedente do Colendo Superior Tribunal de Justiça, </w:t>
      </w:r>
      <w:r>
        <w:t xml:space="preserve">atualmente </w:t>
      </w:r>
      <w:r w:rsidR="002859E3" w:rsidRPr="004A2BE9">
        <w:t xml:space="preserve">é </w:t>
      </w:r>
      <w:r>
        <w:t xml:space="preserve">plenamente possível </w:t>
      </w:r>
      <w:r w:rsidR="002859E3" w:rsidRPr="004A2BE9">
        <w:t>penhora</w:t>
      </w:r>
      <w:r>
        <w:t xml:space="preserve">r a aposentadoria do devedor de prestação alimentícia, sendo que a penhora poderá ser sobre até </w:t>
      </w:r>
      <w:r w:rsidR="002859E3" w:rsidRPr="004A2BE9">
        <w:t xml:space="preserve">66% dos proventos líquidos da aposentadoria do </w:t>
      </w:r>
      <w:r>
        <w:t>devedor.</w:t>
      </w:r>
      <w:r w:rsidR="002859E3" w:rsidRPr="004A2BE9">
        <w:t xml:space="preserve"> </w:t>
      </w:r>
    </w:p>
    <w:p w:rsidR="002859E3" w:rsidRDefault="002859E3" w:rsidP="002859E3">
      <w:pPr>
        <w:jc w:val="both"/>
      </w:pPr>
    </w:p>
    <w:p w:rsidR="002859E3" w:rsidRDefault="002859E3" w:rsidP="002859E3">
      <w:pPr>
        <w:jc w:val="both"/>
      </w:pPr>
    </w:p>
    <w:p w:rsidR="00C42E88" w:rsidRDefault="00C42E88"/>
    <w:p w:rsidR="00DE03C1" w:rsidRDefault="00DE03C1" w:rsidP="00DE03C1">
      <w:pPr>
        <w:ind w:firstLine="3119"/>
        <w:jc w:val="both"/>
        <w:rPr>
          <w:rFonts w:ascii="Arial" w:hAnsi="Arial" w:cs="Arial"/>
          <w:sz w:val="24"/>
        </w:rPr>
      </w:pPr>
    </w:p>
    <w:p w:rsidR="00DE03C1" w:rsidRDefault="00DE03C1"/>
    <w:sectPr w:rsidR="00DE03C1" w:rsidSect="00EF7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compat/>
  <w:rsids>
    <w:rsidRoot w:val="00DE03C1"/>
    <w:rsid w:val="0011603E"/>
    <w:rsid w:val="002859E3"/>
    <w:rsid w:val="003B23D4"/>
    <w:rsid w:val="004A2BE9"/>
    <w:rsid w:val="00542D52"/>
    <w:rsid w:val="00BA6186"/>
    <w:rsid w:val="00C42E88"/>
    <w:rsid w:val="00DE03C1"/>
    <w:rsid w:val="00E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5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Iranley</dc:creator>
  <cp:lastModifiedBy>Marcelo Iranley</cp:lastModifiedBy>
  <cp:revision>1</cp:revision>
  <dcterms:created xsi:type="dcterms:W3CDTF">2016-01-14T18:30:00Z</dcterms:created>
  <dcterms:modified xsi:type="dcterms:W3CDTF">2016-01-14T19:27:00Z</dcterms:modified>
</cp:coreProperties>
</file>