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CF" w:rsidRDefault="00A6665E">
      <w:pPr>
        <w:rPr>
          <w:rFonts w:ascii="Arial" w:hAnsi="Arial" w:cs="Arial"/>
          <w:sz w:val="36"/>
          <w:szCs w:val="36"/>
        </w:rPr>
      </w:pPr>
      <w:r w:rsidRPr="00A6665E">
        <w:rPr>
          <w:rFonts w:ascii="Arial" w:hAnsi="Arial" w:cs="Arial"/>
          <w:sz w:val="36"/>
          <w:szCs w:val="36"/>
        </w:rPr>
        <w:t>O funcionamento do mercado de crédito de carbono</w:t>
      </w:r>
    </w:p>
    <w:p w:rsidR="00A6665E" w:rsidRDefault="00A6665E">
      <w:pPr>
        <w:rPr>
          <w:rFonts w:ascii="Arial" w:hAnsi="Arial" w:cs="Arial"/>
          <w:sz w:val="36"/>
          <w:szCs w:val="36"/>
        </w:rPr>
      </w:pPr>
    </w:p>
    <w:p w:rsidR="00A6665E" w:rsidRPr="00A6665E" w:rsidRDefault="00A666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  <w:r w:rsidRPr="00A6665E">
        <w:rPr>
          <w:rFonts w:ascii="Arial" w:hAnsi="Arial" w:cs="Arial"/>
          <w:b/>
          <w:sz w:val="24"/>
          <w:szCs w:val="24"/>
        </w:rPr>
        <w:t xml:space="preserve"> </w:t>
      </w:r>
    </w:p>
    <w:p w:rsidR="00A6665E" w:rsidRDefault="00A666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pesquisa foi realizada com o intuito de agregar conhecimentos a um tema bastante relevante para a atualidade. O Crédito de Carbono,</w:t>
      </w:r>
      <w:r w:rsidR="00B269BE">
        <w:rPr>
          <w:rFonts w:ascii="Arial" w:hAnsi="Arial" w:cs="Arial"/>
          <w:sz w:val="24"/>
          <w:szCs w:val="24"/>
        </w:rPr>
        <w:t xml:space="preserve"> que surgiu como um ideal do Protocolo de Quioto, em solucionar o problema dos gases que poluem nossa atmosfera terrestre. Q</w:t>
      </w:r>
      <w:r>
        <w:rPr>
          <w:rFonts w:ascii="Arial" w:hAnsi="Arial" w:cs="Arial"/>
          <w:sz w:val="24"/>
          <w:szCs w:val="24"/>
        </w:rPr>
        <w:t>uer dizer 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cada tonelada de CO2 que não seja emitida na atmosfera por um país em desenvolvimento pode ser negociada no mercado mundial. </w:t>
      </w:r>
      <w:r w:rsidR="00C532DE">
        <w:rPr>
          <w:rFonts w:ascii="Arial" w:hAnsi="Arial" w:cs="Arial"/>
          <w:sz w:val="24"/>
          <w:szCs w:val="24"/>
        </w:rPr>
        <w:t xml:space="preserve">Ele é uma unidade comercial, com objetivos monetários. </w:t>
      </w:r>
      <w:bookmarkStart w:id="0" w:name="_GoBack"/>
      <w:bookmarkEnd w:id="0"/>
    </w:p>
    <w:p w:rsidR="00A6665E" w:rsidRDefault="00A6665E">
      <w:pPr>
        <w:rPr>
          <w:rFonts w:ascii="Arial" w:hAnsi="Arial" w:cs="Arial"/>
          <w:sz w:val="24"/>
          <w:szCs w:val="24"/>
        </w:rPr>
      </w:pPr>
    </w:p>
    <w:p w:rsidR="00A6665E" w:rsidRDefault="00A666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A6665E" w:rsidRDefault="00A666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meados do ano de 2000 surgiu um mercado que se voltava para a criação de projetos de redução de emissão dos gases tóxicos na atmosfera, que acabam causando o aquecimento global. </w:t>
      </w:r>
    </w:p>
    <w:p w:rsidR="00006470" w:rsidRDefault="000064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mercado surgiu a partir do Protocolo de Kyoto, que tinha como objetivo a redução da emissão dos gases poluentes, como o do Efeito Estufa. </w:t>
      </w:r>
    </w:p>
    <w:p w:rsidR="00006470" w:rsidRDefault="00B269BE">
      <w:pPr>
        <w:rPr>
          <w:rFonts w:ascii="Arial" w:hAnsi="Arial" w:cs="Arial"/>
          <w:color w:val="1729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72938"/>
          <w:sz w:val="24"/>
          <w:szCs w:val="24"/>
          <w:shd w:val="clear" w:color="auto" w:fill="FFFFFF"/>
        </w:rPr>
        <w:t>O Protocolo de Qui</w:t>
      </w:r>
      <w:r w:rsidR="00006470" w:rsidRPr="00006470">
        <w:rPr>
          <w:rFonts w:ascii="Arial" w:hAnsi="Arial" w:cs="Arial"/>
          <w:color w:val="172938"/>
          <w:sz w:val="24"/>
          <w:szCs w:val="24"/>
          <w:shd w:val="clear" w:color="auto" w:fill="FFFFFF"/>
        </w:rPr>
        <w:t>oto criou o MDL, que é o</w:t>
      </w:r>
      <w:proofErr w:type="gramStart"/>
      <w:r w:rsidR="00006470" w:rsidRPr="00006470">
        <w:rPr>
          <w:rFonts w:ascii="Arial" w:hAnsi="Arial" w:cs="Arial"/>
          <w:color w:val="172938"/>
          <w:sz w:val="24"/>
          <w:szCs w:val="24"/>
          <w:shd w:val="clear" w:color="auto" w:fill="FFFFFF"/>
        </w:rPr>
        <w:t xml:space="preserve">  </w:t>
      </w:r>
      <w:proofErr w:type="gramEnd"/>
      <w:r w:rsidR="00006470" w:rsidRPr="00006470">
        <w:rPr>
          <w:rFonts w:ascii="Arial" w:hAnsi="Arial" w:cs="Arial"/>
          <w:color w:val="172938"/>
          <w:sz w:val="24"/>
          <w:szCs w:val="24"/>
          <w:shd w:val="clear" w:color="auto" w:fill="FFFFFF"/>
        </w:rPr>
        <w:t>Mecanismo de Desenvolvimento Limpo, que prevê a redução certificada das emissões. Uma vez conquistada essa certificação, quem promove a redução da emissão de gases poluentes tem direito a créditos de carbono e pode comercializá-los com os países que têm metas a cumprir</w:t>
      </w:r>
      <w:r w:rsidR="00006470">
        <w:rPr>
          <w:rFonts w:ascii="Arial" w:hAnsi="Arial" w:cs="Arial"/>
          <w:color w:val="172938"/>
          <w:sz w:val="21"/>
          <w:szCs w:val="21"/>
          <w:shd w:val="clear" w:color="auto" w:fill="FFFFFF"/>
        </w:rPr>
        <w:t>.</w:t>
      </w:r>
    </w:p>
    <w:p w:rsidR="00D853A9" w:rsidRDefault="00D853A9">
      <w:pPr>
        <w:rPr>
          <w:rFonts w:ascii="Arial" w:hAnsi="Arial" w:cs="Arial"/>
          <w:color w:val="172938"/>
          <w:sz w:val="21"/>
          <w:szCs w:val="21"/>
          <w:shd w:val="clear" w:color="auto" w:fill="FFFFFF"/>
        </w:rPr>
      </w:pPr>
    </w:p>
    <w:p w:rsidR="00D853A9" w:rsidRDefault="002962F4" w:rsidP="00D853A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Mercado mundial dos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</w:t>
      </w:r>
      <w:r w:rsidR="00D853A9">
        <w:rPr>
          <w:rFonts w:ascii="Arial" w:hAnsi="Arial" w:cs="Arial"/>
          <w:sz w:val="24"/>
          <w:szCs w:val="24"/>
        </w:rPr>
        <w:t>rédito</w:t>
      </w:r>
      <w:r>
        <w:rPr>
          <w:rFonts w:ascii="Arial" w:hAnsi="Arial" w:cs="Arial"/>
          <w:sz w:val="24"/>
          <w:szCs w:val="24"/>
        </w:rPr>
        <w:t>s de C</w:t>
      </w:r>
      <w:r w:rsidR="00D853A9">
        <w:rPr>
          <w:rFonts w:ascii="Arial" w:hAnsi="Arial" w:cs="Arial"/>
          <w:sz w:val="24"/>
          <w:szCs w:val="24"/>
        </w:rPr>
        <w:t>arbono</w:t>
      </w:r>
    </w:p>
    <w:p w:rsidR="00D853A9" w:rsidRDefault="00D853A9" w:rsidP="00D8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crédito de carbono no comércio mundial</w:t>
      </w:r>
      <w:proofErr w:type="gramStart"/>
      <w:r>
        <w:rPr>
          <w:rFonts w:ascii="Arial" w:hAnsi="Arial" w:cs="Arial"/>
          <w:sz w:val="24"/>
          <w:szCs w:val="24"/>
        </w:rPr>
        <w:t>, está</w:t>
      </w:r>
      <w:proofErr w:type="gramEnd"/>
      <w:r>
        <w:rPr>
          <w:rFonts w:ascii="Arial" w:hAnsi="Arial" w:cs="Arial"/>
          <w:sz w:val="24"/>
          <w:szCs w:val="24"/>
        </w:rPr>
        <w:t xml:space="preserve"> movimentando bilhões de dólares. </w:t>
      </w:r>
    </w:p>
    <w:p w:rsidR="00D853A9" w:rsidRPr="002962F4" w:rsidRDefault="00D853A9" w:rsidP="00D8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a COP17, que foi realizada em 2011, na África do </w:t>
      </w:r>
      <w:proofErr w:type="gramStart"/>
      <w:r>
        <w:rPr>
          <w:rFonts w:ascii="Arial" w:hAnsi="Arial" w:cs="Arial"/>
          <w:sz w:val="24"/>
          <w:szCs w:val="24"/>
        </w:rPr>
        <w:t>sul ,</w:t>
      </w:r>
      <w:proofErr w:type="gramEnd"/>
      <w:r>
        <w:rPr>
          <w:rFonts w:ascii="Arial" w:hAnsi="Arial" w:cs="Arial"/>
          <w:sz w:val="24"/>
          <w:szCs w:val="24"/>
        </w:rPr>
        <w:t xml:space="preserve"> as metas de </w:t>
      </w:r>
      <w:r w:rsidR="00B269BE">
        <w:rPr>
          <w:rFonts w:ascii="Arial" w:hAnsi="Arial" w:cs="Arial"/>
          <w:sz w:val="24"/>
          <w:szCs w:val="24"/>
        </w:rPr>
        <w:t>Quioto</w:t>
      </w:r>
      <w:r>
        <w:rPr>
          <w:rFonts w:ascii="Arial" w:hAnsi="Arial" w:cs="Arial"/>
          <w:sz w:val="24"/>
          <w:szCs w:val="24"/>
        </w:rPr>
        <w:t xml:space="preserve"> tiveram um aum</w:t>
      </w:r>
      <w:r w:rsidR="002962F4">
        <w:rPr>
          <w:rFonts w:ascii="Arial" w:hAnsi="Arial" w:cs="Arial"/>
          <w:sz w:val="24"/>
          <w:szCs w:val="24"/>
        </w:rPr>
        <w:t xml:space="preserve">ento no corte de 25% para 40%. </w:t>
      </w:r>
      <w:r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“Isso pode significar um </w:t>
      </w:r>
      <w:r w:rsidRPr="002962F4">
        <w:rPr>
          <w:rFonts w:ascii="Arial" w:hAnsi="Arial" w:cs="Arial"/>
          <w:color w:val="172938"/>
          <w:sz w:val="24"/>
          <w:szCs w:val="24"/>
          <w:shd w:val="clear" w:color="auto" w:fill="FFFFFF"/>
        </w:rPr>
        <w:t xml:space="preserve">fomento nas atividades de crédito de carbono que </w:t>
      </w:r>
      <w:proofErr w:type="gramStart"/>
      <w:r w:rsidRPr="002962F4">
        <w:rPr>
          <w:rFonts w:ascii="Arial" w:hAnsi="Arial" w:cs="Arial"/>
          <w:color w:val="172938"/>
          <w:sz w:val="24"/>
          <w:szCs w:val="24"/>
          <w:shd w:val="clear" w:color="auto" w:fill="FFFFFF"/>
        </w:rPr>
        <w:t>andavam</w:t>
      </w:r>
      <w:proofErr w:type="gramEnd"/>
      <w:r w:rsidRPr="002962F4">
        <w:rPr>
          <w:rFonts w:ascii="Arial" w:hAnsi="Arial" w:cs="Arial"/>
          <w:color w:val="172938"/>
          <w:sz w:val="24"/>
          <w:szCs w:val="24"/>
          <w:shd w:val="clear" w:color="auto" w:fill="FFFFFF"/>
        </w:rPr>
        <w:t xml:space="preserve"> pouco atraentes”, disse Araújo, autor do livro “Como comercializar créditos de carbono”.</w:t>
      </w:r>
      <w:r w:rsidRPr="002962F4">
        <w:rPr>
          <w:rFonts w:ascii="Arial" w:hAnsi="Arial" w:cs="Arial"/>
          <w:sz w:val="24"/>
          <w:szCs w:val="24"/>
        </w:rPr>
        <w:t xml:space="preserve"> </w:t>
      </w:r>
    </w:p>
    <w:p w:rsidR="00D853A9" w:rsidRPr="002962F4" w:rsidRDefault="002962F4" w:rsidP="00D853A9">
      <w:pPr>
        <w:rPr>
          <w:rFonts w:ascii="Arial" w:hAnsi="Arial" w:cs="Arial"/>
          <w:sz w:val="24"/>
          <w:szCs w:val="24"/>
        </w:rPr>
      </w:pPr>
      <w:r w:rsidRPr="002962F4">
        <w:rPr>
          <w:rFonts w:ascii="Arial" w:hAnsi="Arial" w:cs="Arial"/>
          <w:color w:val="172938"/>
          <w:sz w:val="24"/>
          <w:szCs w:val="24"/>
          <w:shd w:val="clear" w:color="auto" w:fill="FFFFFF"/>
        </w:rPr>
        <w:t xml:space="preserve">O mecanismo incentivou a criação de novas tecnologias para a redução das emissões de gases poluentes no </w:t>
      </w:r>
      <w:proofErr w:type="gramStart"/>
      <w:r w:rsidRPr="002962F4">
        <w:rPr>
          <w:rFonts w:ascii="Arial" w:hAnsi="Arial" w:cs="Arial"/>
          <w:color w:val="172938"/>
          <w:sz w:val="24"/>
          <w:szCs w:val="24"/>
          <w:shd w:val="clear" w:color="auto" w:fill="FFFFFF"/>
        </w:rPr>
        <w:t>Brasil.</w:t>
      </w:r>
      <w:proofErr w:type="gramEnd"/>
      <w:r w:rsidRPr="002962F4">
        <w:rPr>
          <w:rFonts w:ascii="Arial" w:hAnsi="Arial" w:cs="Arial"/>
          <w:color w:val="172938"/>
          <w:sz w:val="24"/>
          <w:szCs w:val="24"/>
          <w:shd w:val="clear" w:color="auto" w:fill="FFFFFF"/>
        </w:rPr>
        <w:t xml:space="preserve">Com as oportunidades de lucro no mercado mundial de crédito de carbono para vários países, faz com que acabem investindo em países em desenvolvimento, como é o caso do Brasil. </w:t>
      </w:r>
      <w:r w:rsidRPr="002962F4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</w:t>
      </w:r>
    </w:p>
    <w:p w:rsidR="00006470" w:rsidRDefault="0026159E">
      <w:pPr>
        <w:rPr>
          <w:rFonts w:ascii="Arial" w:hAnsi="Arial" w:cs="Arial"/>
          <w:color w:val="172938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fazer os cálculos, precisa saber que </w:t>
      </w:r>
      <w:r>
        <w:rPr>
          <w:rFonts w:ascii="Arial" w:hAnsi="Arial" w:cs="Arial"/>
          <w:color w:val="172938"/>
          <w:sz w:val="21"/>
          <w:szCs w:val="21"/>
          <w:shd w:val="clear" w:color="auto" w:fill="FFFFFF"/>
        </w:rPr>
        <w:t>A redução de emissões de Gases de Efeito Estufa é medida em toneladas de dióxido de carbono equivalen</w:t>
      </w:r>
      <w:r w:rsidR="00E04374"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te. Cada tonelada de </w:t>
      </w:r>
      <w:proofErr w:type="gramStart"/>
      <w:r w:rsidR="00E04374">
        <w:rPr>
          <w:rFonts w:ascii="Arial" w:hAnsi="Arial" w:cs="Arial"/>
          <w:color w:val="172938"/>
          <w:sz w:val="21"/>
          <w:szCs w:val="21"/>
          <w:shd w:val="clear" w:color="auto" w:fill="FFFFFF"/>
        </w:rPr>
        <w:t>CO2e</w:t>
      </w:r>
      <w:proofErr w:type="gramEnd"/>
      <w:r w:rsidR="00E04374"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 reduzida ou removida da atmosfera corresponde a uma unidade emitida pelo Conselho Executivo do MDL. Cada tonelada de CO2 equivale a </w:t>
      </w:r>
      <w:proofErr w:type="gramStart"/>
      <w:r w:rsidR="00E04374">
        <w:rPr>
          <w:rFonts w:ascii="Arial" w:hAnsi="Arial" w:cs="Arial"/>
          <w:color w:val="172938"/>
          <w:sz w:val="21"/>
          <w:szCs w:val="21"/>
          <w:shd w:val="clear" w:color="auto" w:fill="FFFFFF"/>
        </w:rPr>
        <w:t>um(</w:t>
      </w:r>
      <w:proofErr w:type="gramEnd"/>
      <w:r w:rsidR="00E04374"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1) crédito de carbono. A </w:t>
      </w:r>
      <w:proofErr w:type="spellStart"/>
      <w:r w:rsidR="00E04374">
        <w:rPr>
          <w:rFonts w:ascii="Arial" w:hAnsi="Arial" w:cs="Arial"/>
          <w:color w:val="172938"/>
          <w:sz w:val="21"/>
          <w:szCs w:val="21"/>
          <w:shd w:val="clear" w:color="auto" w:fill="FFFFFF"/>
        </w:rPr>
        <w:t>idéia</w:t>
      </w:r>
      <w:proofErr w:type="spellEnd"/>
      <w:r w:rsidR="00E04374"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 do MDL é que cada tonelada de CO2</w:t>
      </w:r>
      <w:proofErr w:type="gramStart"/>
      <w:r w:rsidR="00E04374"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  </w:t>
      </w:r>
      <w:proofErr w:type="gramEnd"/>
      <w:r w:rsidR="00E04374"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não emitida possa ser negociada no mercado mundial por meio de Certificados de Emissões Reduzidas. </w:t>
      </w:r>
    </w:p>
    <w:p w:rsidR="00E04374" w:rsidRDefault="00E04374">
      <w:pPr>
        <w:rPr>
          <w:rFonts w:ascii="Arial" w:hAnsi="Arial" w:cs="Arial"/>
          <w:color w:val="172938"/>
          <w:sz w:val="21"/>
          <w:szCs w:val="21"/>
          <w:shd w:val="clear" w:color="auto" w:fill="FFFFFF"/>
        </w:rPr>
      </w:pPr>
    </w:p>
    <w:p w:rsidR="00E04374" w:rsidRDefault="00E04374" w:rsidP="00E0437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funciona o Mercado do Carbono</w:t>
      </w:r>
    </w:p>
    <w:p w:rsidR="00E04374" w:rsidRDefault="00E04374" w:rsidP="00C532DE">
      <w:pPr>
        <w:rPr>
          <w:rFonts w:ascii="Arial" w:hAnsi="Arial" w:cs="Arial"/>
          <w:sz w:val="24"/>
          <w:szCs w:val="24"/>
        </w:rPr>
      </w:pPr>
      <w:r w:rsidRPr="00C532DE">
        <w:rPr>
          <w:rFonts w:ascii="Arial" w:hAnsi="Arial" w:cs="Arial"/>
          <w:sz w:val="24"/>
          <w:szCs w:val="24"/>
        </w:rPr>
        <w:t xml:space="preserve">Existe um processo que limita a emissão de gases, que por sua vez tem uma expressão: </w:t>
      </w:r>
      <w:proofErr w:type="gramStart"/>
      <w:r w:rsidRPr="00C532DE">
        <w:rPr>
          <w:rFonts w:ascii="Arial" w:hAnsi="Arial" w:cs="Arial"/>
          <w:sz w:val="24"/>
          <w:szCs w:val="24"/>
        </w:rPr>
        <w:t xml:space="preserve">“ </w:t>
      </w:r>
      <w:proofErr w:type="spellStart"/>
      <w:proofErr w:type="gramEnd"/>
      <w:r w:rsidRPr="00C532DE">
        <w:rPr>
          <w:rFonts w:ascii="Arial" w:hAnsi="Arial" w:cs="Arial"/>
          <w:sz w:val="24"/>
          <w:szCs w:val="24"/>
        </w:rPr>
        <w:t>cap</w:t>
      </w:r>
      <w:proofErr w:type="spellEnd"/>
      <w:r w:rsidRPr="00C532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2DE">
        <w:rPr>
          <w:rFonts w:ascii="Arial" w:hAnsi="Arial" w:cs="Arial"/>
          <w:sz w:val="24"/>
          <w:szCs w:val="24"/>
        </w:rPr>
        <w:t>and</w:t>
      </w:r>
      <w:proofErr w:type="spellEnd"/>
      <w:r w:rsidRPr="00C532DE">
        <w:rPr>
          <w:rFonts w:ascii="Arial" w:hAnsi="Arial" w:cs="Arial"/>
          <w:sz w:val="24"/>
          <w:szCs w:val="24"/>
        </w:rPr>
        <w:t xml:space="preserve"> trade” . Através desse modelo, é </w:t>
      </w:r>
      <w:proofErr w:type="gramStart"/>
      <w:r w:rsidRPr="00C532DE">
        <w:rPr>
          <w:rFonts w:ascii="Arial" w:hAnsi="Arial" w:cs="Arial"/>
          <w:sz w:val="24"/>
          <w:szCs w:val="24"/>
        </w:rPr>
        <w:t>criado</w:t>
      </w:r>
      <w:proofErr w:type="gramEnd"/>
      <w:r w:rsidRPr="00C532DE">
        <w:rPr>
          <w:rFonts w:ascii="Arial" w:hAnsi="Arial" w:cs="Arial"/>
          <w:sz w:val="24"/>
          <w:szCs w:val="24"/>
        </w:rPr>
        <w:t xml:space="preserve"> a estrutura do mercado de carbono, pois faz com que as empresas que são grandes emissoras de gases comprem os créditos excedentes das companhias que emitem menos. </w:t>
      </w:r>
    </w:p>
    <w:p w:rsidR="00C532DE" w:rsidRDefault="00C532DE" w:rsidP="00C532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campo de trocas é realizado pelo Conselho Executivo do MDL, que permite a países com altas emissões de carbono comprar o que excede das cotas de países que por sua vez, produzem menos quantidade de CO2. </w:t>
      </w:r>
    </w:p>
    <w:p w:rsidR="00DC271A" w:rsidRDefault="00DC271A" w:rsidP="00C532DE">
      <w:pPr>
        <w:rPr>
          <w:rFonts w:ascii="Arial" w:hAnsi="Arial" w:cs="Arial"/>
          <w:sz w:val="24"/>
          <w:szCs w:val="24"/>
        </w:rPr>
      </w:pPr>
    </w:p>
    <w:p w:rsidR="00DC271A" w:rsidRDefault="00DC271A" w:rsidP="00DC271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Compras e vendas de créditos de carbono</w:t>
      </w:r>
    </w:p>
    <w:p w:rsidR="00F30680" w:rsidRDefault="00F30680" w:rsidP="00F30680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Brasil, a compra e venda </w:t>
      </w:r>
      <w:proofErr w:type="gramStart"/>
      <w:r>
        <w:rPr>
          <w:rFonts w:ascii="Arial" w:hAnsi="Arial" w:cs="Arial"/>
          <w:sz w:val="24"/>
          <w:szCs w:val="24"/>
        </w:rPr>
        <w:t>acontece por meio de leilões, promovidos</w:t>
      </w:r>
      <w:proofErr w:type="gramEnd"/>
      <w:r>
        <w:rPr>
          <w:rFonts w:ascii="Arial" w:hAnsi="Arial" w:cs="Arial"/>
          <w:sz w:val="24"/>
          <w:szCs w:val="24"/>
        </w:rPr>
        <w:t xml:space="preserve"> através da BM&amp;FBOVESPA a pedido de entidades públicas ou privadas. As transações são realizadas via internet, e os leilões tem suas regras divulgadas através de anúncios públicos ou editais. </w:t>
      </w:r>
    </w:p>
    <w:p w:rsidR="00F30680" w:rsidRDefault="00F30680" w:rsidP="00F30680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na Europa, é utilizada a metodologia </w:t>
      </w:r>
      <w:r w:rsidR="00E710CB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E710CB">
        <w:rPr>
          <w:rFonts w:ascii="Arial" w:hAnsi="Arial" w:cs="Arial"/>
          <w:sz w:val="24"/>
          <w:szCs w:val="24"/>
        </w:rPr>
        <w:t>cap</w:t>
      </w:r>
      <w:proofErr w:type="spellEnd"/>
      <w:r w:rsidR="00E71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0CB">
        <w:rPr>
          <w:rFonts w:ascii="Arial" w:hAnsi="Arial" w:cs="Arial"/>
          <w:sz w:val="24"/>
          <w:szCs w:val="24"/>
        </w:rPr>
        <w:t>and</w:t>
      </w:r>
      <w:proofErr w:type="spellEnd"/>
      <w:r w:rsidR="00E710CB">
        <w:rPr>
          <w:rFonts w:ascii="Arial" w:hAnsi="Arial" w:cs="Arial"/>
          <w:sz w:val="24"/>
          <w:szCs w:val="24"/>
        </w:rPr>
        <w:t xml:space="preserve"> trade. Essa estrutura de compra e venda compreende 31 países e 45% das emissões de gases causadores do efeito estufa. É permitida a compra de créditos internacionais, porém em uma quantidade limitada. </w:t>
      </w:r>
    </w:p>
    <w:p w:rsidR="00B75284" w:rsidRDefault="00B75284" w:rsidP="00F30680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EUA</w:t>
      </w:r>
      <w:proofErr w:type="gramStart"/>
      <w:r>
        <w:rPr>
          <w:rFonts w:ascii="Arial" w:hAnsi="Arial" w:cs="Arial"/>
          <w:sz w:val="24"/>
          <w:szCs w:val="24"/>
        </w:rPr>
        <w:t>, possuem</w:t>
      </w:r>
      <w:proofErr w:type="gramEnd"/>
      <w:r>
        <w:rPr>
          <w:rFonts w:ascii="Arial" w:hAnsi="Arial" w:cs="Arial"/>
          <w:sz w:val="24"/>
          <w:szCs w:val="24"/>
        </w:rPr>
        <w:t xml:space="preserve"> algumas empresas que se propuseram a organizar a realização das compras e vendas de crédito de carbono, algumas delas são: Chicago </w:t>
      </w:r>
      <w:proofErr w:type="spellStart"/>
      <w:r>
        <w:rPr>
          <w:rFonts w:ascii="Arial" w:hAnsi="Arial" w:cs="Arial"/>
          <w:sz w:val="24"/>
          <w:szCs w:val="24"/>
        </w:rPr>
        <w:t>Climate</w:t>
      </w:r>
      <w:proofErr w:type="spellEnd"/>
      <w:r>
        <w:rPr>
          <w:rFonts w:ascii="Arial" w:hAnsi="Arial" w:cs="Arial"/>
          <w:sz w:val="24"/>
          <w:szCs w:val="24"/>
        </w:rPr>
        <w:t xml:space="preserve"> Exchange, a Regional </w:t>
      </w:r>
      <w:proofErr w:type="spellStart"/>
      <w:r>
        <w:rPr>
          <w:rFonts w:ascii="Arial" w:hAnsi="Arial" w:cs="Arial"/>
          <w:sz w:val="24"/>
          <w:szCs w:val="24"/>
        </w:rPr>
        <w:t>Greenhouse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Initiative</w:t>
      </w:r>
      <w:proofErr w:type="spellEnd"/>
      <w:r>
        <w:rPr>
          <w:rFonts w:ascii="Arial" w:hAnsi="Arial" w:cs="Arial"/>
          <w:sz w:val="24"/>
          <w:szCs w:val="24"/>
        </w:rPr>
        <w:t xml:space="preserve"> e a Western </w:t>
      </w:r>
      <w:proofErr w:type="spellStart"/>
      <w:r>
        <w:rPr>
          <w:rFonts w:ascii="Arial" w:hAnsi="Arial" w:cs="Arial"/>
          <w:sz w:val="24"/>
          <w:szCs w:val="24"/>
        </w:rPr>
        <w:t>Climate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Initiative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75284" w:rsidRDefault="00B75284" w:rsidP="00F30680">
      <w:pPr>
        <w:ind w:left="284"/>
        <w:rPr>
          <w:rFonts w:ascii="Arial" w:hAnsi="Arial" w:cs="Arial"/>
          <w:sz w:val="24"/>
          <w:szCs w:val="24"/>
        </w:rPr>
      </w:pPr>
    </w:p>
    <w:p w:rsidR="00B75284" w:rsidRDefault="00B75284" w:rsidP="00F30680">
      <w:pPr>
        <w:ind w:left="284"/>
        <w:rPr>
          <w:rFonts w:ascii="Arial" w:hAnsi="Arial" w:cs="Arial"/>
          <w:b/>
          <w:sz w:val="24"/>
          <w:szCs w:val="24"/>
        </w:rPr>
      </w:pPr>
      <w:r w:rsidRPr="00B75284">
        <w:rPr>
          <w:rFonts w:ascii="Arial" w:hAnsi="Arial" w:cs="Arial"/>
          <w:b/>
          <w:sz w:val="24"/>
          <w:szCs w:val="24"/>
        </w:rPr>
        <w:t>Conclusão</w:t>
      </w:r>
      <w:proofErr w:type="gramStart"/>
      <w:r w:rsidRPr="00B75284">
        <w:rPr>
          <w:rFonts w:ascii="Arial" w:hAnsi="Arial" w:cs="Arial"/>
          <w:b/>
          <w:sz w:val="24"/>
          <w:szCs w:val="24"/>
        </w:rPr>
        <w:t xml:space="preserve">  </w:t>
      </w:r>
    </w:p>
    <w:p w:rsidR="00B75284" w:rsidRDefault="00B2678C" w:rsidP="00F30680">
      <w:pPr>
        <w:ind w:left="284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O Protocolo de Quioto teve como finalidade uma redução de gases tóxicos, que estavam sendo liberados na atmosfera. O efeito estufa, um problema mundial. </w:t>
      </w:r>
    </w:p>
    <w:p w:rsidR="00B2678C" w:rsidRDefault="00B2678C" w:rsidP="00B2678C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Uma das alternativas de redução de gases é o MDL, firmado entre dois Estados, fazendo assim com que viesse a existir os Créditos de Carbono. Os países que fazem parte do acordo são obrigados a reduzirem a emissão de gases. </w:t>
      </w:r>
    </w:p>
    <w:p w:rsidR="00B2678C" w:rsidRPr="00B2678C" w:rsidRDefault="00B2678C" w:rsidP="00B2678C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comércio de</w:t>
      </w:r>
      <w:r w:rsidR="00B269BE">
        <w:rPr>
          <w:rFonts w:ascii="Arial" w:hAnsi="Arial" w:cs="Arial"/>
          <w:sz w:val="24"/>
          <w:szCs w:val="24"/>
        </w:rPr>
        <w:t>sses Créditos de Carbono, está</w:t>
      </w:r>
      <w:r>
        <w:rPr>
          <w:rFonts w:ascii="Arial" w:hAnsi="Arial" w:cs="Arial"/>
          <w:sz w:val="24"/>
          <w:szCs w:val="24"/>
        </w:rPr>
        <w:t xml:space="preserve"> movimentando a economia mundial</w:t>
      </w:r>
      <w:proofErr w:type="gramStart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o que resulta em um positivo crescimento para os países em desenvolvimento. </w:t>
      </w:r>
      <w:r w:rsidR="00B269BE">
        <w:rPr>
          <w:rFonts w:ascii="Arial" w:hAnsi="Arial" w:cs="Arial"/>
          <w:sz w:val="24"/>
          <w:szCs w:val="24"/>
        </w:rPr>
        <w:t xml:space="preserve">O Brasil é um exemplo. </w:t>
      </w:r>
    </w:p>
    <w:p w:rsidR="00B75284" w:rsidRDefault="00B75284" w:rsidP="00F30680">
      <w:pPr>
        <w:ind w:left="284"/>
        <w:rPr>
          <w:rFonts w:ascii="Arial" w:hAnsi="Arial" w:cs="Arial"/>
          <w:b/>
          <w:sz w:val="24"/>
          <w:szCs w:val="24"/>
        </w:rPr>
      </w:pPr>
    </w:p>
    <w:p w:rsidR="00B75284" w:rsidRDefault="00B75284" w:rsidP="00F30680">
      <w:pPr>
        <w:ind w:left="284"/>
        <w:rPr>
          <w:rFonts w:ascii="Arial" w:hAnsi="Arial" w:cs="Arial"/>
          <w:b/>
          <w:sz w:val="24"/>
          <w:szCs w:val="24"/>
        </w:rPr>
      </w:pPr>
    </w:p>
    <w:p w:rsidR="00B75284" w:rsidRDefault="00B75284" w:rsidP="00F30680">
      <w:pPr>
        <w:ind w:left="284"/>
        <w:rPr>
          <w:rFonts w:ascii="Arial" w:hAnsi="Arial" w:cs="Arial"/>
          <w:b/>
          <w:sz w:val="24"/>
          <w:szCs w:val="24"/>
        </w:rPr>
      </w:pPr>
    </w:p>
    <w:p w:rsidR="00B75284" w:rsidRDefault="00B75284" w:rsidP="00F30680">
      <w:pPr>
        <w:ind w:left="284"/>
        <w:rPr>
          <w:rFonts w:ascii="Arial" w:hAnsi="Arial" w:cs="Arial"/>
          <w:b/>
          <w:sz w:val="24"/>
          <w:szCs w:val="24"/>
        </w:rPr>
      </w:pPr>
    </w:p>
    <w:p w:rsidR="00B75284" w:rsidRDefault="00B75284" w:rsidP="00F30680">
      <w:pPr>
        <w:ind w:left="284"/>
        <w:rPr>
          <w:rFonts w:ascii="Arial" w:hAnsi="Arial" w:cs="Arial"/>
          <w:b/>
          <w:sz w:val="24"/>
          <w:szCs w:val="24"/>
        </w:rPr>
      </w:pPr>
    </w:p>
    <w:p w:rsidR="00B75284" w:rsidRDefault="00B75284" w:rsidP="00F30680">
      <w:p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Fonte:</w:t>
      </w:r>
    </w:p>
    <w:p w:rsidR="00B75284" w:rsidRDefault="00B75284" w:rsidP="00B75284">
      <w:pPr>
        <w:ind w:left="284"/>
        <w:rPr>
          <w:rFonts w:ascii="Arial" w:hAnsi="Arial" w:cs="Arial"/>
          <w:sz w:val="24"/>
          <w:szCs w:val="24"/>
        </w:rPr>
      </w:pPr>
      <w:r w:rsidRPr="00B75284">
        <w:rPr>
          <w:rFonts w:ascii="Arial" w:hAnsi="Arial" w:cs="Arial"/>
          <w:sz w:val="24"/>
          <w:szCs w:val="24"/>
        </w:rPr>
        <w:t>Portal Brasil</w:t>
      </w:r>
      <w:r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Pr="00023042">
          <w:rPr>
            <w:rStyle w:val="Hyperlink"/>
            <w:rFonts w:ascii="Arial" w:hAnsi="Arial" w:cs="Arial"/>
            <w:sz w:val="24"/>
            <w:szCs w:val="24"/>
          </w:rPr>
          <w:t>http://www.brasil.gov.br/meio-ambiente/2012/04/entenda-como-funciona-o-mercado-de-credito-de-carbono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B75284" w:rsidRDefault="00B75284" w:rsidP="00B75284">
      <w:pPr>
        <w:spacing w:line="252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</w:t>
      </w:r>
    </w:p>
    <w:p w:rsidR="00B75284" w:rsidRPr="00B75284" w:rsidRDefault="00B75284" w:rsidP="00B75284">
      <w:pPr>
        <w:pStyle w:val="Ttulo1"/>
        <w:spacing w:before="150" w:after="150" w:line="300" w:lineRule="atLeas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 xml:space="preserve">    Araújo, </w:t>
      </w:r>
      <w:r w:rsidRPr="00B75284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Antônio Carlos Porto.  </w:t>
      </w:r>
      <w:r w:rsidRPr="00B75284">
        <w:rPr>
          <w:rFonts w:ascii="Arial" w:hAnsi="Arial" w:cs="Arial"/>
          <w:b w:val="0"/>
          <w:bCs w:val="0"/>
          <w:color w:val="333333"/>
          <w:sz w:val="24"/>
          <w:szCs w:val="24"/>
        </w:rPr>
        <w:t>Como Comercializar Créditos de Carbono</w:t>
      </w:r>
      <w:r>
        <w:rPr>
          <w:rStyle w:val="apple-converted-space"/>
          <w:rFonts w:ascii="Arial" w:hAnsi="Arial" w:cs="Arial"/>
          <w:b w:val="0"/>
          <w:bCs w:val="0"/>
          <w:color w:val="333333"/>
          <w:sz w:val="24"/>
          <w:szCs w:val="24"/>
        </w:rPr>
        <w:t xml:space="preserve">. 6ª edição. </w:t>
      </w:r>
    </w:p>
    <w:p w:rsidR="00B75284" w:rsidRPr="00B75284" w:rsidRDefault="00B75284" w:rsidP="00B75284">
      <w:pPr>
        <w:spacing w:after="150" w:line="25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B75284" w:rsidRPr="00B75284" w:rsidRDefault="00B75284" w:rsidP="00B75284">
      <w:pPr>
        <w:ind w:left="284"/>
        <w:rPr>
          <w:rFonts w:ascii="Arial" w:hAnsi="Arial" w:cs="Arial"/>
          <w:sz w:val="24"/>
          <w:szCs w:val="24"/>
        </w:rPr>
      </w:pPr>
    </w:p>
    <w:sectPr w:rsidR="00B75284" w:rsidRPr="00B7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79F"/>
    <w:multiLevelType w:val="hybridMultilevel"/>
    <w:tmpl w:val="A8567D56"/>
    <w:lvl w:ilvl="0" w:tplc="C0FAE85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172938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5E"/>
    <w:rsid w:val="00006470"/>
    <w:rsid w:val="0026159E"/>
    <w:rsid w:val="002962F4"/>
    <w:rsid w:val="00A6665E"/>
    <w:rsid w:val="00B25E0B"/>
    <w:rsid w:val="00B2678C"/>
    <w:rsid w:val="00B269BE"/>
    <w:rsid w:val="00B75284"/>
    <w:rsid w:val="00C466CF"/>
    <w:rsid w:val="00C532DE"/>
    <w:rsid w:val="00D853A9"/>
    <w:rsid w:val="00DC271A"/>
    <w:rsid w:val="00E04374"/>
    <w:rsid w:val="00E710CB"/>
    <w:rsid w:val="00F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5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75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53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5284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7528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75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diasocialspan">
    <w:name w:val="mediasocialspan"/>
    <w:basedOn w:val="Fontepargpadro"/>
    <w:rsid w:val="00B75284"/>
  </w:style>
  <w:style w:type="character" w:customStyle="1" w:styleId="apple-converted-space">
    <w:name w:val="apple-converted-space"/>
    <w:basedOn w:val="Fontepargpadro"/>
    <w:rsid w:val="00B75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5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75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53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5284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7528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75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diasocialspan">
    <w:name w:val="mediasocialspan"/>
    <w:basedOn w:val="Fontepargpadro"/>
    <w:rsid w:val="00B75284"/>
  </w:style>
  <w:style w:type="character" w:customStyle="1" w:styleId="apple-converted-space">
    <w:name w:val="apple-converted-space"/>
    <w:basedOn w:val="Fontepargpadro"/>
    <w:rsid w:val="00B7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1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758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64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454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966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sil.gov.br/meio-ambiente/2012/04/entenda-como-funciona-o-mercado-de-credito-de-carbo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Maciel</dc:creator>
  <cp:lastModifiedBy>Natália Maciel</cp:lastModifiedBy>
  <cp:revision>2</cp:revision>
  <dcterms:created xsi:type="dcterms:W3CDTF">2015-12-23T13:59:00Z</dcterms:created>
  <dcterms:modified xsi:type="dcterms:W3CDTF">2015-12-23T21:41:00Z</dcterms:modified>
</cp:coreProperties>
</file>