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B87" w:rsidRPr="00995832" w:rsidRDefault="00375B87" w:rsidP="00F158CA">
      <w:pPr>
        <w:jc w:val="center"/>
        <w:rPr>
          <w:rFonts w:ascii="Times New Roman" w:hAnsi="Times New Roman"/>
          <w:sz w:val="28"/>
        </w:rPr>
      </w:pPr>
      <w:bookmarkStart w:id="0" w:name="_GoBack"/>
    </w:p>
    <w:p w:rsidR="00A33AEC" w:rsidRPr="00995832" w:rsidRDefault="00A33AEC" w:rsidP="00F158CA">
      <w:pPr>
        <w:jc w:val="center"/>
        <w:rPr>
          <w:rFonts w:ascii="Times New Roman" w:hAnsi="Times New Roman"/>
          <w:sz w:val="28"/>
        </w:rPr>
      </w:pPr>
      <w:r w:rsidRPr="00995832">
        <w:rPr>
          <w:rFonts w:ascii="Times New Roman" w:hAnsi="Times New Roman"/>
          <w:sz w:val="28"/>
        </w:rPr>
        <w:t>SINOPSE DO CASE: CRIME FALIMENTAR EM FACE DE SIMULAÇÃO DE AUMENTO DE CAPITAL SOCIAL</w:t>
      </w:r>
      <w:r w:rsidR="00F158CA" w:rsidRPr="00995832">
        <w:rPr>
          <w:rFonts w:ascii="Times New Roman" w:hAnsi="Times New Roman"/>
          <w:sz w:val="28"/>
        </w:rPr>
        <w:t>¹</w:t>
      </w:r>
    </w:p>
    <w:p w:rsidR="00A33AEC" w:rsidRPr="00995832" w:rsidRDefault="00A33AEC" w:rsidP="00A33AEC">
      <w:pPr>
        <w:spacing w:line="360" w:lineRule="auto"/>
        <w:jc w:val="center"/>
        <w:rPr>
          <w:rFonts w:ascii="Times New Roman" w:hAnsi="Times New Roman"/>
        </w:rPr>
      </w:pPr>
    </w:p>
    <w:p w:rsidR="00A33AEC" w:rsidRPr="00995832" w:rsidRDefault="00375B87" w:rsidP="00F158CA">
      <w:pPr>
        <w:jc w:val="right"/>
        <w:rPr>
          <w:rFonts w:ascii="Times New Roman" w:hAnsi="Times New Roman"/>
          <w:i/>
        </w:rPr>
      </w:pPr>
      <w:r w:rsidRPr="00995832">
        <w:rPr>
          <w:rFonts w:ascii="Times New Roman" w:hAnsi="Times New Roman"/>
          <w:i/>
        </w:rPr>
        <w:t>Erica Alencar dos Santos</w:t>
      </w:r>
      <w:r w:rsidR="00F158CA" w:rsidRPr="00995832">
        <w:rPr>
          <w:rFonts w:ascii="Times New Roman" w:hAnsi="Times New Roman"/>
          <w:i/>
        </w:rPr>
        <w:t>²</w:t>
      </w:r>
    </w:p>
    <w:p w:rsidR="00A33AEC" w:rsidRPr="00995832" w:rsidRDefault="003E5CF6" w:rsidP="00F158CA">
      <w:pPr>
        <w:jc w:val="right"/>
        <w:rPr>
          <w:rFonts w:ascii="Times New Roman" w:hAnsi="Times New Roman"/>
          <w:i/>
        </w:rPr>
      </w:pPr>
      <w:r w:rsidRPr="00995832">
        <w:rPr>
          <w:rFonts w:ascii="Times New Roman" w:hAnsi="Times New Roman"/>
          <w:i/>
        </w:rPr>
        <w:t xml:space="preserve">José Humberto G. </w:t>
      </w:r>
      <w:r w:rsidR="00F158CA" w:rsidRPr="00995832">
        <w:rPr>
          <w:rFonts w:ascii="Times New Roman" w:hAnsi="Times New Roman"/>
          <w:i/>
        </w:rPr>
        <w:t>de Oliveira³</w:t>
      </w:r>
    </w:p>
    <w:p w:rsidR="0099480A" w:rsidRPr="00995832" w:rsidRDefault="0099480A" w:rsidP="00A33AEC">
      <w:pPr>
        <w:spacing w:line="360" w:lineRule="auto"/>
        <w:jc w:val="both"/>
        <w:rPr>
          <w:rFonts w:ascii="Times New Roman" w:hAnsi="Times New Roman"/>
        </w:rPr>
      </w:pPr>
    </w:p>
    <w:p w:rsidR="00A33AEC" w:rsidRPr="00995832" w:rsidRDefault="00A33AEC" w:rsidP="00A33AEC">
      <w:pPr>
        <w:spacing w:line="360" w:lineRule="auto"/>
        <w:jc w:val="both"/>
        <w:rPr>
          <w:rFonts w:ascii="Times New Roman" w:hAnsi="Times New Roman"/>
        </w:rPr>
      </w:pPr>
      <w:r w:rsidRPr="00995832">
        <w:rPr>
          <w:rFonts w:ascii="Times New Roman" w:hAnsi="Times New Roman"/>
        </w:rPr>
        <w:t>1</w:t>
      </w:r>
      <w:r w:rsidR="00450686" w:rsidRPr="00995832">
        <w:rPr>
          <w:rFonts w:ascii="Times New Roman" w:hAnsi="Times New Roman"/>
        </w:rPr>
        <w:t>.</w:t>
      </w:r>
      <w:r w:rsidRPr="00995832">
        <w:rPr>
          <w:rFonts w:ascii="Times New Roman" w:hAnsi="Times New Roman"/>
        </w:rPr>
        <w:t xml:space="preserve"> DESCRIÇÃO DO CASO </w:t>
      </w:r>
    </w:p>
    <w:p w:rsidR="008F2E23" w:rsidRPr="00995832" w:rsidRDefault="00A162F3" w:rsidP="00F9560F">
      <w:pPr>
        <w:spacing w:before="240" w:line="360" w:lineRule="auto"/>
        <w:ind w:firstLine="1134"/>
        <w:jc w:val="both"/>
        <w:rPr>
          <w:rFonts w:ascii="Times New Roman" w:hAnsi="Times New Roman"/>
        </w:rPr>
      </w:pPr>
      <w:r w:rsidRPr="00995832">
        <w:rPr>
          <w:rFonts w:ascii="Times New Roman" w:hAnsi="Times New Roman"/>
        </w:rPr>
        <w:t>Os sujeitos envolvidos no presente caso em estudo</w:t>
      </w:r>
      <w:r w:rsidR="00B05257" w:rsidRPr="00995832">
        <w:rPr>
          <w:rFonts w:ascii="Times New Roman" w:hAnsi="Times New Roman"/>
        </w:rPr>
        <w:t xml:space="preserve"> são</w:t>
      </w:r>
      <w:r w:rsidRPr="00995832">
        <w:rPr>
          <w:rFonts w:ascii="Times New Roman" w:hAnsi="Times New Roman"/>
        </w:rPr>
        <w:t xml:space="preserve"> a</w:t>
      </w:r>
      <w:r w:rsidR="00F23C91" w:rsidRPr="00995832">
        <w:rPr>
          <w:rFonts w:ascii="Times New Roman" w:hAnsi="Times New Roman"/>
        </w:rPr>
        <w:t xml:space="preserve"> empresa</w:t>
      </w:r>
      <w:r w:rsidR="00374799" w:rsidRPr="00995832">
        <w:rPr>
          <w:rFonts w:ascii="Times New Roman" w:hAnsi="Times New Roman"/>
        </w:rPr>
        <w:t xml:space="preserve"> ENE &amp; ENERGÚMENOS EMPREENDIMENTOS HOTELEIROS LTDA</w:t>
      </w:r>
      <w:r w:rsidR="00B05257" w:rsidRPr="00995832">
        <w:rPr>
          <w:rFonts w:ascii="Times New Roman" w:hAnsi="Times New Roman"/>
        </w:rPr>
        <w:t xml:space="preserve"> (Pessoa Jurídica)</w:t>
      </w:r>
      <w:r w:rsidR="00374799" w:rsidRPr="00995832">
        <w:rPr>
          <w:rFonts w:ascii="Times New Roman" w:hAnsi="Times New Roman"/>
        </w:rPr>
        <w:t xml:space="preserve"> </w:t>
      </w:r>
      <w:r w:rsidRPr="00995832">
        <w:rPr>
          <w:rFonts w:ascii="Times New Roman" w:hAnsi="Times New Roman"/>
        </w:rPr>
        <w:t xml:space="preserve">que </w:t>
      </w:r>
      <w:r w:rsidR="00B05257" w:rsidRPr="00995832">
        <w:rPr>
          <w:rFonts w:ascii="Times New Roman" w:hAnsi="Times New Roman"/>
        </w:rPr>
        <w:t>simulou</w:t>
      </w:r>
      <w:r w:rsidR="00374799" w:rsidRPr="00995832">
        <w:rPr>
          <w:rFonts w:ascii="Times New Roman" w:hAnsi="Times New Roman"/>
        </w:rPr>
        <w:t xml:space="preserve"> junto ao </w:t>
      </w:r>
      <w:r w:rsidR="00B05257" w:rsidRPr="00995832">
        <w:rPr>
          <w:rFonts w:ascii="Times New Roman" w:hAnsi="Times New Roman"/>
        </w:rPr>
        <w:t>RNEM (</w:t>
      </w:r>
      <w:r w:rsidR="00374799" w:rsidRPr="00995832">
        <w:rPr>
          <w:rFonts w:ascii="Times New Roman" w:hAnsi="Times New Roman"/>
        </w:rPr>
        <w:t>R</w:t>
      </w:r>
      <w:r w:rsidR="00127DF1" w:rsidRPr="00995832">
        <w:rPr>
          <w:rFonts w:ascii="Times New Roman" w:hAnsi="Times New Roman"/>
        </w:rPr>
        <w:t>egistro</w:t>
      </w:r>
      <w:r w:rsidR="00B05257" w:rsidRPr="00995832">
        <w:rPr>
          <w:rFonts w:ascii="Times New Roman" w:hAnsi="Times New Roman"/>
        </w:rPr>
        <w:t xml:space="preserve"> Nacional de Empresas Mercantis)</w:t>
      </w:r>
      <w:r w:rsidR="00127DF1" w:rsidRPr="00995832">
        <w:rPr>
          <w:rFonts w:ascii="Times New Roman" w:hAnsi="Times New Roman"/>
        </w:rPr>
        <w:t xml:space="preserve"> </w:t>
      </w:r>
      <w:r w:rsidR="00374799" w:rsidRPr="00995832">
        <w:rPr>
          <w:rFonts w:ascii="Times New Roman" w:hAnsi="Times New Roman"/>
        </w:rPr>
        <w:t xml:space="preserve">o aumento do seu capital social e </w:t>
      </w:r>
      <w:r w:rsidR="00B05257" w:rsidRPr="00995832">
        <w:rPr>
          <w:rFonts w:ascii="Times New Roman" w:hAnsi="Times New Roman"/>
        </w:rPr>
        <w:t xml:space="preserve">com </w:t>
      </w:r>
      <w:r w:rsidR="00374799" w:rsidRPr="00995832">
        <w:rPr>
          <w:rFonts w:ascii="Times New Roman" w:hAnsi="Times New Roman"/>
        </w:rPr>
        <w:t xml:space="preserve">despesas </w:t>
      </w:r>
      <w:r w:rsidR="00B05257" w:rsidRPr="00995832">
        <w:rPr>
          <w:rFonts w:ascii="Times New Roman" w:hAnsi="Times New Roman"/>
        </w:rPr>
        <w:t xml:space="preserve">extraordinárias correspondentes, dívidas ativas e passivas, bem como perdas, com a finalidade de </w:t>
      </w:r>
      <w:r w:rsidR="00374799" w:rsidRPr="00995832">
        <w:rPr>
          <w:rFonts w:ascii="Times New Roman" w:hAnsi="Times New Roman"/>
        </w:rPr>
        <w:t>se beneficiar de uma linha de crédito</w:t>
      </w:r>
      <w:r w:rsidR="00B05257" w:rsidRPr="00995832">
        <w:rPr>
          <w:rFonts w:ascii="Times New Roman" w:hAnsi="Times New Roman"/>
        </w:rPr>
        <w:t>s</w:t>
      </w:r>
      <w:r w:rsidR="00374799" w:rsidRPr="00995832">
        <w:rPr>
          <w:rFonts w:ascii="Times New Roman" w:hAnsi="Times New Roman"/>
        </w:rPr>
        <w:t xml:space="preserve"> especial </w:t>
      </w:r>
      <w:r w:rsidR="00F9560F" w:rsidRPr="00995832">
        <w:rPr>
          <w:rFonts w:ascii="Times New Roman" w:hAnsi="Times New Roman"/>
        </w:rPr>
        <w:t xml:space="preserve">que foi </w:t>
      </w:r>
      <w:r w:rsidR="00374799" w:rsidRPr="00995832">
        <w:rPr>
          <w:rFonts w:ascii="Times New Roman" w:hAnsi="Times New Roman"/>
        </w:rPr>
        <w:t xml:space="preserve">oferecida com base no capital social da empresa, o qual passou de R$ 66.666,00 para R$ 666.666,00, com </w:t>
      </w:r>
      <w:r w:rsidR="00F9560F" w:rsidRPr="00995832">
        <w:rPr>
          <w:rFonts w:ascii="Times New Roman" w:hAnsi="Times New Roman"/>
        </w:rPr>
        <w:t>integralização de quotas. Constatou-se que após 60 dias, houve um aumento consideráve</w:t>
      </w:r>
      <w:r w:rsidR="00374799" w:rsidRPr="00995832">
        <w:rPr>
          <w:rFonts w:ascii="Times New Roman" w:hAnsi="Times New Roman"/>
        </w:rPr>
        <w:t>l no valor dos bens imóveis e dos equipamentos da empresa</w:t>
      </w:r>
      <w:r w:rsidR="00F9560F" w:rsidRPr="00995832">
        <w:rPr>
          <w:rFonts w:ascii="Times New Roman" w:hAnsi="Times New Roman"/>
        </w:rPr>
        <w:t xml:space="preserve"> mencionada. E ademais, após tal </w:t>
      </w:r>
      <w:r w:rsidR="00374799" w:rsidRPr="00995832">
        <w:rPr>
          <w:rFonts w:ascii="Times New Roman" w:hAnsi="Times New Roman"/>
        </w:rPr>
        <w:t xml:space="preserve">simulação do aumento do seu capital, teve </w:t>
      </w:r>
      <w:r w:rsidR="00F9560F" w:rsidRPr="00995832">
        <w:rPr>
          <w:rFonts w:ascii="Times New Roman" w:hAnsi="Times New Roman"/>
        </w:rPr>
        <w:t>decretada sua falência</w:t>
      </w:r>
      <w:r w:rsidR="00374799" w:rsidRPr="00995832">
        <w:rPr>
          <w:rFonts w:ascii="Times New Roman" w:hAnsi="Times New Roman"/>
        </w:rPr>
        <w:t xml:space="preserve">. </w:t>
      </w:r>
    </w:p>
    <w:p w:rsidR="005E1A67" w:rsidRPr="00995832" w:rsidRDefault="008F2E23" w:rsidP="001327AA">
      <w:pPr>
        <w:spacing w:before="240" w:line="360" w:lineRule="auto"/>
        <w:ind w:firstLine="1134"/>
        <w:jc w:val="both"/>
        <w:rPr>
          <w:rFonts w:ascii="Times New Roman" w:hAnsi="Times New Roman"/>
        </w:rPr>
      </w:pPr>
      <w:r w:rsidRPr="00995832">
        <w:rPr>
          <w:rFonts w:ascii="Times New Roman" w:hAnsi="Times New Roman"/>
        </w:rPr>
        <w:t xml:space="preserve">E, portanto, por ocasião da </w:t>
      </w:r>
      <w:r w:rsidR="00C80E76" w:rsidRPr="00995832">
        <w:rPr>
          <w:rFonts w:ascii="Times New Roman" w:hAnsi="Times New Roman"/>
        </w:rPr>
        <w:t>simulação do aumento do capital social da empresa</w:t>
      </w:r>
      <w:r w:rsidRPr="00995832">
        <w:rPr>
          <w:rFonts w:ascii="Times New Roman" w:hAnsi="Times New Roman"/>
        </w:rPr>
        <w:t xml:space="preserve">, </w:t>
      </w:r>
      <w:r w:rsidR="00374799" w:rsidRPr="00995832">
        <w:rPr>
          <w:rFonts w:ascii="Times New Roman" w:hAnsi="Times New Roman"/>
        </w:rPr>
        <w:t>os credores alegaram a p</w:t>
      </w:r>
      <w:r w:rsidRPr="00995832">
        <w:rPr>
          <w:rFonts w:ascii="Times New Roman" w:hAnsi="Times New Roman"/>
        </w:rPr>
        <w:t xml:space="preserve">rática irregular do expedito, afirmando </w:t>
      </w:r>
      <w:r w:rsidR="00374799" w:rsidRPr="00995832">
        <w:rPr>
          <w:rFonts w:ascii="Times New Roman" w:hAnsi="Times New Roman"/>
        </w:rPr>
        <w:t xml:space="preserve">configurar a prática de crime falimentar em face da Pessoa Jurídica e </w:t>
      </w:r>
      <w:r w:rsidRPr="00995832">
        <w:rPr>
          <w:rFonts w:ascii="Times New Roman" w:hAnsi="Times New Roman"/>
        </w:rPr>
        <w:t xml:space="preserve">de AKI BATISTAKA, ALI BATITAMBORE e AKOLAH BATIKARTERA, </w:t>
      </w:r>
      <w:r w:rsidR="00374799" w:rsidRPr="00995832">
        <w:rPr>
          <w:rFonts w:ascii="Times New Roman" w:hAnsi="Times New Roman"/>
        </w:rPr>
        <w:t>sócios da empresa</w:t>
      </w:r>
      <w:r w:rsidRPr="00995832">
        <w:rPr>
          <w:rFonts w:ascii="Times New Roman" w:hAnsi="Times New Roman"/>
        </w:rPr>
        <w:t>.</w:t>
      </w:r>
      <w:r w:rsidR="00374799" w:rsidRPr="00995832">
        <w:rPr>
          <w:rFonts w:ascii="Times New Roman" w:hAnsi="Times New Roman"/>
        </w:rPr>
        <w:t xml:space="preserve"> </w:t>
      </w:r>
      <w:r w:rsidR="0059508D" w:rsidRPr="00995832">
        <w:rPr>
          <w:rFonts w:ascii="Times New Roman" w:hAnsi="Times New Roman"/>
        </w:rPr>
        <w:t xml:space="preserve">É válido destacar, </w:t>
      </w:r>
      <w:r w:rsidR="00AA46D0" w:rsidRPr="00995832">
        <w:rPr>
          <w:rFonts w:ascii="Times New Roman" w:hAnsi="Times New Roman"/>
        </w:rPr>
        <w:t xml:space="preserve">que o caso hipotético trata de crime falimentar </w:t>
      </w:r>
      <w:r w:rsidR="001327AA" w:rsidRPr="00995832">
        <w:rPr>
          <w:rFonts w:ascii="Times New Roman" w:hAnsi="Times New Roman"/>
        </w:rPr>
        <w:t>em espécie fraude a</w:t>
      </w:r>
      <w:r w:rsidR="00AA46D0" w:rsidRPr="00995832">
        <w:rPr>
          <w:rFonts w:ascii="Times New Roman" w:hAnsi="Times New Roman"/>
        </w:rPr>
        <w:t xml:space="preserve"> credo</w:t>
      </w:r>
      <w:r w:rsidR="001327AA" w:rsidRPr="00995832">
        <w:rPr>
          <w:rFonts w:ascii="Times New Roman" w:hAnsi="Times New Roman"/>
        </w:rPr>
        <w:t>res, atinente a discussão acerca das possíveis decisões quanto a viabilidade, ou não, da penalização da Pessoa Jurídica e dos sócios por crime falimentar.</w:t>
      </w:r>
    </w:p>
    <w:p w:rsidR="00375B87" w:rsidRPr="00995832" w:rsidRDefault="006E746E" w:rsidP="005E1A67">
      <w:pPr>
        <w:spacing w:before="240" w:line="360" w:lineRule="auto"/>
        <w:jc w:val="both"/>
        <w:rPr>
          <w:rFonts w:ascii="Times New Roman" w:hAnsi="Times New Roman"/>
        </w:rPr>
      </w:pPr>
      <w:r w:rsidRPr="00995832">
        <w:rPr>
          <w:rFonts w:ascii="Times New Roman" w:hAnsi="Times New Roman"/>
        </w:rPr>
        <w:t>2</w:t>
      </w:r>
      <w:r w:rsidR="00375B87" w:rsidRPr="00995832">
        <w:rPr>
          <w:rFonts w:ascii="Times New Roman" w:hAnsi="Times New Roman"/>
        </w:rPr>
        <w:t>. DESCRIÇÃO DAS DECISÕES POSSÍVEIS E DOS ARGUMENTOS CAPAZES DE FUNDAMENTAR CADA DECISÃO:</w:t>
      </w:r>
      <w:r w:rsidR="00450686" w:rsidRPr="00995832">
        <w:rPr>
          <w:rFonts w:ascii="Times New Roman" w:hAnsi="Times New Roman"/>
        </w:rPr>
        <w:t xml:space="preserve"> </w:t>
      </w:r>
    </w:p>
    <w:p w:rsidR="00733012" w:rsidRPr="00995832" w:rsidRDefault="00F23C91" w:rsidP="00733012">
      <w:pPr>
        <w:pStyle w:val="PargrafodaLista"/>
        <w:numPr>
          <w:ilvl w:val="0"/>
          <w:numId w:val="1"/>
        </w:numPr>
        <w:tabs>
          <w:tab w:val="left" w:pos="284"/>
        </w:tabs>
        <w:spacing w:line="360" w:lineRule="auto"/>
        <w:ind w:left="0" w:firstLine="0"/>
        <w:jc w:val="both"/>
        <w:rPr>
          <w:rFonts w:ascii="Times New Roman" w:hAnsi="Times New Roman"/>
        </w:rPr>
      </w:pPr>
      <w:r w:rsidRPr="00995832">
        <w:rPr>
          <w:rFonts w:ascii="Times New Roman" w:hAnsi="Times New Roman"/>
        </w:rPr>
        <w:t xml:space="preserve">Condenar </w:t>
      </w:r>
      <w:r w:rsidR="00212BFF" w:rsidRPr="00995832">
        <w:rPr>
          <w:rFonts w:ascii="Times New Roman" w:hAnsi="Times New Roman"/>
        </w:rPr>
        <w:t xml:space="preserve">os sócios </w:t>
      </w:r>
      <w:r w:rsidR="00CC1EE2" w:rsidRPr="00995832">
        <w:rPr>
          <w:rFonts w:ascii="Times New Roman" w:hAnsi="Times New Roman"/>
        </w:rPr>
        <w:t xml:space="preserve">e a pessoa jurídica </w:t>
      </w:r>
      <w:r w:rsidR="00212BFF" w:rsidRPr="00995832">
        <w:rPr>
          <w:rFonts w:ascii="Times New Roman" w:hAnsi="Times New Roman"/>
        </w:rPr>
        <w:t>d</w:t>
      </w:r>
      <w:r w:rsidRPr="00995832">
        <w:rPr>
          <w:rFonts w:ascii="Times New Roman" w:hAnsi="Times New Roman"/>
        </w:rPr>
        <w:t>a empresa pelo crime de fraude aos credores;</w:t>
      </w:r>
    </w:p>
    <w:p w:rsidR="005E1A67" w:rsidRPr="00995832" w:rsidRDefault="00733012" w:rsidP="00A32C36">
      <w:pPr>
        <w:pStyle w:val="PargrafodaLista"/>
        <w:tabs>
          <w:tab w:val="left" w:pos="284"/>
        </w:tabs>
        <w:spacing w:line="360" w:lineRule="auto"/>
        <w:ind w:left="0" w:firstLine="284"/>
        <w:jc w:val="both"/>
        <w:rPr>
          <w:rFonts w:ascii="Times New Roman" w:hAnsi="Times New Roman"/>
        </w:rPr>
      </w:pPr>
      <w:r w:rsidRPr="00995832">
        <w:rPr>
          <w:rFonts w:ascii="Times New Roman" w:hAnsi="Times New Roman"/>
        </w:rPr>
        <w:tab/>
      </w:r>
      <w:r w:rsidR="00153196" w:rsidRPr="00995832">
        <w:rPr>
          <w:rFonts w:ascii="Times New Roman" w:hAnsi="Times New Roman"/>
        </w:rPr>
        <w:t xml:space="preserve">O </w:t>
      </w:r>
      <w:r w:rsidR="005E1A67" w:rsidRPr="00995832">
        <w:rPr>
          <w:rFonts w:ascii="Times New Roman" w:hAnsi="Times New Roman"/>
        </w:rPr>
        <w:t>relevante valor ao tema em questão</w:t>
      </w:r>
      <w:r w:rsidR="00CD4554" w:rsidRPr="00995832">
        <w:rPr>
          <w:rFonts w:ascii="Times New Roman" w:hAnsi="Times New Roman"/>
        </w:rPr>
        <w:t xml:space="preserve"> traz conceitos e novos rumos </w:t>
      </w:r>
      <w:r w:rsidR="005E1A67" w:rsidRPr="00995832">
        <w:rPr>
          <w:rFonts w:ascii="Times New Roman" w:hAnsi="Times New Roman"/>
        </w:rPr>
        <w:t>para</w:t>
      </w:r>
      <w:r w:rsidR="00CD4554" w:rsidRPr="00995832">
        <w:rPr>
          <w:rFonts w:ascii="Times New Roman" w:hAnsi="Times New Roman"/>
        </w:rPr>
        <w:t xml:space="preserve"> o Direito Empresarial e Direito Penal Econômico, como também maior discussão e compreensão na área </w:t>
      </w:r>
      <w:r w:rsidR="005E1A67" w:rsidRPr="00995832">
        <w:rPr>
          <w:rFonts w:ascii="Times New Roman" w:hAnsi="Times New Roman"/>
        </w:rPr>
        <w:t xml:space="preserve">criminal. </w:t>
      </w:r>
      <w:r w:rsidR="00CD4554" w:rsidRPr="00995832">
        <w:rPr>
          <w:rFonts w:ascii="Times New Roman" w:hAnsi="Times New Roman"/>
        </w:rPr>
        <w:t>A nova Lei de Falências de nº 11.101/20</w:t>
      </w:r>
      <w:r w:rsidRPr="00995832">
        <w:rPr>
          <w:rFonts w:ascii="Times New Roman" w:hAnsi="Times New Roman"/>
        </w:rPr>
        <w:t xml:space="preserve">05, </w:t>
      </w:r>
      <w:r w:rsidR="00CD4554" w:rsidRPr="00995832">
        <w:rPr>
          <w:rFonts w:ascii="Times New Roman" w:hAnsi="Times New Roman"/>
        </w:rPr>
        <w:t xml:space="preserve">veio para substituir o Decreto-Lei nº 7.661/45, </w:t>
      </w:r>
      <w:r w:rsidR="00E76BB4" w:rsidRPr="00995832">
        <w:rPr>
          <w:rFonts w:ascii="Times New Roman" w:hAnsi="Times New Roman"/>
        </w:rPr>
        <w:t xml:space="preserve">com a finalidade criar meios para a recuperação do empresário insolvente, sendo </w:t>
      </w:r>
      <w:r w:rsidR="00E76BB4" w:rsidRPr="00995832">
        <w:rPr>
          <w:rFonts w:ascii="Times New Roman" w:hAnsi="Times New Roman"/>
        </w:rPr>
        <w:lastRenderedPageBreak/>
        <w:t xml:space="preserve">individual ou sociedade empresária, preservando a empresa e propiciando os pagamentos dos credores e de todas as dívidas, </w:t>
      </w:r>
      <w:r w:rsidRPr="00995832">
        <w:rPr>
          <w:rFonts w:ascii="Times New Roman" w:hAnsi="Times New Roman"/>
        </w:rPr>
        <w:t>subsidiar as obrigações dos empresários e sociedade empresária diante da própria falência e ainda regular a recuperação judicial ou extrajudicial, abolindo do nosso ordenamento jurídico o instituto</w:t>
      </w:r>
      <w:r w:rsidR="00A32C36" w:rsidRPr="00995832">
        <w:rPr>
          <w:rFonts w:ascii="Times New Roman" w:hAnsi="Times New Roman"/>
        </w:rPr>
        <w:t xml:space="preserve"> da concordata e ainda o inquérito judicial que era instaurado pelo juiz para o processo de falências e concordata, objetivando apurar a ocorrência de crimes falimentares.</w:t>
      </w:r>
    </w:p>
    <w:p w:rsidR="005C1A08" w:rsidRPr="00995832" w:rsidRDefault="00A32C36" w:rsidP="00CF67E2">
      <w:pPr>
        <w:spacing w:line="360" w:lineRule="auto"/>
        <w:ind w:firstLine="1134"/>
        <w:jc w:val="both"/>
        <w:rPr>
          <w:rFonts w:ascii="Times New Roman" w:hAnsi="Times New Roman"/>
        </w:rPr>
      </w:pPr>
      <w:r w:rsidRPr="00995832">
        <w:rPr>
          <w:rFonts w:ascii="Times New Roman" w:hAnsi="Times New Roman"/>
        </w:rPr>
        <w:t>Criando-se</w:t>
      </w:r>
      <w:r w:rsidR="00153196" w:rsidRPr="00995832">
        <w:rPr>
          <w:rFonts w:ascii="Times New Roman" w:hAnsi="Times New Roman"/>
        </w:rPr>
        <w:t xml:space="preserve"> o instituto da falência</w:t>
      </w:r>
      <w:r w:rsidRPr="00995832">
        <w:rPr>
          <w:rFonts w:ascii="Times New Roman" w:hAnsi="Times New Roman"/>
        </w:rPr>
        <w:t xml:space="preserve">, atualmente, é conceituada com </w:t>
      </w:r>
      <w:r w:rsidR="00153196" w:rsidRPr="00995832">
        <w:rPr>
          <w:rFonts w:ascii="Times New Roman" w:hAnsi="Times New Roman"/>
        </w:rPr>
        <w:t xml:space="preserve">uma execução especial, </w:t>
      </w:r>
      <w:r w:rsidRPr="00995832">
        <w:rPr>
          <w:rFonts w:ascii="Times New Roman" w:hAnsi="Times New Roman"/>
        </w:rPr>
        <w:t>uma situação legal derivada de decisão judicial (sentença declaratória da falência)</w:t>
      </w:r>
      <w:r w:rsidR="00C74A73" w:rsidRPr="00995832">
        <w:rPr>
          <w:rFonts w:ascii="Times New Roman" w:hAnsi="Times New Roman"/>
        </w:rPr>
        <w:t xml:space="preserve">, devendo ressaltar a insolvência e a impontualidade e que para caracterização de um crime falimentar, é necessário verificar a existência de pressupostos, como sentença declaratória da falência e a ocorrência de atos dolosos ou culposos expressamente enumerados na lei, em seus artigos 168 e seguintes (PERIN </w:t>
      </w:r>
      <w:r w:rsidR="00E76BB4" w:rsidRPr="00995832">
        <w:rPr>
          <w:rFonts w:ascii="Times New Roman" w:hAnsi="Times New Roman"/>
        </w:rPr>
        <w:t>JUNIOR, pg.362, 2006) e ao qual deve ser dado aos credores tratamento isonômico.</w:t>
      </w:r>
    </w:p>
    <w:p w:rsidR="00153196" w:rsidRPr="00995832" w:rsidRDefault="001C7335" w:rsidP="00CF67E2">
      <w:pPr>
        <w:spacing w:line="360" w:lineRule="auto"/>
        <w:ind w:firstLine="1134"/>
        <w:jc w:val="both"/>
        <w:rPr>
          <w:rFonts w:ascii="Times New Roman" w:hAnsi="Times New Roman"/>
        </w:rPr>
      </w:pPr>
      <w:r w:rsidRPr="00995832">
        <w:rPr>
          <w:rFonts w:ascii="Times New Roman" w:hAnsi="Times New Roman"/>
        </w:rPr>
        <w:t xml:space="preserve"> </w:t>
      </w:r>
      <w:r w:rsidR="00FF132B" w:rsidRPr="00995832">
        <w:rPr>
          <w:rFonts w:ascii="Times New Roman" w:hAnsi="Times New Roman"/>
        </w:rPr>
        <w:t>Esse estado traz como principais efeitos: “o vencimento antecipado das dívidas do devedor e dos sócios ilimitada e solidariamente responsáveis, com o abatimento proporcional dos juros” (Art. 77, LFRE, 2013)</w:t>
      </w:r>
      <w:r w:rsidR="00963520" w:rsidRPr="00995832">
        <w:rPr>
          <w:rFonts w:ascii="Times New Roman" w:hAnsi="Times New Roman"/>
        </w:rPr>
        <w:t xml:space="preserve"> e a reunião de todos os credores em um mesmo processo.</w:t>
      </w:r>
    </w:p>
    <w:p w:rsidR="00DD6E34" w:rsidRPr="00995832" w:rsidRDefault="00C35DB8" w:rsidP="00CF67E2">
      <w:pPr>
        <w:spacing w:line="360" w:lineRule="auto"/>
        <w:ind w:firstLine="1134"/>
        <w:jc w:val="both"/>
        <w:rPr>
          <w:rFonts w:ascii="Times New Roman" w:hAnsi="Times New Roman"/>
        </w:rPr>
      </w:pPr>
      <w:r w:rsidRPr="00995832">
        <w:rPr>
          <w:rFonts w:ascii="Times New Roman" w:hAnsi="Times New Roman"/>
        </w:rPr>
        <w:t xml:space="preserve">Trouxe, ainda, como inovação, a lei de falência, a disposição acerca dos chamados “Crimes Falimentares”, uma vez que o código penal reservou à legislação especial a definição dos crimes falimentares, bem como a definição das penas. Segundo </w:t>
      </w:r>
      <w:proofErr w:type="spellStart"/>
      <w:r w:rsidR="007A39BA" w:rsidRPr="00995832">
        <w:rPr>
          <w:rFonts w:ascii="Times New Roman" w:hAnsi="Times New Roman"/>
        </w:rPr>
        <w:t>Ecio</w:t>
      </w:r>
      <w:proofErr w:type="spellEnd"/>
      <w:r w:rsidR="007A39BA" w:rsidRPr="00995832">
        <w:rPr>
          <w:rFonts w:ascii="Times New Roman" w:hAnsi="Times New Roman"/>
        </w:rPr>
        <w:t xml:space="preserve"> Perin Jr</w:t>
      </w:r>
      <w:r w:rsidRPr="00995832">
        <w:rPr>
          <w:rFonts w:ascii="Times New Roman" w:hAnsi="Times New Roman"/>
        </w:rPr>
        <w:t xml:space="preserve"> (p.362, </w:t>
      </w:r>
      <w:r w:rsidR="007A39BA" w:rsidRPr="00995832">
        <w:rPr>
          <w:rFonts w:ascii="Times New Roman" w:hAnsi="Times New Roman"/>
        </w:rPr>
        <w:t>2006</w:t>
      </w:r>
      <w:r w:rsidRPr="00995832">
        <w:rPr>
          <w:rFonts w:ascii="Times New Roman" w:hAnsi="Times New Roman"/>
        </w:rPr>
        <w:t>)</w:t>
      </w:r>
      <w:r w:rsidR="007A39BA" w:rsidRPr="00995832">
        <w:rPr>
          <w:rFonts w:ascii="Times New Roman" w:hAnsi="Times New Roman"/>
        </w:rPr>
        <w:t xml:space="preserve">, </w:t>
      </w:r>
      <w:r w:rsidR="007676C9" w:rsidRPr="00995832">
        <w:rPr>
          <w:rFonts w:ascii="Times New Roman" w:hAnsi="Times New Roman"/>
        </w:rPr>
        <w:t xml:space="preserve">para a caracterização de um crime falimentar, deve-se levar em conta a existência de dois pressupostos: a sentença declaratória de falência e a ocorrência de atos/fatos dolosos ou culposos, os quais </w:t>
      </w:r>
      <w:r w:rsidR="00F86B60" w:rsidRPr="00995832">
        <w:rPr>
          <w:rFonts w:ascii="Times New Roman" w:hAnsi="Times New Roman"/>
        </w:rPr>
        <w:t>se encontram</w:t>
      </w:r>
      <w:r w:rsidR="007676C9" w:rsidRPr="00995832">
        <w:rPr>
          <w:rFonts w:ascii="Times New Roman" w:hAnsi="Times New Roman"/>
        </w:rPr>
        <w:t xml:space="preserve"> enumerados na lei.</w:t>
      </w:r>
    </w:p>
    <w:p w:rsidR="00B8391F" w:rsidRPr="00995832" w:rsidRDefault="007676C9" w:rsidP="00CF67E2">
      <w:pPr>
        <w:spacing w:line="360" w:lineRule="auto"/>
        <w:ind w:firstLine="1134"/>
        <w:jc w:val="both"/>
        <w:rPr>
          <w:rFonts w:ascii="Times New Roman" w:hAnsi="Times New Roman" w:cs="Times New Roman"/>
        </w:rPr>
      </w:pPr>
      <w:r w:rsidRPr="00995832">
        <w:rPr>
          <w:rFonts w:ascii="Times New Roman" w:hAnsi="Times New Roman"/>
        </w:rPr>
        <w:t>Como dispõe o art. 168, a</w:t>
      </w:r>
      <w:r w:rsidR="00EA53C3" w:rsidRPr="00995832">
        <w:rPr>
          <w:rFonts w:ascii="Times New Roman" w:hAnsi="Times New Roman"/>
        </w:rPr>
        <w:t xml:space="preserve">o simular o aumento de capital social, </w:t>
      </w:r>
      <w:r w:rsidR="00741FE8" w:rsidRPr="00995832">
        <w:rPr>
          <w:rFonts w:ascii="Times New Roman" w:hAnsi="Times New Roman"/>
        </w:rPr>
        <w:t>a empresa</w:t>
      </w:r>
      <w:r w:rsidR="00EA53C3" w:rsidRPr="00995832">
        <w:rPr>
          <w:rFonts w:ascii="Times New Roman" w:hAnsi="Times New Roman"/>
        </w:rPr>
        <w:t xml:space="preserve"> incorrera no tipo penal estabelecido pela Lei de Falência e R</w:t>
      </w:r>
      <w:r w:rsidRPr="00995832">
        <w:rPr>
          <w:rFonts w:ascii="Times New Roman" w:hAnsi="Times New Roman"/>
        </w:rPr>
        <w:t>ecuperação de Empresas</w:t>
      </w:r>
      <w:r w:rsidR="00EA53C3" w:rsidRPr="00995832">
        <w:rPr>
          <w:rFonts w:ascii="Times New Roman" w:hAnsi="Times New Roman"/>
        </w:rPr>
        <w:t xml:space="preserve"> de crime de fraude aos credores, com a sua pena aumentada em v</w:t>
      </w:r>
      <w:r w:rsidRPr="00995832">
        <w:rPr>
          <w:rFonts w:ascii="Times New Roman" w:hAnsi="Times New Roman"/>
        </w:rPr>
        <w:t>irtude da prática do inciso IV</w:t>
      </w:r>
      <w:r w:rsidR="00EA53C3" w:rsidRPr="00995832">
        <w:rPr>
          <w:rFonts w:ascii="Times New Roman" w:hAnsi="Times New Roman"/>
        </w:rPr>
        <w:t>.</w:t>
      </w:r>
      <w:r w:rsidR="00741FE8" w:rsidRPr="00995832">
        <w:rPr>
          <w:rFonts w:ascii="Times New Roman" w:hAnsi="Times New Roman"/>
        </w:rPr>
        <w:t xml:space="preserve"> </w:t>
      </w:r>
      <w:r w:rsidR="00746267" w:rsidRPr="00995832">
        <w:rPr>
          <w:rFonts w:ascii="Times New Roman" w:hAnsi="Times New Roman"/>
        </w:rPr>
        <w:t xml:space="preserve">Ao crime de simulação do capital social, a lei falimentar admite a pena de reclusão – pena mais grave, pois, “além </w:t>
      </w:r>
      <w:r w:rsidR="00746267" w:rsidRPr="00995832">
        <w:rPr>
          <w:rFonts w:ascii="Times New Roman" w:hAnsi="Times New Roman" w:cs="Times New Roman"/>
        </w:rPr>
        <w:t xml:space="preserve">de impor ao individuo um período de isolamento, só excepcionalmente admite o livramento </w:t>
      </w:r>
      <w:proofErr w:type="gramStart"/>
      <w:r w:rsidR="00746267" w:rsidRPr="00995832">
        <w:rPr>
          <w:rFonts w:ascii="Times New Roman" w:hAnsi="Times New Roman" w:cs="Times New Roman"/>
        </w:rPr>
        <w:t>condicional.”</w:t>
      </w:r>
      <w:proofErr w:type="gramEnd"/>
      <w:r w:rsidR="00746267" w:rsidRPr="00995832">
        <w:rPr>
          <w:rFonts w:ascii="Times New Roman" w:hAnsi="Times New Roman" w:cs="Times New Roman"/>
        </w:rPr>
        <w:t xml:space="preserve"> (ALMEIDA, 2012, p.385).</w:t>
      </w:r>
    </w:p>
    <w:p w:rsidR="00E56C5B" w:rsidRPr="00995832" w:rsidRDefault="00B84257" w:rsidP="00CF67E2">
      <w:pPr>
        <w:spacing w:line="360" w:lineRule="auto"/>
        <w:ind w:firstLine="1134"/>
        <w:jc w:val="both"/>
        <w:rPr>
          <w:rFonts w:ascii="Times New Roman" w:hAnsi="Times New Roman"/>
        </w:rPr>
      </w:pPr>
      <w:r w:rsidRPr="00995832">
        <w:rPr>
          <w:rFonts w:ascii="Times New Roman" w:hAnsi="Times New Roman"/>
        </w:rPr>
        <w:t>De acordo com</w:t>
      </w:r>
      <w:r w:rsidR="00E60F00" w:rsidRPr="00995832">
        <w:rPr>
          <w:rFonts w:ascii="Times New Roman" w:hAnsi="Times New Roman"/>
        </w:rPr>
        <w:t xml:space="preserve"> o art. 179 da lei n. 11.101/05, na falência de sociedades, os sócios, como representantes legais da sociedade emp</w:t>
      </w:r>
      <w:r w:rsidR="008F43E0" w:rsidRPr="00995832">
        <w:rPr>
          <w:rFonts w:ascii="Times New Roman" w:hAnsi="Times New Roman"/>
        </w:rPr>
        <w:t>resaria falida, é que respondem</w:t>
      </w:r>
      <w:r w:rsidR="00E56C5B" w:rsidRPr="00995832">
        <w:rPr>
          <w:rFonts w:ascii="Times New Roman" w:hAnsi="Times New Roman"/>
        </w:rPr>
        <w:t xml:space="preserve"> pelo crime, figurando como sujeitos ativos também os diretores, gerentes, administradores e conselheiros, assim como todos os sujeitos elencados pelo §3º do art. 168, a saber: os técnicos contábeis, os contadores, auditores e q</w:t>
      </w:r>
      <w:r w:rsidR="007B37A7" w:rsidRPr="00995832">
        <w:rPr>
          <w:rFonts w:ascii="Times New Roman" w:hAnsi="Times New Roman"/>
        </w:rPr>
        <w:t>uaisquer outros profissionais.</w:t>
      </w:r>
    </w:p>
    <w:p w:rsidR="001C34F6" w:rsidRPr="00995832" w:rsidRDefault="001D4C94" w:rsidP="00CF67E2">
      <w:pPr>
        <w:spacing w:line="360" w:lineRule="auto"/>
        <w:ind w:firstLine="1134"/>
        <w:jc w:val="both"/>
        <w:rPr>
          <w:rFonts w:ascii="Times New Roman" w:hAnsi="Times New Roman"/>
        </w:rPr>
      </w:pPr>
      <w:r w:rsidRPr="00995832">
        <w:rPr>
          <w:rFonts w:ascii="Times New Roman" w:hAnsi="Times New Roman"/>
        </w:rPr>
        <w:lastRenderedPageBreak/>
        <w:t>Leva</w:t>
      </w:r>
      <w:r w:rsidR="001C34F6" w:rsidRPr="00995832">
        <w:rPr>
          <w:rFonts w:ascii="Times New Roman" w:hAnsi="Times New Roman"/>
        </w:rPr>
        <w:t>-se em consideração</w:t>
      </w:r>
      <w:r w:rsidRPr="00995832">
        <w:rPr>
          <w:rFonts w:ascii="Times New Roman" w:hAnsi="Times New Roman"/>
        </w:rPr>
        <w:t xml:space="preserve">, porém, também </w:t>
      </w:r>
      <w:r w:rsidR="001C34F6" w:rsidRPr="00995832">
        <w:rPr>
          <w:rFonts w:ascii="Times New Roman" w:hAnsi="Times New Roman"/>
        </w:rPr>
        <w:t>a possibilidade da responsabilização penal da pessoa jurídica.</w:t>
      </w:r>
      <w:r w:rsidRPr="00995832">
        <w:rPr>
          <w:rFonts w:ascii="Times New Roman" w:hAnsi="Times New Roman"/>
        </w:rPr>
        <w:t xml:space="preserve"> </w:t>
      </w:r>
      <w:r w:rsidR="001C34F6" w:rsidRPr="00995832">
        <w:rPr>
          <w:rFonts w:ascii="Times New Roman" w:hAnsi="Times New Roman"/>
        </w:rPr>
        <w:t xml:space="preserve">É certo que, em tese, como </w:t>
      </w:r>
      <w:r w:rsidR="000A3688" w:rsidRPr="00995832">
        <w:rPr>
          <w:rFonts w:ascii="Times New Roman" w:hAnsi="Times New Roman"/>
        </w:rPr>
        <w:t xml:space="preserve">afirma </w:t>
      </w:r>
      <w:proofErr w:type="spellStart"/>
      <w:r w:rsidR="000A3688" w:rsidRPr="00995832">
        <w:rPr>
          <w:rFonts w:ascii="Times New Roman" w:hAnsi="Times New Roman"/>
        </w:rPr>
        <w:t>Ecio</w:t>
      </w:r>
      <w:proofErr w:type="spellEnd"/>
      <w:r w:rsidR="000A3688" w:rsidRPr="00995832">
        <w:rPr>
          <w:rFonts w:ascii="Times New Roman" w:hAnsi="Times New Roman"/>
        </w:rPr>
        <w:t xml:space="preserve"> Perin (2006, p.381), a pessoa jurídica não pode ser penalmente responsabilizada. Ocorre que os agrupamentos econômicos (e</w:t>
      </w:r>
      <w:r w:rsidRPr="00995832">
        <w:rPr>
          <w:rFonts w:ascii="Times New Roman" w:hAnsi="Times New Roman"/>
        </w:rPr>
        <w:t>mpresas) criam um ambiente propí</w:t>
      </w:r>
      <w:r w:rsidR="000A3688" w:rsidRPr="00995832">
        <w:rPr>
          <w:rFonts w:ascii="Times New Roman" w:hAnsi="Times New Roman"/>
        </w:rPr>
        <w:t xml:space="preserve">cio e facilitador para que os autores físicos cometam delitos em beneficio da própria empresa. Por </w:t>
      </w:r>
      <w:r w:rsidRPr="00995832">
        <w:rPr>
          <w:rFonts w:ascii="Times New Roman" w:hAnsi="Times New Roman"/>
        </w:rPr>
        <w:t xml:space="preserve">essa razão, </w:t>
      </w:r>
      <w:r w:rsidR="00F85452" w:rsidRPr="00995832">
        <w:rPr>
          <w:rFonts w:ascii="Times New Roman" w:hAnsi="Times New Roman"/>
        </w:rPr>
        <w:t>surge</w:t>
      </w:r>
      <w:r w:rsidR="000A3688" w:rsidRPr="00995832">
        <w:rPr>
          <w:rFonts w:ascii="Times New Roman" w:hAnsi="Times New Roman"/>
        </w:rPr>
        <w:t xml:space="preserve"> na</w:t>
      </w:r>
      <w:r w:rsidR="00F85452" w:rsidRPr="00995832">
        <w:rPr>
          <w:rFonts w:ascii="Times New Roman" w:hAnsi="Times New Roman"/>
        </w:rPr>
        <w:t xml:space="preserve"> doutrina </w:t>
      </w:r>
      <w:r w:rsidR="000A3688" w:rsidRPr="00995832">
        <w:rPr>
          <w:rFonts w:ascii="Times New Roman" w:hAnsi="Times New Roman"/>
        </w:rPr>
        <w:t>a ideia de não responsabilizar e sancionar somente tais entes físicos, mas, sobretudo, a própria empresa.</w:t>
      </w:r>
    </w:p>
    <w:p w:rsidR="00B47FCC" w:rsidRPr="00995832" w:rsidRDefault="00B47FCC" w:rsidP="00CF67E2">
      <w:pPr>
        <w:ind w:left="2268"/>
        <w:jc w:val="both"/>
        <w:rPr>
          <w:rFonts w:ascii="Times New Roman" w:hAnsi="Times New Roman"/>
          <w:sz w:val="20"/>
        </w:rPr>
      </w:pPr>
      <w:r w:rsidRPr="00995832">
        <w:rPr>
          <w:rFonts w:ascii="Times New Roman" w:hAnsi="Times New Roman"/>
          <w:sz w:val="20"/>
        </w:rPr>
        <w:t>A polêmica tem conteúdo, forma e finalidade. Se por um lado, resta evidente a necessidade de aplicar sanções aos abusos cometidos pelas sociedades por ações e demais tipos societários, por outro lado, há que se indagar se estas sanções devem ser de natureza penal uma vez que seus comportamentos podem levar a ruína da empresa, e via de consequência, a sua falência.</w:t>
      </w:r>
      <w:r w:rsidR="00702279" w:rsidRPr="00995832">
        <w:rPr>
          <w:rFonts w:ascii="Times New Roman" w:hAnsi="Times New Roman"/>
          <w:sz w:val="20"/>
        </w:rPr>
        <w:t xml:space="preserve"> (PERIN JR, 2006, p.383).</w:t>
      </w:r>
    </w:p>
    <w:p w:rsidR="00F85452" w:rsidRPr="00995832" w:rsidRDefault="00BD6219" w:rsidP="001D4C94">
      <w:pPr>
        <w:spacing w:before="240" w:line="360" w:lineRule="auto"/>
        <w:ind w:firstLine="1134"/>
        <w:jc w:val="both"/>
        <w:rPr>
          <w:rFonts w:ascii="Times New Roman" w:hAnsi="Times New Roman"/>
        </w:rPr>
      </w:pPr>
      <w:r w:rsidRPr="00995832">
        <w:rPr>
          <w:rFonts w:ascii="Times New Roman" w:hAnsi="Times New Roman"/>
        </w:rPr>
        <w:t xml:space="preserve">Contudo, é necessário levar-se em consideração a flexibilização da possibilidade de imputar-se à pessoa jurídica responsabilidade penal, a qual, concomitante à evolução do direito, possibilitará a criação de sanções a entes coletivos, desempenhando relevante finalidade, qual seja, segundo </w:t>
      </w:r>
      <w:proofErr w:type="spellStart"/>
      <w:r w:rsidRPr="00995832">
        <w:rPr>
          <w:rFonts w:ascii="Times New Roman" w:hAnsi="Times New Roman"/>
        </w:rPr>
        <w:t>Ludvig</w:t>
      </w:r>
      <w:proofErr w:type="spellEnd"/>
      <w:r w:rsidR="00FD2C29" w:rsidRPr="00995832">
        <w:rPr>
          <w:rFonts w:ascii="Times New Roman" w:hAnsi="Times New Roman"/>
        </w:rPr>
        <w:t xml:space="preserve">, impedir que “seja usada a pessoa jurídica para manipulações ou outros atos enganosos, o instituto é utilizado para coibir tais </w:t>
      </w:r>
      <w:proofErr w:type="gramStart"/>
      <w:r w:rsidR="00FD2C29" w:rsidRPr="00995832">
        <w:rPr>
          <w:rFonts w:ascii="Times New Roman" w:hAnsi="Times New Roman"/>
        </w:rPr>
        <w:t>fraudes.”</w:t>
      </w:r>
      <w:proofErr w:type="gramEnd"/>
      <w:r w:rsidR="00FD2C29" w:rsidRPr="00995832">
        <w:rPr>
          <w:rFonts w:ascii="Times New Roman" w:hAnsi="Times New Roman"/>
        </w:rPr>
        <w:t>.  (2010, p.12).</w:t>
      </w:r>
      <w:r w:rsidR="0066082E" w:rsidRPr="00995832">
        <w:rPr>
          <w:rFonts w:ascii="Times New Roman" w:hAnsi="Times New Roman"/>
        </w:rPr>
        <w:t xml:space="preserve"> É possível, portanto, a responsabilização da pessoa jurídica, mas essa hipótese, ainda, não tem regulamentação legal.</w:t>
      </w:r>
    </w:p>
    <w:p w:rsidR="007422DC" w:rsidRPr="00995832" w:rsidRDefault="007422DC" w:rsidP="007422DC">
      <w:pPr>
        <w:spacing w:after="240"/>
        <w:ind w:left="2268"/>
        <w:jc w:val="both"/>
        <w:rPr>
          <w:rFonts w:ascii="Times New Roman" w:hAnsi="Times New Roman"/>
          <w:sz w:val="20"/>
        </w:rPr>
      </w:pPr>
      <w:r w:rsidRPr="00995832">
        <w:rPr>
          <w:rFonts w:ascii="Times New Roman" w:hAnsi="Times New Roman"/>
          <w:sz w:val="20"/>
        </w:rPr>
        <w:t xml:space="preserve">Em sendo assim, pelas obrigações da pessoa jurídica responde, em regra, apenas o patrimônio. É, em geral, incabível a responsabilização do membro da pessoa jurídica por obrigação que não é dele, mas dela. O credor do ente moral (sociedade civil ou comercial, associação ou fundação) não pode, em princípio, pretender a satisfação de seu crédito no patrimônio individual de membro da entidade, mesmo em se tratando da pessoa que a representa no negócio ou na ação judicial, já que são sujeitos de direito distintos. (COELHO </w:t>
      </w:r>
      <w:r w:rsidRPr="00995832">
        <w:rPr>
          <w:rFonts w:ascii="Times New Roman" w:hAnsi="Times New Roman"/>
          <w:i/>
          <w:sz w:val="20"/>
        </w:rPr>
        <w:t xml:space="preserve">apud </w:t>
      </w:r>
      <w:r w:rsidRPr="00995832">
        <w:rPr>
          <w:rFonts w:ascii="Times New Roman" w:hAnsi="Times New Roman"/>
          <w:sz w:val="20"/>
        </w:rPr>
        <w:t>LUDVIG, 2012, p.5).</w:t>
      </w:r>
    </w:p>
    <w:p w:rsidR="00B14509" w:rsidRPr="00995832" w:rsidRDefault="001712C2" w:rsidP="00B14509">
      <w:pPr>
        <w:spacing w:line="360" w:lineRule="auto"/>
        <w:ind w:firstLine="1134"/>
        <w:jc w:val="both"/>
        <w:rPr>
          <w:rFonts w:ascii="Times New Roman" w:hAnsi="Times New Roman"/>
        </w:rPr>
      </w:pPr>
      <w:r w:rsidRPr="00995832">
        <w:rPr>
          <w:rFonts w:ascii="Times New Roman" w:hAnsi="Times New Roman"/>
        </w:rPr>
        <w:t xml:space="preserve">Dessa forma, pelos argumentos apresentados, percebe-se que tanto os sócios quanto a própria pessoa jurídica da empresa </w:t>
      </w:r>
      <w:proofErr w:type="spellStart"/>
      <w:r w:rsidRPr="00995832">
        <w:rPr>
          <w:rFonts w:ascii="Times New Roman" w:hAnsi="Times New Roman"/>
        </w:rPr>
        <w:t>Ene</w:t>
      </w:r>
      <w:proofErr w:type="spellEnd"/>
      <w:r w:rsidRPr="00995832">
        <w:rPr>
          <w:rFonts w:ascii="Times New Roman" w:hAnsi="Times New Roman"/>
        </w:rPr>
        <w:t xml:space="preserve"> &amp; Energúmenos Empreendimentos </w:t>
      </w:r>
      <w:r w:rsidR="00A96D2B" w:rsidRPr="00995832">
        <w:rPr>
          <w:rFonts w:ascii="Times New Roman" w:hAnsi="Times New Roman"/>
        </w:rPr>
        <w:t>Hoteleiros</w:t>
      </w:r>
      <w:r w:rsidRPr="00995832">
        <w:rPr>
          <w:rFonts w:ascii="Times New Roman" w:hAnsi="Times New Roman"/>
        </w:rPr>
        <w:t xml:space="preserve"> LTDA poderão ser responsabilizados e deverão responder pelo crime de fraude aos credores, com aumento de pena de 1/6 (um sexto) a 1/3 (um terço), uma vez que o agente sim</w:t>
      </w:r>
      <w:r w:rsidR="00B70DEE" w:rsidRPr="00995832">
        <w:rPr>
          <w:rFonts w:ascii="Times New Roman" w:hAnsi="Times New Roman"/>
        </w:rPr>
        <w:t>ulou a composição do capital social.</w:t>
      </w:r>
    </w:p>
    <w:p w:rsidR="00BD27E4" w:rsidRPr="00995832" w:rsidRDefault="00BD27E4" w:rsidP="00BD27E4">
      <w:pPr>
        <w:spacing w:line="360" w:lineRule="auto"/>
        <w:jc w:val="both"/>
        <w:rPr>
          <w:rFonts w:ascii="Times New Roman" w:hAnsi="Times New Roman"/>
        </w:rPr>
      </w:pPr>
    </w:p>
    <w:p w:rsidR="003C6586" w:rsidRPr="00995832" w:rsidRDefault="003C6586" w:rsidP="003C6586">
      <w:pPr>
        <w:pStyle w:val="PargrafodaLista"/>
        <w:numPr>
          <w:ilvl w:val="0"/>
          <w:numId w:val="1"/>
        </w:numPr>
        <w:tabs>
          <w:tab w:val="left" w:pos="284"/>
        </w:tabs>
        <w:spacing w:line="360" w:lineRule="auto"/>
        <w:ind w:left="0" w:firstLine="0"/>
        <w:jc w:val="both"/>
        <w:rPr>
          <w:rFonts w:ascii="Times New Roman" w:hAnsi="Times New Roman"/>
        </w:rPr>
      </w:pPr>
      <w:r w:rsidRPr="00995832">
        <w:rPr>
          <w:rFonts w:ascii="Times New Roman" w:hAnsi="Times New Roman"/>
        </w:rPr>
        <w:t>Condenar somente os sócios da empresa pelo crime de fraude aos credores.</w:t>
      </w:r>
    </w:p>
    <w:p w:rsidR="004C67EC" w:rsidRPr="00995832" w:rsidRDefault="00852C72" w:rsidP="008A3B5F">
      <w:pPr>
        <w:tabs>
          <w:tab w:val="left" w:pos="284"/>
        </w:tabs>
        <w:spacing w:line="360" w:lineRule="auto"/>
        <w:ind w:firstLine="1134"/>
        <w:jc w:val="both"/>
        <w:rPr>
          <w:rFonts w:ascii="Times New Roman" w:hAnsi="Times New Roman"/>
        </w:rPr>
      </w:pPr>
      <w:r w:rsidRPr="00995832">
        <w:rPr>
          <w:rFonts w:ascii="Times New Roman" w:hAnsi="Times New Roman"/>
        </w:rPr>
        <w:t xml:space="preserve">No que tange os crimes falimentares, o sujeito ativo, como regra, são os sócios, que figuram como os representantes da empresa. Por se tratar, a </w:t>
      </w:r>
      <w:proofErr w:type="spellStart"/>
      <w:r w:rsidRPr="00995832">
        <w:rPr>
          <w:rFonts w:ascii="Times New Roman" w:hAnsi="Times New Roman"/>
        </w:rPr>
        <w:t>Ene</w:t>
      </w:r>
      <w:proofErr w:type="spellEnd"/>
      <w:r w:rsidRPr="00995832">
        <w:rPr>
          <w:rFonts w:ascii="Times New Roman" w:hAnsi="Times New Roman"/>
        </w:rPr>
        <w:t xml:space="preserve"> &amp; Energúmenos</w:t>
      </w:r>
      <w:r w:rsidR="007E365C" w:rsidRPr="00995832">
        <w:rPr>
          <w:rFonts w:ascii="Times New Roman" w:hAnsi="Times New Roman"/>
        </w:rPr>
        <w:t>,</w:t>
      </w:r>
      <w:r w:rsidR="003D1089" w:rsidRPr="00995832">
        <w:rPr>
          <w:rFonts w:ascii="Times New Roman" w:hAnsi="Times New Roman"/>
        </w:rPr>
        <w:t xml:space="preserve"> de uma sociedade limitada, e</w:t>
      </w:r>
      <w:r w:rsidRPr="00995832">
        <w:rPr>
          <w:rFonts w:ascii="Times New Roman" w:hAnsi="Times New Roman"/>
        </w:rPr>
        <w:t xml:space="preserve"> não fazendo a </w:t>
      </w:r>
      <w:r w:rsidR="003D1089" w:rsidRPr="00995832">
        <w:rPr>
          <w:rFonts w:ascii="Times New Roman" w:hAnsi="Times New Roman"/>
        </w:rPr>
        <w:t>legislação</w:t>
      </w:r>
      <w:r w:rsidRPr="00995832">
        <w:rPr>
          <w:rFonts w:ascii="Times New Roman" w:hAnsi="Times New Roman"/>
        </w:rPr>
        <w:t xml:space="preserve"> distinção quanto ao seu devido tratamento, deve-se levar em consideração a lei n. 11.101/05</w:t>
      </w:r>
      <w:r w:rsidR="004C67EC" w:rsidRPr="00995832">
        <w:rPr>
          <w:rFonts w:ascii="Times New Roman" w:hAnsi="Times New Roman"/>
        </w:rPr>
        <w:t xml:space="preserve">. Assim, como </w:t>
      </w:r>
      <w:r w:rsidR="00127FFB" w:rsidRPr="00995832">
        <w:rPr>
          <w:rFonts w:ascii="Times New Roman" w:hAnsi="Times New Roman"/>
        </w:rPr>
        <w:t>leciona</w:t>
      </w:r>
      <w:r w:rsidR="004C67EC" w:rsidRPr="00995832">
        <w:rPr>
          <w:rFonts w:ascii="Times New Roman" w:hAnsi="Times New Roman"/>
        </w:rPr>
        <w:t xml:space="preserve"> </w:t>
      </w:r>
      <w:proofErr w:type="spellStart"/>
      <w:r w:rsidR="004C67EC" w:rsidRPr="00995832">
        <w:rPr>
          <w:rFonts w:ascii="Times New Roman" w:hAnsi="Times New Roman"/>
        </w:rPr>
        <w:t>Fazzio</w:t>
      </w:r>
      <w:proofErr w:type="spellEnd"/>
      <w:r w:rsidR="004C67EC" w:rsidRPr="00995832">
        <w:rPr>
          <w:rFonts w:ascii="Times New Roman" w:hAnsi="Times New Roman"/>
        </w:rPr>
        <w:t xml:space="preserve"> Júnior (2012, p.35)</w:t>
      </w:r>
      <w:r w:rsidR="00214BBD" w:rsidRPr="00995832">
        <w:rPr>
          <w:rFonts w:ascii="Times New Roman" w:hAnsi="Times New Roman"/>
        </w:rPr>
        <w:t xml:space="preserve">, ainda que decretada a falência, </w:t>
      </w:r>
      <w:proofErr w:type="gramStart"/>
      <w:r w:rsidR="00214BBD" w:rsidRPr="00995832">
        <w:rPr>
          <w:rFonts w:ascii="Times New Roman" w:hAnsi="Times New Roman"/>
        </w:rPr>
        <w:t>os sócios da sociedade limitada tem</w:t>
      </w:r>
      <w:proofErr w:type="gramEnd"/>
      <w:r w:rsidR="00214BBD" w:rsidRPr="00995832">
        <w:rPr>
          <w:rFonts w:ascii="Times New Roman" w:hAnsi="Times New Roman"/>
        </w:rPr>
        <w:t xml:space="preserve"> obrigação solidária de integralizar o capital</w:t>
      </w:r>
      <w:r w:rsidR="00D65DF2" w:rsidRPr="00995832">
        <w:rPr>
          <w:rFonts w:ascii="Times New Roman" w:hAnsi="Times New Roman"/>
        </w:rPr>
        <w:t>, não existindo unicidade entre capital social e pessoal. Por isso,</w:t>
      </w:r>
    </w:p>
    <w:p w:rsidR="00D65DF2" w:rsidRPr="00995832" w:rsidRDefault="00D65DF2" w:rsidP="00D65DF2">
      <w:pPr>
        <w:tabs>
          <w:tab w:val="left" w:pos="284"/>
        </w:tabs>
        <w:spacing w:before="240"/>
        <w:ind w:left="2268"/>
        <w:jc w:val="both"/>
        <w:rPr>
          <w:rFonts w:ascii="Times New Roman" w:hAnsi="Times New Roman"/>
          <w:sz w:val="20"/>
        </w:rPr>
      </w:pPr>
      <w:r w:rsidRPr="00995832">
        <w:rPr>
          <w:rFonts w:ascii="Times New Roman" w:hAnsi="Times New Roman"/>
          <w:sz w:val="20"/>
        </w:rPr>
        <w:lastRenderedPageBreak/>
        <w:t xml:space="preserve">Pode ocorrer a responsabilização pessoal dos administradores da sociedade anônima ou limitada, em virtude de atuação irregular. Desta são amostras significativas o abuso de mandato, o descumprimento da lei, e a infração aos estatutos e ao contrato social. Desaparece a autonomia patrimonial de sua condição social para </w:t>
      </w:r>
      <w:proofErr w:type="gramStart"/>
      <w:r w:rsidRPr="00995832">
        <w:rPr>
          <w:rFonts w:ascii="Times New Roman" w:hAnsi="Times New Roman"/>
          <w:sz w:val="20"/>
        </w:rPr>
        <w:t>oportunizar lhes</w:t>
      </w:r>
      <w:proofErr w:type="gramEnd"/>
      <w:r w:rsidRPr="00995832">
        <w:rPr>
          <w:rFonts w:ascii="Times New Roman" w:hAnsi="Times New Roman"/>
          <w:sz w:val="20"/>
        </w:rPr>
        <w:t xml:space="preserve"> a responsabilização decorrente daquela atuação.</w:t>
      </w:r>
      <w:r w:rsidR="00702279" w:rsidRPr="00995832">
        <w:rPr>
          <w:rFonts w:ascii="Times New Roman" w:hAnsi="Times New Roman"/>
          <w:sz w:val="20"/>
        </w:rPr>
        <w:t xml:space="preserve"> (FAZZIO JR, 2012, p.46).</w:t>
      </w:r>
    </w:p>
    <w:p w:rsidR="00072ECA" w:rsidRPr="00995832" w:rsidRDefault="004632E1" w:rsidP="0027505F">
      <w:pPr>
        <w:tabs>
          <w:tab w:val="left" w:pos="284"/>
        </w:tabs>
        <w:spacing w:before="240" w:line="360" w:lineRule="auto"/>
        <w:ind w:firstLine="1134"/>
        <w:jc w:val="both"/>
        <w:rPr>
          <w:rFonts w:ascii="Times New Roman" w:hAnsi="Times New Roman"/>
        </w:rPr>
      </w:pPr>
      <w:r w:rsidRPr="00995832">
        <w:rPr>
          <w:rFonts w:ascii="Times New Roman" w:hAnsi="Times New Roman"/>
        </w:rPr>
        <w:t>Na mesma direção posiciona-se, Amador Paes de Almeida (2012, p.386) ao afirmar que na eventualidade de o falido ser soci</w:t>
      </w:r>
      <w:r w:rsidR="003D1089" w:rsidRPr="00995832">
        <w:rPr>
          <w:rFonts w:ascii="Times New Roman" w:hAnsi="Times New Roman"/>
        </w:rPr>
        <w:t>edade empresá</w:t>
      </w:r>
      <w:r w:rsidRPr="00995832">
        <w:rPr>
          <w:rFonts w:ascii="Times New Roman" w:hAnsi="Times New Roman"/>
        </w:rPr>
        <w:t>ria a responsabilidade por crimes falimentares deve ser atribuída às pessoas físicas dos respectivos administradores ou diretores (sócios), como afirma o art. 179 da LFRE.</w:t>
      </w:r>
    </w:p>
    <w:p w:rsidR="00FA7423" w:rsidRPr="00995832" w:rsidRDefault="00FA7423" w:rsidP="00FA7423">
      <w:pPr>
        <w:tabs>
          <w:tab w:val="left" w:pos="284"/>
        </w:tabs>
        <w:spacing w:line="360" w:lineRule="auto"/>
        <w:ind w:firstLine="1134"/>
        <w:jc w:val="both"/>
        <w:rPr>
          <w:rFonts w:ascii="Times New Roman" w:hAnsi="Times New Roman"/>
        </w:rPr>
      </w:pPr>
      <w:r w:rsidRPr="00995832">
        <w:rPr>
          <w:rFonts w:ascii="Times New Roman" w:hAnsi="Times New Roman"/>
        </w:rPr>
        <w:t xml:space="preserve">Os principais efeitos da condenação do agente ao cumprimento da pena de reclusão de 3 a 6 anos, e multa, aumentada de 1/6 a 1/3, em virtude do cometimento do aumento de pena do n. IV, do art. 168, são o impedimento para os pedidos de recuperação judicial ou extrajudicial, bem como a inabilitação para o exercício de atividade </w:t>
      </w:r>
      <w:r w:rsidR="003D1089" w:rsidRPr="00995832">
        <w:rPr>
          <w:rFonts w:ascii="Times New Roman" w:hAnsi="Times New Roman"/>
        </w:rPr>
        <w:t>empresarial por até</w:t>
      </w:r>
      <w:r w:rsidRPr="00995832">
        <w:rPr>
          <w:rFonts w:ascii="Times New Roman" w:hAnsi="Times New Roman"/>
        </w:rPr>
        <w:t xml:space="preserve"> 5 anos após a reabilitação penal ou a extinção da punibilidade, como dispõem os </w:t>
      </w:r>
      <w:proofErr w:type="spellStart"/>
      <w:r w:rsidRPr="00995832">
        <w:rPr>
          <w:rFonts w:ascii="Times New Roman" w:hAnsi="Times New Roman"/>
        </w:rPr>
        <w:t>arts</w:t>
      </w:r>
      <w:proofErr w:type="spellEnd"/>
      <w:r w:rsidRPr="00995832">
        <w:rPr>
          <w:rFonts w:ascii="Times New Roman" w:hAnsi="Times New Roman"/>
        </w:rPr>
        <w:t>. 93, 94 e 95, do Código Penal Brasileiro.</w:t>
      </w:r>
    </w:p>
    <w:p w:rsidR="00FA7423" w:rsidRPr="00995832" w:rsidRDefault="00FA7423" w:rsidP="00FA7423">
      <w:pPr>
        <w:tabs>
          <w:tab w:val="left" w:pos="284"/>
        </w:tabs>
        <w:spacing w:line="360" w:lineRule="auto"/>
        <w:ind w:firstLine="1134"/>
        <w:jc w:val="both"/>
        <w:rPr>
          <w:rFonts w:ascii="Times New Roman" w:hAnsi="Times New Roman"/>
        </w:rPr>
      </w:pPr>
      <w:r w:rsidRPr="00995832">
        <w:rPr>
          <w:rFonts w:ascii="Times New Roman" w:hAnsi="Times New Roman"/>
        </w:rPr>
        <w:t xml:space="preserve">Não há que se falar, ressalta-se, na responsabilização penal da pessoa jurídica da empresa </w:t>
      </w:r>
      <w:proofErr w:type="spellStart"/>
      <w:r w:rsidRPr="00995832">
        <w:rPr>
          <w:rFonts w:ascii="Times New Roman" w:hAnsi="Times New Roman"/>
        </w:rPr>
        <w:t>Ene</w:t>
      </w:r>
      <w:proofErr w:type="spellEnd"/>
      <w:r w:rsidRPr="00995832">
        <w:rPr>
          <w:rFonts w:ascii="Times New Roman" w:hAnsi="Times New Roman"/>
        </w:rPr>
        <w:t xml:space="preserve"> &amp; Energúmenos Empreendimentos Hoteleiros LTDA, uma vez que não condiz com a sua natureza tal responsabilização, excetuando-se os casos de crimes ambientais. Em decorrência da pena cominada para o crime falimentar em questão (reclusão), é impossível a condenação da Pessoa Jurídica, a qual deve ser representada pelos agentes físicos da empresa – estes, como supracitado, responderão pelos atos ilícitos.</w:t>
      </w:r>
    </w:p>
    <w:p w:rsidR="00957E40" w:rsidRPr="00995832" w:rsidRDefault="00957E40" w:rsidP="00957E40">
      <w:pPr>
        <w:tabs>
          <w:tab w:val="left" w:pos="284"/>
        </w:tabs>
        <w:ind w:left="2268"/>
        <w:jc w:val="both"/>
        <w:rPr>
          <w:rFonts w:ascii="Times New Roman" w:hAnsi="Times New Roman"/>
          <w:sz w:val="20"/>
        </w:rPr>
      </w:pPr>
      <w:r w:rsidRPr="00995832">
        <w:rPr>
          <w:rFonts w:ascii="Times New Roman" w:hAnsi="Times New Roman"/>
          <w:sz w:val="20"/>
        </w:rPr>
        <w:t>A pessoa jurídica, desvinculada da pessoa física de seus sócios, foi criada para facilitar um negócio a se começar, uma vez que a associação com outras pessoas, estabelecendo uma sociedade, se mostrava um interessante meio, pois fornecia recursos e forças para se criar uma empresa. (LUDVIG, 2010, p.2).</w:t>
      </w:r>
    </w:p>
    <w:p w:rsidR="00820590" w:rsidRPr="00995832" w:rsidRDefault="00812304" w:rsidP="0027505F">
      <w:pPr>
        <w:tabs>
          <w:tab w:val="left" w:pos="284"/>
        </w:tabs>
        <w:spacing w:before="240" w:line="360" w:lineRule="auto"/>
        <w:ind w:firstLine="1134"/>
        <w:jc w:val="both"/>
        <w:rPr>
          <w:rFonts w:ascii="Times New Roman" w:hAnsi="Times New Roman"/>
        </w:rPr>
      </w:pPr>
      <w:r w:rsidRPr="00995832">
        <w:rPr>
          <w:rFonts w:ascii="Times New Roman" w:hAnsi="Times New Roman"/>
        </w:rPr>
        <w:t xml:space="preserve">Diz </w:t>
      </w:r>
      <w:proofErr w:type="spellStart"/>
      <w:r w:rsidRPr="00995832">
        <w:rPr>
          <w:rFonts w:ascii="Times New Roman" w:hAnsi="Times New Roman"/>
        </w:rPr>
        <w:t>Ecio</w:t>
      </w:r>
      <w:proofErr w:type="spellEnd"/>
      <w:r w:rsidRPr="00995832">
        <w:rPr>
          <w:rFonts w:ascii="Times New Roman" w:hAnsi="Times New Roman"/>
        </w:rPr>
        <w:t xml:space="preserve"> Perin (2006, p.</w:t>
      </w:r>
      <w:r w:rsidR="00305294" w:rsidRPr="00995832">
        <w:rPr>
          <w:rFonts w:ascii="Times New Roman" w:hAnsi="Times New Roman"/>
        </w:rPr>
        <w:t>381-382)</w:t>
      </w:r>
      <w:r w:rsidRPr="00995832">
        <w:rPr>
          <w:rFonts w:ascii="Times New Roman" w:hAnsi="Times New Roman"/>
        </w:rPr>
        <w:t xml:space="preserve"> que, quando se tratar de falência de sociedade empresarial, a pessoa jurídica não </w:t>
      </w:r>
      <w:r w:rsidR="00305294" w:rsidRPr="00995832">
        <w:rPr>
          <w:rFonts w:ascii="Times New Roman" w:hAnsi="Times New Roman"/>
        </w:rPr>
        <w:t>poderá ser responsabilizada. Por isso, o art. 179 da LFRE prevê a equiparação ao falido do representante legal da sociedade. Ao buscar a viabilidade da responsabilização penal da PJ nos casos de crime falimentar, conclui</w:t>
      </w:r>
      <w:r w:rsidR="003D1089" w:rsidRPr="00995832">
        <w:rPr>
          <w:rFonts w:ascii="Times New Roman" w:hAnsi="Times New Roman"/>
        </w:rPr>
        <w:t>-se</w:t>
      </w:r>
      <w:r w:rsidR="00305294" w:rsidRPr="00995832">
        <w:rPr>
          <w:rFonts w:ascii="Times New Roman" w:hAnsi="Times New Roman"/>
        </w:rPr>
        <w:t xml:space="preserve"> que é totalmente inviável essa possibilidade, principalmente em confronto com os princípios gerais de imputação.</w:t>
      </w:r>
      <w:r w:rsidR="00C96DCF" w:rsidRPr="00995832">
        <w:rPr>
          <w:rFonts w:ascii="Times New Roman" w:hAnsi="Times New Roman"/>
        </w:rPr>
        <w:t xml:space="preserve"> Dessa forma, não se pode pensar na responsabilização da pessoa jurídica, levando-se em conta, ainda, o fato de não existir previsão legal para tanto.</w:t>
      </w:r>
    </w:p>
    <w:p w:rsidR="0046790D" w:rsidRPr="00995832" w:rsidRDefault="0046790D" w:rsidP="008465F4">
      <w:pPr>
        <w:tabs>
          <w:tab w:val="left" w:pos="284"/>
        </w:tabs>
        <w:spacing w:line="360" w:lineRule="auto"/>
        <w:jc w:val="both"/>
        <w:rPr>
          <w:rFonts w:ascii="Times New Roman" w:hAnsi="Times New Roman"/>
        </w:rPr>
      </w:pPr>
    </w:p>
    <w:p w:rsidR="0046790D" w:rsidRPr="00995832" w:rsidRDefault="0046790D" w:rsidP="0046790D">
      <w:pPr>
        <w:pStyle w:val="PargrafodaLista"/>
        <w:numPr>
          <w:ilvl w:val="0"/>
          <w:numId w:val="1"/>
        </w:numPr>
        <w:tabs>
          <w:tab w:val="left" w:pos="284"/>
        </w:tabs>
        <w:spacing w:line="360" w:lineRule="auto"/>
        <w:ind w:left="0" w:firstLine="0"/>
        <w:jc w:val="both"/>
        <w:rPr>
          <w:rFonts w:ascii="Times New Roman" w:hAnsi="Times New Roman"/>
        </w:rPr>
      </w:pPr>
      <w:r w:rsidRPr="00995832">
        <w:rPr>
          <w:rFonts w:ascii="Times New Roman" w:hAnsi="Times New Roman"/>
        </w:rPr>
        <w:t>Condenar os sócios e os equiparados do §3º, art. 168, da empresa pelo crime de fraude aos credores.</w:t>
      </w:r>
    </w:p>
    <w:p w:rsidR="000358E4" w:rsidRPr="00995832" w:rsidRDefault="008D6B8F" w:rsidP="0046790D">
      <w:pPr>
        <w:tabs>
          <w:tab w:val="left" w:pos="284"/>
        </w:tabs>
        <w:spacing w:line="360" w:lineRule="auto"/>
        <w:ind w:firstLine="1134"/>
        <w:jc w:val="both"/>
        <w:rPr>
          <w:rFonts w:ascii="Times New Roman" w:hAnsi="Times New Roman"/>
        </w:rPr>
      </w:pPr>
      <w:r w:rsidRPr="00995832">
        <w:rPr>
          <w:rFonts w:ascii="Times New Roman" w:hAnsi="Times New Roman"/>
        </w:rPr>
        <w:t xml:space="preserve">Dado ao exposto, é possível concluir que a responsabilização penal dos sócios da empresa </w:t>
      </w:r>
      <w:proofErr w:type="spellStart"/>
      <w:r w:rsidRPr="00995832">
        <w:rPr>
          <w:rFonts w:ascii="Times New Roman" w:hAnsi="Times New Roman"/>
        </w:rPr>
        <w:t>Ene</w:t>
      </w:r>
      <w:proofErr w:type="spellEnd"/>
      <w:r w:rsidRPr="00995832">
        <w:rPr>
          <w:rFonts w:ascii="Times New Roman" w:hAnsi="Times New Roman"/>
        </w:rPr>
        <w:t xml:space="preserve"> &amp; Energúmenos Empreendimentos Hoteleiros LTDA é plenamente viável e </w:t>
      </w:r>
      <w:r w:rsidRPr="00995832">
        <w:rPr>
          <w:rFonts w:ascii="Times New Roman" w:hAnsi="Times New Roman"/>
        </w:rPr>
        <w:lastRenderedPageBreak/>
        <w:t>possível, não restando dúvidas quanto ao seu cabimento legal e fático.</w:t>
      </w:r>
      <w:r w:rsidR="007C28AB" w:rsidRPr="00995832">
        <w:rPr>
          <w:rFonts w:ascii="Times New Roman" w:hAnsi="Times New Roman"/>
        </w:rPr>
        <w:t xml:space="preserve"> Ocorre que, há que se afirmar</w:t>
      </w:r>
      <w:r w:rsidR="0066567A" w:rsidRPr="00995832">
        <w:rPr>
          <w:rFonts w:ascii="Times New Roman" w:hAnsi="Times New Roman"/>
        </w:rPr>
        <w:t xml:space="preserve"> a possibilidade também de, juntamente aos sócios – como representa</w:t>
      </w:r>
      <w:r w:rsidR="003D1089" w:rsidRPr="00995832">
        <w:rPr>
          <w:rFonts w:ascii="Times New Roman" w:hAnsi="Times New Roman"/>
        </w:rPr>
        <w:t>ntes legais da sociedade empresá</w:t>
      </w:r>
      <w:r w:rsidR="0066567A" w:rsidRPr="00995832">
        <w:rPr>
          <w:rFonts w:ascii="Times New Roman" w:hAnsi="Times New Roman"/>
        </w:rPr>
        <w:t>ria -, se responsabilizar terceiros, quais sejam os contadores, técnicos contábeis, auditores e outros profissionais que, de qualquer modo, concorreram para a simulação da composição do capital social da empresa.</w:t>
      </w:r>
    </w:p>
    <w:p w:rsidR="00796527" w:rsidRPr="00995832" w:rsidRDefault="0080291B" w:rsidP="0046790D">
      <w:pPr>
        <w:tabs>
          <w:tab w:val="left" w:pos="284"/>
        </w:tabs>
        <w:spacing w:line="360" w:lineRule="auto"/>
        <w:ind w:firstLine="1134"/>
        <w:jc w:val="both"/>
        <w:rPr>
          <w:rFonts w:ascii="Times New Roman" w:hAnsi="Times New Roman"/>
        </w:rPr>
      </w:pPr>
      <w:r w:rsidRPr="00995832">
        <w:rPr>
          <w:rFonts w:ascii="Times New Roman" w:hAnsi="Times New Roman"/>
        </w:rPr>
        <w:t xml:space="preserve">Afirma </w:t>
      </w:r>
      <w:proofErr w:type="spellStart"/>
      <w:r w:rsidRPr="00995832">
        <w:rPr>
          <w:rFonts w:ascii="Times New Roman" w:hAnsi="Times New Roman"/>
        </w:rPr>
        <w:t>Tomazette</w:t>
      </w:r>
      <w:proofErr w:type="spellEnd"/>
      <w:r w:rsidRPr="00995832">
        <w:rPr>
          <w:rFonts w:ascii="Times New Roman" w:hAnsi="Times New Roman"/>
        </w:rPr>
        <w:t xml:space="preserve"> (2012, p.547)</w:t>
      </w:r>
      <w:r w:rsidR="0029099B" w:rsidRPr="00995832">
        <w:rPr>
          <w:rFonts w:ascii="Times New Roman" w:hAnsi="Times New Roman"/>
        </w:rPr>
        <w:t xml:space="preserve"> que o crime de fraude aos credores (art. 168) pressupõe um concurso necessário de pessoas, de modo que “incorrem nas mesmas penas quaisquer colaboradores do empresário ou da sociedade empresaria que pratiquem condutas previstas para este tipo </w:t>
      </w:r>
      <w:proofErr w:type="gramStart"/>
      <w:r w:rsidR="0029099B" w:rsidRPr="00995832">
        <w:rPr>
          <w:rFonts w:ascii="Times New Roman" w:hAnsi="Times New Roman"/>
        </w:rPr>
        <w:t>penal.”</w:t>
      </w:r>
      <w:proofErr w:type="gramEnd"/>
      <w:r w:rsidR="0029099B" w:rsidRPr="00995832">
        <w:rPr>
          <w:rFonts w:ascii="Times New Roman" w:hAnsi="Times New Roman"/>
        </w:rPr>
        <w:t>.</w:t>
      </w:r>
      <w:r w:rsidR="00964A4A" w:rsidRPr="00995832">
        <w:rPr>
          <w:rFonts w:ascii="Times New Roman" w:hAnsi="Times New Roman"/>
        </w:rPr>
        <w:t xml:space="preserve"> Assim, como disserta o §3º do referido artigo</w:t>
      </w:r>
      <w:r w:rsidR="00955B2D" w:rsidRPr="00995832">
        <w:rPr>
          <w:rFonts w:ascii="Times New Roman" w:hAnsi="Times New Roman"/>
        </w:rPr>
        <w:t>, pelo fato de terem contribuído para a conduta, em razão de seus cargos, devem também os citados responder pelo crime falimentar.</w:t>
      </w:r>
    </w:p>
    <w:p w:rsidR="003C6586" w:rsidRPr="00995832" w:rsidRDefault="003D1089" w:rsidP="00D83026">
      <w:pPr>
        <w:tabs>
          <w:tab w:val="left" w:pos="284"/>
        </w:tabs>
        <w:spacing w:line="360" w:lineRule="auto"/>
        <w:ind w:firstLine="1134"/>
        <w:jc w:val="both"/>
        <w:rPr>
          <w:rFonts w:ascii="Times New Roman" w:hAnsi="Times New Roman"/>
        </w:rPr>
      </w:pPr>
      <w:r w:rsidRPr="00995832">
        <w:rPr>
          <w:rFonts w:ascii="Times New Roman" w:hAnsi="Times New Roman"/>
        </w:rPr>
        <w:t>Do mesmo modo</w:t>
      </w:r>
      <w:r w:rsidR="00EA2A65" w:rsidRPr="00995832">
        <w:rPr>
          <w:rFonts w:ascii="Times New Roman" w:hAnsi="Times New Roman"/>
        </w:rPr>
        <w:t xml:space="preserve">, como explica </w:t>
      </w:r>
      <w:proofErr w:type="spellStart"/>
      <w:r w:rsidR="00EA2A65" w:rsidRPr="00995832">
        <w:rPr>
          <w:rFonts w:ascii="Times New Roman" w:hAnsi="Times New Roman"/>
        </w:rPr>
        <w:t>Ecio</w:t>
      </w:r>
      <w:proofErr w:type="spellEnd"/>
      <w:r w:rsidR="00EA2A65" w:rsidRPr="00995832">
        <w:rPr>
          <w:rFonts w:ascii="Times New Roman" w:hAnsi="Times New Roman"/>
        </w:rPr>
        <w:t xml:space="preserve"> Perin</w:t>
      </w:r>
      <w:r w:rsidR="007B37A7" w:rsidRPr="00995832">
        <w:rPr>
          <w:rFonts w:ascii="Times New Roman" w:hAnsi="Times New Roman"/>
        </w:rPr>
        <w:t xml:space="preserve"> (2006, p.365)</w:t>
      </w:r>
      <w:r w:rsidR="00EA2A65" w:rsidRPr="00995832">
        <w:rPr>
          <w:rFonts w:ascii="Times New Roman" w:hAnsi="Times New Roman"/>
        </w:rPr>
        <w:t>, o devedor é o sujeito ativo dos crimes falimentares. A responsabilidade penal, porém, não está limitada ao empresário, podendo se estender à terceiros – empresários ou não -, citando</w:t>
      </w:r>
      <w:r w:rsidR="0072613D" w:rsidRPr="00995832">
        <w:rPr>
          <w:rFonts w:ascii="Times New Roman" w:hAnsi="Times New Roman"/>
        </w:rPr>
        <w:t>-se</w:t>
      </w:r>
      <w:r w:rsidR="00EA2A65" w:rsidRPr="00995832">
        <w:rPr>
          <w:rFonts w:ascii="Times New Roman" w:hAnsi="Times New Roman"/>
        </w:rPr>
        <w:t xml:space="preserve"> como exemplo aquele que pratica fraude contra os credores, a quem se</w:t>
      </w:r>
      <w:r w:rsidR="00D83026" w:rsidRPr="00995832">
        <w:rPr>
          <w:rFonts w:ascii="Times New Roman" w:hAnsi="Times New Roman"/>
        </w:rPr>
        <w:t xml:space="preserve"> aplica as regras da coautoria</w:t>
      </w:r>
    </w:p>
    <w:p w:rsidR="005E1A67" w:rsidRPr="00995832" w:rsidRDefault="005E1A67"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A32C36" w:rsidRPr="00995832" w:rsidRDefault="00A32C36" w:rsidP="005E1A67">
      <w:pPr>
        <w:pStyle w:val="PargrafodaLista"/>
        <w:spacing w:line="360" w:lineRule="auto"/>
        <w:ind w:left="360"/>
        <w:jc w:val="both"/>
        <w:rPr>
          <w:rFonts w:ascii="Times New Roman" w:hAnsi="Times New Roman"/>
        </w:rPr>
      </w:pPr>
    </w:p>
    <w:p w:rsidR="00D83026" w:rsidRPr="00995832" w:rsidRDefault="005E1A67" w:rsidP="005E1A67">
      <w:pPr>
        <w:pStyle w:val="PargrafodaLista"/>
        <w:numPr>
          <w:ilvl w:val="1"/>
          <w:numId w:val="6"/>
        </w:numPr>
        <w:spacing w:line="360" w:lineRule="auto"/>
        <w:ind w:left="0" w:firstLine="0"/>
        <w:jc w:val="both"/>
        <w:rPr>
          <w:rFonts w:ascii="Times New Roman" w:hAnsi="Times New Roman"/>
        </w:rPr>
      </w:pPr>
      <w:r w:rsidRPr="00995832">
        <w:rPr>
          <w:rFonts w:ascii="Times New Roman" w:hAnsi="Times New Roman"/>
        </w:rPr>
        <w:lastRenderedPageBreak/>
        <w:t>DESCRIÇÃO DOS CRITÉRIOS E VALORES (EXPLÍCITOS E/OU IMPLÍCITOS) CONTIDOS EM CADA DECISÃO POSSÍVEL:</w:t>
      </w:r>
    </w:p>
    <w:p w:rsidR="00494FF8" w:rsidRPr="00995832" w:rsidRDefault="00D83026" w:rsidP="005E1A67">
      <w:pPr>
        <w:pStyle w:val="PargrafodaLista"/>
        <w:numPr>
          <w:ilvl w:val="0"/>
          <w:numId w:val="7"/>
        </w:numPr>
        <w:spacing w:line="360" w:lineRule="auto"/>
        <w:jc w:val="both"/>
        <w:rPr>
          <w:rFonts w:ascii="Times New Roman" w:hAnsi="Times New Roman"/>
        </w:rPr>
      </w:pPr>
      <w:r w:rsidRPr="00995832">
        <w:rPr>
          <w:rFonts w:ascii="Times New Roman" w:hAnsi="Times New Roman"/>
        </w:rPr>
        <w:t>Princípio da unicidade dos crimes falimentares:</w:t>
      </w:r>
      <w:r w:rsidR="00494FF8" w:rsidRPr="00995832">
        <w:rPr>
          <w:rFonts w:ascii="Times New Roman" w:hAnsi="Times New Roman"/>
        </w:rPr>
        <w:t xml:space="preserve"> </w:t>
      </w:r>
    </w:p>
    <w:p w:rsidR="00D83026" w:rsidRPr="00995832" w:rsidRDefault="00494FF8" w:rsidP="00494FF8">
      <w:pPr>
        <w:pStyle w:val="PargrafodaLista"/>
        <w:spacing w:line="360" w:lineRule="auto"/>
        <w:ind w:left="360"/>
        <w:jc w:val="both"/>
        <w:rPr>
          <w:rFonts w:ascii="Times New Roman" w:hAnsi="Times New Roman"/>
        </w:rPr>
      </w:pPr>
      <w:r w:rsidRPr="00995832">
        <w:rPr>
          <w:rFonts w:ascii="Times New Roman" w:hAnsi="Times New Roman"/>
        </w:rPr>
        <w:tab/>
      </w:r>
      <w:r w:rsidR="00D83026" w:rsidRPr="00995832">
        <w:rPr>
          <w:rFonts w:ascii="Times New Roman" w:hAnsi="Times New Roman"/>
        </w:rPr>
        <w:t xml:space="preserve">É mister destacar que a doutrina </w:t>
      </w:r>
      <w:r w:rsidR="00FC506D" w:rsidRPr="00995832">
        <w:rPr>
          <w:rFonts w:ascii="Times New Roman" w:hAnsi="Times New Roman"/>
        </w:rPr>
        <w:t>não neg</w:t>
      </w:r>
      <w:r w:rsidR="00D83026" w:rsidRPr="00995832">
        <w:rPr>
          <w:rFonts w:ascii="Times New Roman" w:hAnsi="Times New Roman"/>
        </w:rPr>
        <w:t xml:space="preserve">a </w:t>
      </w:r>
      <w:r w:rsidR="00FC506D" w:rsidRPr="00995832">
        <w:rPr>
          <w:rFonts w:ascii="Times New Roman" w:hAnsi="Times New Roman"/>
        </w:rPr>
        <w:t xml:space="preserve">a </w:t>
      </w:r>
      <w:r w:rsidR="00D83026" w:rsidRPr="00995832">
        <w:rPr>
          <w:rFonts w:ascii="Times New Roman" w:hAnsi="Times New Roman"/>
        </w:rPr>
        <w:t>possibilidade de concurso entre cri</w:t>
      </w:r>
      <w:r w:rsidR="00FC506D" w:rsidRPr="00995832">
        <w:rPr>
          <w:rFonts w:ascii="Times New Roman" w:hAnsi="Times New Roman"/>
        </w:rPr>
        <w:t>me comum e crime falimentar</w:t>
      </w:r>
      <w:r w:rsidR="00D83026" w:rsidRPr="00995832">
        <w:rPr>
          <w:rFonts w:ascii="Times New Roman" w:hAnsi="Times New Roman"/>
        </w:rPr>
        <w:t xml:space="preserve">, porém </w:t>
      </w:r>
      <w:r w:rsidR="00FC506D" w:rsidRPr="00995832">
        <w:rPr>
          <w:rFonts w:ascii="Times New Roman" w:hAnsi="Times New Roman"/>
        </w:rPr>
        <w:t xml:space="preserve">ao que é </w:t>
      </w:r>
      <w:r w:rsidR="00D83026" w:rsidRPr="00995832">
        <w:rPr>
          <w:rFonts w:ascii="Times New Roman" w:hAnsi="Times New Roman"/>
        </w:rPr>
        <w:t xml:space="preserve">atinente ao concurso entre crimes falimentares, o entendimento majoritário é </w:t>
      </w:r>
      <w:r w:rsidR="00FC506D" w:rsidRPr="00995832">
        <w:rPr>
          <w:rFonts w:ascii="Times New Roman" w:hAnsi="Times New Roman"/>
        </w:rPr>
        <w:t>essencialmente diverso à ap</w:t>
      </w:r>
      <w:r w:rsidRPr="00995832">
        <w:rPr>
          <w:rFonts w:ascii="Times New Roman" w:hAnsi="Times New Roman"/>
        </w:rPr>
        <w:t xml:space="preserve">licação das regras do concurso. O ministro Jorge </w:t>
      </w:r>
      <w:proofErr w:type="spellStart"/>
      <w:r w:rsidRPr="00995832">
        <w:rPr>
          <w:rFonts w:ascii="Times New Roman" w:hAnsi="Times New Roman"/>
        </w:rPr>
        <w:t>Scartezzini</w:t>
      </w:r>
      <w:proofErr w:type="spellEnd"/>
      <w:r w:rsidRPr="00995832">
        <w:rPr>
          <w:rFonts w:ascii="Times New Roman" w:hAnsi="Times New Roman"/>
        </w:rPr>
        <w:t xml:space="preserve">, em julgado, da quinta turma do STJ, em 28/8/2001, ensina que o fato criminoso que se pune em última análise, é a violação dos direitos dos credores pela superveniente insolvência do comerciante. </w:t>
      </w:r>
      <w:r w:rsidR="008E4D22" w:rsidRPr="00995832">
        <w:rPr>
          <w:rFonts w:ascii="Times New Roman" w:hAnsi="Times New Roman"/>
        </w:rPr>
        <w:t xml:space="preserve">E ainda em concordância com o Decreto-lei nº 7.661/1945 que </w:t>
      </w:r>
      <w:r w:rsidR="0026003A" w:rsidRPr="00995832">
        <w:rPr>
          <w:rFonts w:ascii="Times New Roman" w:hAnsi="Times New Roman"/>
        </w:rPr>
        <w:t>enaltece o princípio da unicidade dos crimes falimentares, que embora sejam inúmeras as condutas delituosas cometidas, o agente só poderá ser punido com uma das penas, qual seja, a mais gravosa, a considerar que seria única a lesão jurídica (TOMAZETTE, pg.556, 2011).</w:t>
      </w:r>
    </w:p>
    <w:p w:rsidR="00A32C36" w:rsidRPr="00995832" w:rsidRDefault="0026003A" w:rsidP="00A32C36">
      <w:pPr>
        <w:pStyle w:val="PargrafodaLista"/>
        <w:spacing w:line="360" w:lineRule="auto"/>
        <w:ind w:left="360"/>
        <w:jc w:val="both"/>
        <w:rPr>
          <w:rFonts w:ascii="Times New Roman" w:hAnsi="Times New Roman"/>
        </w:rPr>
      </w:pPr>
      <w:r w:rsidRPr="00995832">
        <w:rPr>
          <w:rFonts w:ascii="Times New Roman" w:hAnsi="Times New Roman"/>
        </w:rPr>
        <w:tab/>
        <w:t xml:space="preserve">Todavia, com a nova legislação, há quem entenda que é possível o concurso de crimes </w:t>
      </w:r>
      <w:proofErr w:type="spellStart"/>
      <w:r w:rsidRPr="00995832">
        <w:rPr>
          <w:rFonts w:ascii="Times New Roman" w:hAnsi="Times New Roman"/>
        </w:rPr>
        <w:t>antefalimentares</w:t>
      </w:r>
      <w:proofErr w:type="spellEnd"/>
      <w:r w:rsidRPr="00995832">
        <w:rPr>
          <w:rFonts w:ascii="Times New Roman" w:hAnsi="Times New Roman"/>
        </w:rPr>
        <w:t xml:space="preserve"> e pós-falimentares, justificando que não haveria o mesmo objeto nesses crimes</w:t>
      </w:r>
      <w:r w:rsidR="0013753F" w:rsidRPr="00995832">
        <w:rPr>
          <w:rFonts w:ascii="Times New Roman" w:hAnsi="Times New Roman"/>
        </w:rPr>
        <w:t xml:space="preserve"> </w:t>
      </w:r>
      <w:r w:rsidR="00A26C4B" w:rsidRPr="00995832">
        <w:rPr>
          <w:rFonts w:ascii="Times New Roman" w:hAnsi="Times New Roman"/>
        </w:rPr>
        <w:t xml:space="preserve">(NEGRÃO, pg.571, 2007). Em contrapartida, </w:t>
      </w:r>
      <w:r w:rsidR="0013753F" w:rsidRPr="00995832">
        <w:rPr>
          <w:rFonts w:ascii="Times New Roman" w:hAnsi="Times New Roman"/>
        </w:rPr>
        <w:t>mantém</w:t>
      </w:r>
      <w:r w:rsidR="00A26C4B" w:rsidRPr="00995832">
        <w:rPr>
          <w:rFonts w:ascii="Times New Roman" w:hAnsi="Times New Roman"/>
        </w:rPr>
        <w:t xml:space="preserve">-se em concordância com o principio da unicidade dos crimes falimentares, </w:t>
      </w:r>
      <w:r w:rsidR="00D77DA7" w:rsidRPr="00995832">
        <w:rPr>
          <w:rFonts w:ascii="Times New Roman" w:hAnsi="Times New Roman"/>
        </w:rPr>
        <w:t xml:space="preserve">o Superior </w:t>
      </w:r>
      <w:r w:rsidR="00A26C4B" w:rsidRPr="00995832">
        <w:rPr>
          <w:rFonts w:ascii="Times New Roman" w:hAnsi="Times New Roman"/>
        </w:rPr>
        <w:t>Tribunal de Justiça</w:t>
      </w:r>
      <w:r w:rsidR="00D77DA7" w:rsidRPr="00995832">
        <w:rPr>
          <w:rFonts w:ascii="Times New Roman" w:hAnsi="Times New Roman"/>
        </w:rPr>
        <w:t xml:space="preserve"> </w:t>
      </w:r>
      <w:r w:rsidR="0013753F" w:rsidRPr="00995832">
        <w:rPr>
          <w:rFonts w:ascii="Times New Roman" w:hAnsi="Times New Roman"/>
        </w:rPr>
        <w:t xml:space="preserve">ao </w:t>
      </w:r>
      <w:r w:rsidR="00D77DA7" w:rsidRPr="00995832">
        <w:rPr>
          <w:rFonts w:ascii="Times New Roman" w:hAnsi="Times New Roman"/>
        </w:rPr>
        <w:t>afirma</w:t>
      </w:r>
      <w:r w:rsidR="0013753F" w:rsidRPr="00995832">
        <w:rPr>
          <w:rFonts w:ascii="Times New Roman" w:hAnsi="Times New Roman"/>
        </w:rPr>
        <w:t>r</w:t>
      </w:r>
      <w:r w:rsidR="00D77DA7" w:rsidRPr="00995832">
        <w:rPr>
          <w:rFonts w:ascii="Times New Roman" w:hAnsi="Times New Roman"/>
        </w:rPr>
        <w:t xml:space="preserve"> que deve se entender como praticado apenas um tipo penal com aplicação ao agente somente da pena mais grave, diante de um caso de concurso de inúmeras condutas direcionadas ao cometimento de fraudes geradoras de prejuízos aos credores da empresa submetida ao processo de falência, e complementa que o principio da unicidade é ficção criada pela doutrina.</w:t>
      </w:r>
      <w:r w:rsidR="0013753F" w:rsidRPr="00995832">
        <w:rPr>
          <w:rFonts w:ascii="Times New Roman" w:hAnsi="Times New Roman"/>
        </w:rPr>
        <w:t xml:space="preserve">  Todavia</w:t>
      </w:r>
      <w:r w:rsidR="003A0C7A" w:rsidRPr="00995832">
        <w:rPr>
          <w:rFonts w:ascii="Times New Roman" w:hAnsi="Times New Roman"/>
        </w:rPr>
        <w:t>,</w:t>
      </w:r>
      <w:r w:rsidR="0013753F" w:rsidRPr="00995832">
        <w:rPr>
          <w:rFonts w:ascii="Times New Roman" w:hAnsi="Times New Roman"/>
        </w:rPr>
        <w:t xml:space="preserve"> inúmeros doutrinadores</w:t>
      </w:r>
      <w:r w:rsidR="003A0C7A" w:rsidRPr="00995832">
        <w:rPr>
          <w:rFonts w:ascii="Times New Roman" w:hAnsi="Times New Roman"/>
        </w:rPr>
        <w:t xml:space="preserve">, dentre os quais, Marlon </w:t>
      </w:r>
      <w:proofErr w:type="spellStart"/>
      <w:r w:rsidR="0013753F" w:rsidRPr="00995832">
        <w:rPr>
          <w:rFonts w:ascii="Times New Roman" w:hAnsi="Times New Roman"/>
        </w:rPr>
        <w:t>Tomazzete</w:t>
      </w:r>
      <w:proofErr w:type="spellEnd"/>
      <w:r w:rsidR="0013753F" w:rsidRPr="00995832">
        <w:rPr>
          <w:rFonts w:ascii="Times New Roman" w:hAnsi="Times New Roman"/>
        </w:rPr>
        <w:t xml:space="preserve">, afirmam não haver espaço para o princípio da unicidade, e que nada impediria pela literalidade do dispositivo da lei, a aplicação das regras sobre concurso de crimes, </w:t>
      </w:r>
      <w:r w:rsidR="00996B0B" w:rsidRPr="00995832">
        <w:rPr>
          <w:rFonts w:ascii="Times New Roman" w:hAnsi="Times New Roman"/>
        </w:rPr>
        <w:t xml:space="preserve">justificando não considerar </w:t>
      </w:r>
      <w:r w:rsidR="0013753F" w:rsidRPr="00995832">
        <w:rPr>
          <w:rFonts w:ascii="Times New Roman" w:hAnsi="Times New Roman"/>
        </w:rPr>
        <w:t>mais a ideia da falência com</w:t>
      </w:r>
      <w:r w:rsidR="00996B0B" w:rsidRPr="00995832">
        <w:rPr>
          <w:rFonts w:ascii="Times New Roman" w:hAnsi="Times New Roman"/>
        </w:rPr>
        <w:t>o</w:t>
      </w:r>
      <w:r w:rsidR="0013753F" w:rsidRPr="00995832">
        <w:rPr>
          <w:rFonts w:ascii="Times New Roman" w:hAnsi="Times New Roman"/>
        </w:rPr>
        <w:t xml:space="preserve"> crime, e que haveria</w:t>
      </w:r>
      <w:r w:rsidR="00996B0B" w:rsidRPr="00995832">
        <w:rPr>
          <w:rFonts w:ascii="Times New Roman" w:hAnsi="Times New Roman"/>
        </w:rPr>
        <w:t xml:space="preserve"> sanção de crimes para recuperação de em</w:t>
      </w:r>
      <w:r w:rsidR="003929D5" w:rsidRPr="00995832">
        <w:rPr>
          <w:rFonts w:ascii="Times New Roman" w:hAnsi="Times New Roman"/>
        </w:rPr>
        <w:t>presas, complementa</w:t>
      </w:r>
      <w:r w:rsidR="00996B0B" w:rsidRPr="00995832">
        <w:rPr>
          <w:rFonts w:ascii="Times New Roman" w:hAnsi="Times New Roman"/>
        </w:rPr>
        <w:t xml:space="preserve"> que não há mais prazo prescricional unificado e por fim alegam que o agente que cometeu tais crimes, não deve ser punido apenas por uma delas e sim por todas as suas condutas</w:t>
      </w:r>
      <w:r w:rsidR="003A0C7A" w:rsidRPr="00995832">
        <w:rPr>
          <w:rFonts w:ascii="Times New Roman" w:hAnsi="Times New Roman"/>
        </w:rPr>
        <w:t xml:space="preserve"> </w:t>
      </w:r>
      <w:r w:rsidR="00996B0B" w:rsidRPr="00995832">
        <w:t xml:space="preserve">( </w:t>
      </w:r>
      <w:r w:rsidR="00996B0B" w:rsidRPr="00995832">
        <w:rPr>
          <w:rFonts w:ascii="Times New Roman" w:hAnsi="Times New Roman"/>
        </w:rPr>
        <w:t>TOMAZETTE, pg.557, 2011).</w:t>
      </w:r>
    </w:p>
    <w:p w:rsidR="0013753F" w:rsidRPr="00995832" w:rsidRDefault="00A32C36" w:rsidP="00A32C36">
      <w:pPr>
        <w:pStyle w:val="PargrafodaLista"/>
        <w:numPr>
          <w:ilvl w:val="0"/>
          <w:numId w:val="7"/>
        </w:numPr>
        <w:spacing w:line="360" w:lineRule="auto"/>
        <w:jc w:val="both"/>
        <w:rPr>
          <w:rFonts w:ascii="Times New Roman" w:hAnsi="Times New Roman"/>
        </w:rPr>
      </w:pPr>
      <w:r w:rsidRPr="00995832">
        <w:rPr>
          <w:rFonts w:ascii="Times New Roman" w:hAnsi="Times New Roman"/>
        </w:rPr>
        <w:t>P</w:t>
      </w:r>
      <w:r w:rsidR="00860A0C" w:rsidRPr="00995832">
        <w:rPr>
          <w:rFonts w:ascii="Times New Roman" w:hAnsi="Times New Roman"/>
        </w:rPr>
        <w:t>rincipio</w:t>
      </w:r>
      <w:r w:rsidR="00036B15" w:rsidRPr="00995832">
        <w:rPr>
          <w:rFonts w:ascii="Times New Roman" w:hAnsi="Times New Roman"/>
        </w:rPr>
        <w:t xml:space="preserve"> da legalidade e d</w:t>
      </w:r>
      <w:r w:rsidR="00860A0C" w:rsidRPr="00995832">
        <w:rPr>
          <w:rFonts w:ascii="Times New Roman" w:hAnsi="Times New Roman"/>
        </w:rPr>
        <w:t>a impossibilidade de penalizar</w:t>
      </w:r>
      <w:r w:rsidR="00036B15" w:rsidRPr="00995832">
        <w:rPr>
          <w:rFonts w:ascii="Times New Roman" w:hAnsi="Times New Roman"/>
        </w:rPr>
        <w:t xml:space="preserve"> Pessoa Jurídica</w:t>
      </w:r>
      <w:r w:rsidR="00860A0C" w:rsidRPr="00995832">
        <w:rPr>
          <w:rFonts w:ascii="Times New Roman" w:hAnsi="Times New Roman"/>
        </w:rPr>
        <w:t xml:space="preserve"> </w:t>
      </w:r>
    </w:p>
    <w:p w:rsidR="00DC4DC6" w:rsidRPr="00995832" w:rsidRDefault="003A0C7A" w:rsidP="00E76BB4">
      <w:pPr>
        <w:spacing w:line="360" w:lineRule="auto"/>
        <w:jc w:val="both"/>
        <w:rPr>
          <w:rFonts w:ascii="Times New Roman" w:hAnsi="Times New Roman"/>
          <w:i/>
        </w:rPr>
      </w:pPr>
      <w:r w:rsidRPr="00995832">
        <w:rPr>
          <w:rFonts w:ascii="Times New Roman" w:hAnsi="Times New Roman"/>
        </w:rPr>
        <w:t xml:space="preserve">       </w:t>
      </w:r>
      <w:r w:rsidRPr="00995832">
        <w:rPr>
          <w:rFonts w:ascii="Times New Roman" w:hAnsi="Times New Roman"/>
        </w:rPr>
        <w:tab/>
        <w:t xml:space="preserve">O disposto 179, da Lei de nº 11.101/2005, </w:t>
      </w:r>
      <w:r w:rsidR="009335A5" w:rsidRPr="00995832">
        <w:rPr>
          <w:rFonts w:ascii="Times New Roman" w:hAnsi="Times New Roman"/>
        </w:rPr>
        <w:t>l</w:t>
      </w:r>
      <w:r w:rsidRPr="00995832">
        <w:rPr>
          <w:rFonts w:ascii="Times New Roman" w:hAnsi="Times New Roman"/>
        </w:rPr>
        <w:t>ei que regula a recuperação judicial, a extrajudicial e a falência do empresário e da sociedade empresária</w:t>
      </w:r>
      <w:r w:rsidR="000F519F" w:rsidRPr="00995832">
        <w:rPr>
          <w:rFonts w:ascii="Times New Roman" w:hAnsi="Times New Roman"/>
        </w:rPr>
        <w:t xml:space="preserve">, assevera </w:t>
      </w:r>
      <w:r w:rsidR="003E5F40" w:rsidRPr="00995832">
        <w:rPr>
          <w:rFonts w:ascii="Times New Roman" w:hAnsi="Times New Roman"/>
        </w:rPr>
        <w:t xml:space="preserve">taxativamente </w:t>
      </w:r>
      <w:r w:rsidR="000F519F" w:rsidRPr="00995832">
        <w:rPr>
          <w:rFonts w:ascii="Times New Roman" w:hAnsi="Times New Roman"/>
        </w:rPr>
        <w:t xml:space="preserve">a não responsabilização, </w:t>
      </w:r>
      <w:r w:rsidR="003E5F40" w:rsidRPr="00995832">
        <w:rPr>
          <w:rFonts w:ascii="Times New Roman" w:hAnsi="Times New Roman"/>
        </w:rPr>
        <w:t>ou seja,</w:t>
      </w:r>
      <w:r w:rsidR="000F519F" w:rsidRPr="00995832">
        <w:rPr>
          <w:rFonts w:ascii="Times New Roman" w:hAnsi="Times New Roman"/>
        </w:rPr>
        <w:t xml:space="preserve"> a impossibilidade de penalizar a Pessoa Jurídica</w:t>
      </w:r>
      <w:r w:rsidR="003E5F40" w:rsidRPr="00995832">
        <w:rPr>
          <w:rFonts w:ascii="Times New Roman" w:hAnsi="Times New Roman"/>
        </w:rPr>
        <w:t xml:space="preserve"> pela falência da sociedade empresária, e sim de responsabilizar os seus sócios, diretores, gerentes, administradores, conselheiros, bem como o administrador judicial, ao equipararem-se ao </w:t>
      </w:r>
      <w:r w:rsidR="003E5F40" w:rsidRPr="00995832">
        <w:rPr>
          <w:rFonts w:ascii="Times New Roman" w:hAnsi="Times New Roman"/>
        </w:rPr>
        <w:lastRenderedPageBreak/>
        <w:t>devedor ou falido para todos os efeitos penais concernentes da Lei, na medida de sua culpabilidade.</w:t>
      </w:r>
      <w:r w:rsidR="009335A5" w:rsidRPr="00995832">
        <w:rPr>
          <w:rFonts w:ascii="Times New Roman" w:hAnsi="Times New Roman"/>
        </w:rPr>
        <w:t xml:space="preserve"> </w:t>
      </w:r>
      <w:r w:rsidR="00CE6F6F" w:rsidRPr="00995832">
        <w:rPr>
          <w:rFonts w:ascii="Times New Roman" w:hAnsi="Times New Roman"/>
          <w:i/>
        </w:rPr>
        <w:t>Artigo. 179: “Na falência, na recuperação judicial e na recuperação extrajudicial de sociedades, os seus sócios, diretores, gerentes, administradores e conselheiros, de fato ou de direito, bem como o administrador judicial, equiparam-se ao devedor ou falido para todos os efeitos penais decorrentes desta Lei, na medida de sua culpabilidade”.</w:t>
      </w:r>
    </w:p>
    <w:p w:rsidR="00DC4DC6" w:rsidRPr="00995832" w:rsidRDefault="00DC4DC6" w:rsidP="00E76BB4">
      <w:pPr>
        <w:jc w:val="both"/>
        <w:rPr>
          <w:rFonts w:ascii="Times New Roman" w:hAnsi="Times New Roman"/>
        </w:rPr>
      </w:pPr>
    </w:p>
    <w:p w:rsidR="00DC4DC6" w:rsidRPr="00995832" w:rsidRDefault="00DC4DC6" w:rsidP="00A33AEC">
      <w:pPr>
        <w:spacing w:line="360" w:lineRule="auto"/>
        <w:jc w:val="both"/>
        <w:rPr>
          <w:rFonts w:ascii="Times New Roman" w:hAnsi="Times New Roman"/>
        </w:rPr>
      </w:pPr>
    </w:p>
    <w:p w:rsidR="00DC4DC6" w:rsidRPr="00995832" w:rsidRDefault="00DC4DC6" w:rsidP="00A33AEC">
      <w:pPr>
        <w:spacing w:line="360" w:lineRule="auto"/>
        <w:jc w:val="both"/>
        <w:rPr>
          <w:rFonts w:ascii="Times New Roman" w:hAnsi="Times New Roman"/>
        </w:rPr>
      </w:pPr>
    </w:p>
    <w:p w:rsidR="00DC4DC6" w:rsidRPr="00995832" w:rsidRDefault="00DC4DC6" w:rsidP="00A33AEC">
      <w:pPr>
        <w:spacing w:line="360" w:lineRule="auto"/>
        <w:jc w:val="both"/>
        <w:rPr>
          <w:rFonts w:ascii="Times New Roman" w:hAnsi="Times New Roman"/>
        </w:rPr>
      </w:pPr>
    </w:p>
    <w:p w:rsidR="00DC4DC6" w:rsidRPr="00995832" w:rsidRDefault="00DC4DC6" w:rsidP="00A33AEC">
      <w:pPr>
        <w:spacing w:line="360" w:lineRule="auto"/>
        <w:jc w:val="both"/>
        <w:rPr>
          <w:rFonts w:ascii="Times New Roman" w:hAnsi="Times New Roman"/>
        </w:rPr>
      </w:pPr>
    </w:p>
    <w:p w:rsidR="009A77D6" w:rsidRPr="00995832" w:rsidRDefault="009A77D6" w:rsidP="00A33AEC">
      <w:pPr>
        <w:spacing w:line="360" w:lineRule="auto"/>
        <w:jc w:val="both"/>
        <w:rPr>
          <w:rFonts w:ascii="Times New Roman" w:hAnsi="Times New Roman"/>
        </w:rPr>
      </w:pPr>
    </w:p>
    <w:p w:rsidR="00AF56A5" w:rsidRPr="00995832" w:rsidRDefault="00AF56A5" w:rsidP="00A33AEC">
      <w:pPr>
        <w:spacing w:line="360" w:lineRule="auto"/>
        <w:jc w:val="both"/>
        <w:rPr>
          <w:rFonts w:ascii="Times New Roman" w:hAnsi="Times New Roman"/>
        </w:rPr>
      </w:pPr>
    </w:p>
    <w:p w:rsidR="008B62F7" w:rsidRPr="00995832" w:rsidRDefault="008B62F7" w:rsidP="00A33AEC">
      <w:pPr>
        <w:spacing w:line="360" w:lineRule="auto"/>
        <w:jc w:val="both"/>
        <w:rPr>
          <w:rFonts w:ascii="Times New Roman" w:hAnsi="Times New Roman"/>
        </w:rPr>
      </w:pPr>
    </w:p>
    <w:p w:rsidR="00D83026" w:rsidRPr="00995832" w:rsidRDefault="00D83026" w:rsidP="00A33AEC">
      <w:pPr>
        <w:spacing w:line="360" w:lineRule="auto"/>
        <w:jc w:val="both"/>
        <w:rPr>
          <w:rFonts w:ascii="Times New Roman" w:hAnsi="Times New Roman"/>
        </w:rPr>
      </w:pPr>
    </w:p>
    <w:p w:rsidR="00D83026" w:rsidRPr="00995832" w:rsidRDefault="00D83026" w:rsidP="00A33AEC">
      <w:pPr>
        <w:spacing w:line="360" w:lineRule="auto"/>
        <w:jc w:val="both"/>
        <w:rPr>
          <w:rFonts w:ascii="Times New Roman" w:hAnsi="Times New Roman"/>
        </w:rPr>
      </w:pPr>
    </w:p>
    <w:p w:rsidR="008B62F7" w:rsidRPr="00995832" w:rsidRDefault="008B62F7" w:rsidP="00A33AEC">
      <w:pPr>
        <w:spacing w:line="360" w:lineRule="auto"/>
        <w:jc w:val="both"/>
        <w:rPr>
          <w:rFonts w:ascii="Times New Roman" w:hAnsi="Times New Roman"/>
        </w:rPr>
      </w:pPr>
    </w:p>
    <w:p w:rsidR="008B62F7" w:rsidRPr="00995832" w:rsidRDefault="008B62F7" w:rsidP="00A33AEC">
      <w:pPr>
        <w:spacing w:line="360" w:lineRule="auto"/>
        <w:jc w:val="both"/>
        <w:rPr>
          <w:rFonts w:ascii="Times New Roman" w:hAnsi="Times New Roman"/>
        </w:rPr>
      </w:pPr>
    </w:p>
    <w:p w:rsidR="008B62F7" w:rsidRPr="00995832" w:rsidRDefault="008B62F7" w:rsidP="00A33AEC">
      <w:pPr>
        <w:spacing w:line="360" w:lineRule="auto"/>
        <w:jc w:val="both"/>
        <w:rPr>
          <w:rFonts w:ascii="Times New Roman" w:hAnsi="Times New Roman"/>
        </w:rPr>
      </w:pPr>
    </w:p>
    <w:p w:rsidR="008B62F7" w:rsidRPr="00995832" w:rsidRDefault="008B62F7" w:rsidP="00A33AEC">
      <w:pPr>
        <w:spacing w:line="360" w:lineRule="auto"/>
        <w:jc w:val="both"/>
        <w:rPr>
          <w:rFonts w:ascii="Times New Roman" w:hAnsi="Times New Roman"/>
        </w:rPr>
      </w:pPr>
    </w:p>
    <w:p w:rsidR="006972C3" w:rsidRPr="00995832" w:rsidRDefault="0099480A" w:rsidP="00D83026">
      <w:pPr>
        <w:spacing w:line="360" w:lineRule="auto"/>
        <w:jc w:val="center"/>
        <w:rPr>
          <w:rFonts w:ascii="Times New Roman" w:hAnsi="Times New Roman"/>
        </w:rPr>
      </w:pPr>
      <w:r w:rsidRPr="00995832">
        <w:rPr>
          <w:rFonts w:ascii="Times New Roman" w:hAnsi="Times New Roman"/>
        </w:rPr>
        <w:t>REFERÊNCIAS</w:t>
      </w:r>
    </w:p>
    <w:p w:rsidR="00D83026" w:rsidRPr="00995832" w:rsidRDefault="00AA032F" w:rsidP="00D83026">
      <w:pPr>
        <w:spacing w:before="240" w:line="360" w:lineRule="auto"/>
        <w:jc w:val="both"/>
        <w:rPr>
          <w:rFonts w:ascii="Times New Roman" w:hAnsi="Times New Roman" w:cs="Times New Roman"/>
        </w:rPr>
      </w:pPr>
      <w:r w:rsidRPr="00995832">
        <w:rPr>
          <w:rFonts w:ascii="Times New Roman" w:hAnsi="Times New Roman"/>
        </w:rPr>
        <w:t xml:space="preserve">ALMEIDA, Amador Paes de. Curso </w:t>
      </w:r>
      <w:r w:rsidRPr="00995832">
        <w:rPr>
          <w:rFonts w:ascii="Times New Roman" w:hAnsi="Times New Roman" w:cs="Times New Roman"/>
        </w:rPr>
        <w:t>de Falência e Recuperação de Empresas. 26 ed. São Paulo: Saraiva, 2012.</w:t>
      </w:r>
    </w:p>
    <w:p w:rsidR="00D83026" w:rsidRPr="00995832" w:rsidRDefault="00B25B5F" w:rsidP="00D83026">
      <w:pPr>
        <w:spacing w:before="240" w:line="360" w:lineRule="auto"/>
        <w:jc w:val="both"/>
        <w:rPr>
          <w:rFonts w:ascii="Times New Roman" w:hAnsi="Times New Roman" w:cs="Times New Roman"/>
        </w:rPr>
      </w:pPr>
      <w:r w:rsidRPr="00995832">
        <w:rPr>
          <w:rFonts w:ascii="Times New Roman" w:hAnsi="Times New Roman" w:cs="Times New Roman"/>
        </w:rPr>
        <w:t>FAZZIO JÚNIOR, Waldo. Lei de Falência e recuperação de empresas. 6 ed. São Paulo: Atlas, 2012.</w:t>
      </w:r>
    </w:p>
    <w:p w:rsidR="00F02F8E" w:rsidRPr="00995832" w:rsidRDefault="00F02F8E" w:rsidP="00D83026">
      <w:pPr>
        <w:spacing w:before="240" w:line="360" w:lineRule="auto"/>
        <w:jc w:val="both"/>
        <w:rPr>
          <w:rFonts w:ascii="Times New Roman" w:hAnsi="Times New Roman" w:cs="Times New Roman"/>
        </w:rPr>
      </w:pPr>
      <w:r w:rsidRPr="00995832">
        <w:rPr>
          <w:rFonts w:ascii="Times New Roman" w:hAnsi="Times New Roman" w:cs="Times New Roman"/>
        </w:rPr>
        <w:t>LUDVIG, Gabriel Teixeira. Desconsideração da personalidade jurídica e o redirecionamento da execução na pessoa dos sócios. Disponível em: &lt;</w:t>
      </w:r>
      <w:r w:rsidRPr="00995832">
        <w:t xml:space="preserve"> </w:t>
      </w:r>
      <w:r w:rsidRPr="00995832">
        <w:rPr>
          <w:rFonts w:ascii="Times New Roman" w:hAnsi="Times New Roman" w:cs="Times New Roman"/>
        </w:rPr>
        <w:t>http://www3.pucrs.br/pucrs/files/uni/poa/direito/graduacao/tcc/tcc2/trabalhos2010_2/gabriel_ludvig.pdf &gt;. Acesso em: 08 de setembro de 2013.</w:t>
      </w:r>
    </w:p>
    <w:p w:rsidR="00D83026" w:rsidRPr="00995832" w:rsidRDefault="007F3CD8" w:rsidP="00D83026">
      <w:pPr>
        <w:spacing w:before="240" w:line="360" w:lineRule="auto"/>
        <w:jc w:val="both"/>
        <w:rPr>
          <w:rFonts w:ascii="Times New Roman" w:hAnsi="Times New Roman"/>
        </w:rPr>
      </w:pPr>
      <w:r w:rsidRPr="00995832">
        <w:rPr>
          <w:rFonts w:ascii="Times New Roman" w:hAnsi="Times New Roman"/>
        </w:rPr>
        <w:t xml:space="preserve">MAMEDE, </w:t>
      </w:r>
      <w:proofErr w:type="spellStart"/>
      <w:r w:rsidRPr="00995832">
        <w:rPr>
          <w:rFonts w:ascii="Times New Roman" w:hAnsi="Times New Roman"/>
        </w:rPr>
        <w:t>Gladston</w:t>
      </w:r>
      <w:proofErr w:type="spellEnd"/>
      <w:r w:rsidRPr="00995832">
        <w:rPr>
          <w:rFonts w:ascii="Times New Roman" w:hAnsi="Times New Roman"/>
        </w:rPr>
        <w:t>. Direito Empresarial Brasileiro: falência e recuperação de empresas. Vol. 4. 5 ed. São Paulo: Atlas, 2012.</w:t>
      </w:r>
    </w:p>
    <w:p w:rsidR="007F3CD8" w:rsidRPr="00995832" w:rsidRDefault="007F3CD8" w:rsidP="00D83026">
      <w:pPr>
        <w:spacing w:before="240" w:line="360" w:lineRule="auto"/>
        <w:jc w:val="both"/>
        <w:rPr>
          <w:rFonts w:ascii="Times New Roman" w:hAnsi="Times New Roman"/>
        </w:rPr>
      </w:pPr>
      <w:r w:rsidRPr="00995832">
        <w:rPr>
          <w:rFonts w:ascii="Times New Roman" w:hAnsi="Times New Roman"/>
        </w:rPr>
        <w:lastRenderedPageBreak/>
        <w:t>NEGRÃO, Ricardo. Manual de direito comercial e de empresa.</w:t>
      </w:r>
      <w:proofErr w:type="gramStart"/>
      <w:r w:rsidRPr="00995832">
        <w:rPr>
          <w:rFonts w:ascii="Times New Roman" w:hAnsi="Times New Roman"/>
        </w:rPr>
        <w:t>2 ed.</w:t>
      </w:r>
      <w:proofErr w:type="gramEnd"/>
      <w:r w:rsidRPr="00995832">
        <w:rPr>
          <w:rFonts w:ascii="Times New Roman" w:hAnsi="Times New Roman"/>
        </w:rPr>
        <w:t xml:space="preserve"> Vol.3, São Paulo: Saraiva, 2007.</w:t>
      </w:r>
    </w:p>
    <w:p w:rsidR="00D83026" w:rsidRPr="00995832" w:rsidRDefault="0032572F" w:rsidP="00D83026">
      <w:pPr>
        <w:spacing w:before="240" w:line="360" w:lineRule="auto"/>
        <w:jc w:val="both"/>
        <w:rPr>
          <w:rFonts w:ascii="Times New Roman" w:hAnsi="Times New Roman"/>
        </w:rPr>
      </w:pPr>
      <w:r w:rsidRPr="00995832">
        <w:rPr>
          <w:rFonts w:ascii="Times New Roman" w:hAnsi="Times New Roman"/>
        </w:rPr>
        <w:t xml:space="preserve">PERIN JR, </w:t>
      </w:r>
      <w:proofErr w:type="spellStart"/>
      <w:r w:rsidRPr="00995832">
        <w:rPr>
          <w:rFonts w:ascii="Times New Roman" w:hAnsi="Times New Roman"/>
        </w:rPr>
        <w:t>Ecio</w:t>
      </w:r>
      <w:proofErr w:type="spellEnd"/>
      <w:r w:rsidRPr="00995832">
        <w:rPr>
          <w:rFonts w:ascii="Times New Roman" w:hAnsi="Times New Roman"/>
        </w:rPr>
        <w:t>. Curso de direito falimentar e recuperação de empresas. 3 ed. São Paulo: Editora Método, 2006.</w:t>
      </w:r>
    </w:p>
    <w:p w:rsidR="00D83026" w:rsidRPr="00995832" w:rsidRDefault="009A77D6" w:rsidP="00D83026">
      <w:pPr>
        <w:spacing w:before="240" w:line="360" w:lineRule="auto"/>
        <w:jc w:val="both"/>
        <w:rPr>
          <w:rFonts w:ascii="Times New Roman" w:hAnsi="Times New Roman"/>
        </w:rPr>
      </w:pPr>
      <w:r w:rsidRPr="00995832">
        <w:rPr>
          <w:rFonts w:ascii="Times New Roman" w:hAnsi="Times New Roman"/>
        </w:rPr>
        <w:t>RAMOS, André L. Santa Cruz. Direito empresarial. Rio de Janeiro: Forense, 2012.</w:t>
      </w:r>
    </w:p>
    <w:p w:rsidR="00592AF4" w:rsidRPr="00592AF4" w:rsidRDefault="00332BAC" w:rsidP="00D83026">
      <w:pPr>
        <w:spacing w:before="240" w:line="360" w:lineRule="auto"/>
        <w:jc w:val="both"/>
        <w:rPr>
          <w:rFonts w:ascii="Times New Roman" w:hAnsi="Times New Roman"/>
        </w:rPr>
      </w:pPr>
      <w:r w:rsidRPr="00995832">
        <w:rPr>
          <w:rFonts w:ascii="Times New Roman" w:hAnsi="Times New Roman"/>
        </w:rPr>
        <w:t>TOMAZETTE, Marlon. Curso de Direi</w:t>
      </w:r>
      <w:r w:rsidRPr="00332BAC">
        <w:rPr>
          <w:rFonts w:ascii="Times New Roman" w:hAnsi="Times New Roman"/>
          <w:b/>
        </w:rPr>
        <w:t xml:space="preserve">to </w:t>
      </w:r>
      <w:proofErr w:type="spellStart"/>
      <w:r w:rsidRPr="00332BAC">
        <w:rPr>
          <w:rFonts w:ascii="Times New Roman" w:hAnsi="Times New Roman"/>
          <w:b/>
        </w:rPr>
        <w:t>Empresarial</w:t>
      </w:r>
      <w:r w:rsidR="00D83026">
        <w:rPr>
          <w:rFonts w:ascii="Times New Roman" w:hAnsi="Times New Roman"/>
        </w:rPr>
        <w:t>.</w:t>
      </w:r>
      <w:r w:rsidR="0026003A">
        <w:rPr>
          <w:rFonts w:ascii="Times New Roman" w:hAnsi="Times New Roman"/>
        </w:rPr>
        <w:t>São</w:t>
      </w:r>
      <w:proofErr w:type="spellEnd"/>
      <w:r w:rsidR="0026003A">
        <w:rPr>
          <w:rFonts w:ascii="Times New Roman" w:hAnsi="Times New Roman"/>
        </w:rPr>
        <w:t xml:space="preserve"> Paulo, Atlas, 2011</w:t>
      </w:r>
      <w:r w:rsidRPr="00332BAC">
        <w:rPr>
          <w:rFonts w:ascii="Times New Roman" w:hAnsi="Times New Roman"/>
        </w:rPr>
        <w:t>.</w:t>
      </w:r>
      <w:bookmarkEnd w:id="0"/>
    </w:p>
    <w:sectPr w:rsidR="00592AF4" w:rsidRPr="00592AF4" w:rsidSect="00F158CA">
      <w:headerReference w:type="first" r:id="rId8"/>
      <w:footerReference w:type="first" r:id="rId9"/>
      <w:pgSz w:w="11900" w:h="16840"/>
      <w:pgMar w:top="1701" w:right="1134" w:bottom="1134"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EF" w:rsidRDefault="00CB38EF">
      <w:r>
        <w:separator/>
      </w:r>
    </w:p>
  </w:endnote>
  <w:endnote w:type="continuationSeparator" w:id="0">
    <w:p w:rsidR="00CB38EF" w:rsidRDefault="00C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CA" w:rsidRDefault="00F158CA" w:rsidP="00F158CA">
    <w:pPr>
      <w:pStyle w:val="Textodenotaderodap"/>
      <w:pBdr>
        <w:bottom w:val="single" w:sz="6" w:space="1" w:color="auto"/>
      </w:pBdr>
      <w:rPr>
        <w:rFonts w:ascii="Times New Roman" w:hAnsi="Times New Roman"/>
        <w:sz w:val="20"/>
      </w:rPr>
    </w:pPr>
  </w:p>
  <w:p w:rsidR="00F158CA" w:rsidRPr="00F158CA" w:rsidRDefault="00F158CA" w:rsidP="00F158CA">
    <w:pPr>
      <w:pStyle w:val="Textodenotaderodap"/>
      <w:rPr>
        <w:rFonts w:ascii="Times New Roman" w:hAnsi="Times New Roman" w:cs="Times New Roman"/>
        <w:sz w:val="20"/>
        <w:szCs w:val="20"/>
      </w:rPr>
    </w:pPr>
    <w:proofErr w:type="gramStart"/>
    <w:r w:rsidRPr="00F158CA">
      <w:rPr>
        <w:rFonts w:ascii="Times New Roman" w:hAnsi="Times New Roman" w:cs="Times New Roman"/>
        <w:sz w:val="20"/>
        <w:szCs w:val="20"/>
      </w:rPr>
      <w:t>¹ Case</w:t>
    </w:r>
    <w:proofErr w:type="gramEnd"/>
    <w:r w:rsidRPr="00F158CA">
      <w:rPr>
        <w:rFonts w:ascii="Times New Roman" w:hAnsi="Times New Roman" w:cs="Times New Roman"/>
        <w:sz w:val="20"/>
        <w:szCs w:val="20"/>
      </w:rPr>
      <w:t xml:space="preserve"> apresentado à disciplina Falência e Recuperação de Empresas do 6º período do Curso de Direito da Unidade de Ensino Superior Dom Bosco – UNDB.</w:t>
    </w:r>
  </w:p>
  <w:p w:rsidR="00F158CA" w:rsidRPr="00F158CA" w:rsidRDefault="00F158CA" w:rsidP="00F158CA">
    <w:pPr>
      <w:pStyle w:val="Textodenotaderodap"/>
      <w:rPr>
        <w:rFonts w:ascii="Times New Roman" w:hAnsi="Times New Roman" w:cs="Times New Roman"/>
        <w:sz w:val="20"/>
        <w:szCs w:val="20"/>
      </w:rPr>
    </w:pPr>
    <w:r w:rsidRPr="00F158CA">
      <w:rPr>
        <w:rFonts w:ascii="Times New Roman" w:hAnsi="Times New Roman" w:cs="Times New Roman"/>
        <w:sz w:val="20"/>
        <w:szCs w:val="20"/>
      </w:rPr>
      <w:t>² Aluna do 6º Período do Curso de Direito da UNDB.</w:t>
    </w:r>
  </w:p>
  <w:p w:rsidR="00F158CA" w:rsidRPr="00F158CA" w:rsidRDefault="00F158CA" w:rsidP="00F158CA">
    <w:pPr>
      <w:pStyle w:val="Textodenotaderodap"/>
      <w:rPr>
        <w:rFonts w:ascii="Times New Roman" w:hAnsi="Times New Roman" w:cs="Times New Roman"/>
        <w:sz w:val="20"/>
        <w:szCs w:val="20"/>
      </w:rPr>
    </w:pPr>
    <w:r w:rsidRPr="00F158CA">
      <w:rPr>
        <w:rFonts w:ascii="Times New Roman" w:hAnsi="Times New Roman" w:cs="Times New Roman"/>
        <w:sz w:val="20"/>
        <w:szCs w:val="20"/>
      </w:rPr>
      <w:t xml:space="preserve">³ Professor </w:t>
    </w:r>
    <w:r w:rsidR="00375B87">
      <w:rPr>
        <w:rFonts w:ascii="Times New Roman" w:hAnsi="Times New Roman" w:cs="Times New Roman"/>
        <w:sz w:val="20"/>
        <w:szCs w:val="20"/>
      </w:rPr>
      <w:t xml:space="preserve">- </w:t>
    </w:r>
    <w:r w:rsidRPr="00F158CA">
      <w:rPr>
        <w:rFonts w:ascii="Times New Roman" w:hAnsi="Times New Roman" w:cs="Times New Roman"/>
        <w:sz w:val="20"/>
        <w:szCs w:val="20"/>
      </w:rPr>
      <w:t>orientador.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EF" w:rsidRDefault="00CB38EF">
      <w:r>
        <w:separator/>
      </w:r>
    </w:p>
  </w:footnote>
  <w:footnote w:type="continuationSeparator" w:id="0">
    <w:p w:rsidR="00CB38EF" w:rsidRDefault="00CB3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87" w:rsidRDefault="00375B87">
    <w:pPr>
      <w:pStyle w:val="Cabealho"/>
    </w:pPr>
    <w:r>
      <w:rPr>
        <w:rFonts w:ascii="Times New Roman" w:eastAsia="Calibri" w:hAnsi="Times New Roman" w:cs="Times New Roman"/>
        <w:noProof/>
        <w:lang w:eastAsia="pt-BR"/>
      </w:rPr>
      <w:drawing>
        <wp:inline distT="0" distB="0" distL="0" distR="0">
          <wp:extent cx="2817628" cy="363374"/>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1134" cy="3664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B4445"/>
    <w:multiLevelType w:val="hybridMultilevel"/>
    <w:tmpl w:val="9DD68B68"/>
    <w:lvl w:ilvl="0" w:tplc="84B0E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A22F42"/>
    <w:multiLevelType w:val="hybridMultilevel"/>
    <w:tmpl w:val="59BE2D16"/>
    <w:lvl w:ilvl="0" w:tplc="04160017">
      <w:start w:val="1"/>
      <w:numFmt w:val="lowerLetter"/>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15:restartNumberingAfterBreak="0">
    <w:nsid w:val="482C0CC4"/>
    <w:multiLevelType w:val="hybridMultilevel"/>
    <w:tmpl w:val="D026F7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7115E1E"/>
    <w:multiLevelType w:val="hybridMultilevel"/>
    <w:tmpl w:val="FF6C8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9D2052C"/>
    <w:multiLevelType w:val="multilevel"/>
    <w:tmpl w:val="4D727C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BD2D75"/>
    <w:multiLevelType w:val="hybridMultilevel"/>
    <w:tmpl w:val="7C2079F6"/>
    <w:lvl w:ilvl="0" w:tplc="6AAE1A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707B02"/>
    <w:multiLevelType w:val="multilevel"/>
    <w:tmpl w:val="A9280228"/>
    <w:lvl w:ilvl="0">
      <w:start w:val="2"/>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EC"/>
    <w:rsid w:val="00001B90"/>
    <w:rsid w:val="000358E4"/>
    <w:rsid w:val="00036B15"/>
    <w:rsid w:val="00045E26"/>
    <w:rsid w:val="00072ECA"/>
    <w:rsid w:val="0007702B"/>
    <w:rsid w:val="000A31C6"/>
    <w:rsid w:val="000A3688"/>
    <w:rsid w:val="000C52A6"/>
    <w:rsid w:val="000F519F"/>
    <w:rsid w:val="000F53C8"/>
    <w:rsid w:val="001055DF"/>
    <w:rsid w:val="00127DF1"/>
    <w:rsid w:val="00127FFB"/>
    <w:rsid w:val="001327AA"/>
    <w:rsid w:val="0013753F"/>
    <w:rsid w:val="00153196"/>
    <w:rsid w:val="001712C2"/>
    <w:rsid w:val="0017309B"/>
    <w:rsid w:val="001C34F6"/>
    <w:rsid w:val="001C7335"/>
    <w:rsid w:val="001D0C40"/>
    <w:rsid w:val="001D4C94"/>
    <w:rsid w:val="001E1C4B"/>
    <w:rsid w:val="00212BFF"/>
    <w:rsid w:val="00214BBD"/>
    <w:rsid w:val="0026003A"/>
    <w:rsid w:val="0027505F"/>
    <w:rsid w:val="0029099B"/>
    <w:rsid w:val="002F3D70"/>
    <w:rsid w:val="002F49ED"/>
    <w:rsid w:val="003046EB"/>
    <w:rsid w:val="00305294"/>
    <w:rsid w:val="003220FB"/>
    <w:rsid w:val="0032572F"/>
    <w:rsid w:val="00332BAC"/>
    <w:rsid w:val="003552DE"/>
    <w:rsid w:val="00374799"/>
    <w:rsid w:val="00375B87"/>
    <w:rsid w:val="00377868"/>
    <w:rsid w:val="00384836"/>
    <w:rsid w:val="003929D5"/>
    <w:rsid w:val="003A0C7A"/>
    <w:rsid w:val="003B3EE3"/>
    <w:rsid w:val="003C6586"/>
    <w:rsid w:val="003D1089"/>
    <w:rsid w:val="003E5CF6"/>
    <w:rsid w:val="003E5F40"/>
    <w:rsid w:val="003F01C5"/>
    <w:rsid w:val="004214AF"/>
    <w:rsid w:val="00450686"/>
    <w:rsid w:val="004632E1"/>
    <w:rsid w:val="0046790D"/>
    <w:rsid w:val="00470953"/>
    <w:rsid w:val="00473799"/>
    <w:rsid w:val="00494FF8"/>
    <w:rsid w:val="004A0904"/>
    <w:rsid w:val="004C67EC"/>
    <w:rsid w:val="004F0134"/>
    <w:rsid w:val="00550C9E"/>
    <w:rsid w:val="00592AF4"/>
    <w:rsid w:val="0059508D"/>
    <w:rsid w:val="005C1A08"/>
    <w:rsid w:val="005E1A67"/>
    <w:rsid w:val="00651C88"/>
    <w:rsid w:val="0066082E"/>
    <w:rsid w:val="0066567A"/>
    <w:rsid w:val="00671325"/>
    <w:rsid w:val="0068141E"/>
    <w:rsid w:val="006E746E"/>
    <w:rsid w:val="00702279"/>
    <w:rsid w:val="007134CE"/>
    <w:rsid w:val="0072613D"/>
    <w:rsid w:val="00733012"/>
    <w:rsid w:val="00741FE8"/>
    <w:rsid w:val="007422DC"/>
    <w:rsid w:val="00746267"/>
    <w:rsid w:val="007676C9"/>
    <w:rsid w:val="0078715E"/>
    <w:rsid w:val="00796527"/>
    <w:rsid w:val="007A39BA"/>
    <w:rsid w:val="007A7DF9"/>
    <w:rsid w:val="007B37A7"/>
    <w:rsid w:val="007C28AB"/>
    <w:rsid w:val="007D542C"/>
    <w:rsid w:val="007E365C"/>
    <w:rsid w:val="007F3CD8"/>
    <w:rsid w:val="0080291B"/>
    <w:rsid w:val="00812304"/>
    <w:rsid w:val="00815745"/>
    <w:rsid w:val="00820590"/>
    <w:rsid w:val="008452F1"/>
    <w:rsid w:val="008465F4"/>
    <w:rsid w:val="00852C72"/>
    <w:rsid w:val="00860A0C"/>
    <w:rsid w:val="00875103"/>
    <w:rsid w:val="008A3B5F"/>
    <w:rsid w:val="008B62F7"/>
    <w:rsid w:val="008D6B8F"/>
    <w:rsid w:val="008E4D22"/>
    <w:rsid w:val="008F2E23"/>
    <w:rsid w:val="008F43E0"/>
    <w:rsid w:val="00921480"/>
    <w:rsid w:val="009335A5"/>
    <w:rsid w:val="00955B2D"/>
    <w:rsid w:val="00957E40"/>
    <w:rsid w:val="00963520"/>
    <w:rsid w:val="00964A4A"/>
    <w:rsid w:val="0099480A"/>
    <w:rsid w:val="00995832"/>
    <w:rsid w:val="00996B0B"/>
    <w:rsid w:val="009A77D6"/>
    <w:rsid w:val="009C662B"/>
    <w:rsid w:val="009F39B2"/>
    <w:rsid w:val="00A15F7E"/>
    <w:rsid w:val="00A162F3"/>
    <w:rsid w:val="00A26C4B"/>
    <w:rsid w:val="00A31D4E"/>
    <w:rsid w:val="00A32C36"/>
    <w:rsid w:val="00A33AEC"/>
    <w:rsid w:val="00A56EFF"/>
    <w:rsid w:val="00A91060"/>
    <w:rsid w:val="00A954CF"/>
    <w:rsid w:val="00A96D2B"/>
    <w:rsid w:val="00AA032F"/>
    <w:rsid w:val="00AA46D0"/>
    <w:rsid w:val="00AB550A"/>
    <w:rsid w:val="00AF56A5"/>
    <w:rsid w:val="00B05257"/>
    <w:rsid w:val="00B14509"/>
    <w:rsid w:val="00B22DDE"/>
    <w:rsid w:val="00B25B5F"/>
    <w:rsid w:val="00B30201"/>
    <w:rsid w:val="00B46817"/>
    <w:rsid w:val="00B47FCC"/>
    <w:rsid w:val="00B51C91"/>
    <w:rsid w:val="00B60AEB"/>
    <w:rsid w:val="00B70DEE"/>
    <w:rsid w:val="00B74BB7"/>
    <w:rsid w:val="00B8391F"/>
    <w:rsid w:val="00B84257"/>
    <w:rsid w:val="00BD27E4"/>
    <w:rsid w:val="00BD6219"/>
    <w:rsid w:val="00C05281"/>
    <w:rsid w:val="00C35DB8"/>
    <w:rsid w:val="00C65A99"/>
    <w:rsid w:val="00C74A73"/>
    <w:rsid w:val="00C80E76"/>
    <w:rsid w:val="00C96DCF"/>
    <w:rsid w:val="00CB38EF"/>
    <w:rsid w:val="00CC1EE2"/>
    <w:rsid w:val="00CD4554"/>
    <w:rsid w:val="00CE6F6F"/>
    <w:rsid w:val="00CF67E2"/>
    <w:rsid w:val="00D0037A"/>
    <w:rsid w:val="00D06C2D"/>
    <w:rsid w:val="00D14969"/>
    <w:rsid w:val="00D16F89"/>
    <w:rsid w:val="00D33AB9"/>
    <w:rsid w:val="00D51CD6"/>
    <w:rsid w:val="00D65DF2"/>
    <w:rsid w:val="00D73485"/>
    <w:rsid w:val="00D77DA7"/>
    <w:rsid w:val="00D77E41"/>
    <w:rsid w:val="00D83026"/>
    <w:rsid w:val="00DC4DC6"/>
    <w:rsid w:val="00DD6E34"/>
    <w:rsid w:val="00E06EAD"/>
    <w:rsid w:val="00E17355"/>
    <w:rsid w:val="00E56C5B"/>
    <w:rsid w:val="00E60F00"/>
    <w:rsid w:val="00E76BB4"/>
    <w:rsid w:val="00EA2A65"/>
    <w:rsid w:val="00EA53C3"/>
    <w:rsid w:val="00ED3D6B"/>
    <w:rsid w:val="00EE43E7"/>
    <w:rsid w:val="00F02F8E"/>
    <w:rsid w:val="00F158CA"/>
    <w:rsid w:val="00F15B4B"/>
    <w:rsid w:val="00F23C91"/>
    <w:rsid w:val="00F431E4"/>
    <w:rsid w:val="00F85452"/>
    <w:rsid w:val="00F86B60"/>
    <w:rsid w:val="00F9560F"/>
    <w:rsid w:val="00FA1236"/>
    <w:rsid w:val="00FA7423"/>
    <w:rsid w:val="00FC506D"/>
    <w:rsid w:val="00FD2C29"/>
    <w:rsid w:val="00FF132B"/>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AB024-85F4-4D9D-9C5C-0F5B181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F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A33AEC"/>
  </w:style>
  <w:style w:type="character" w:customStyle="1" w:styleId="TextodenotaderodapChar">
    <w:name w:val="Texto de nota de rodapé Char"/>
    <w:basedOn w:val="Fontepargpadro"/>
    <w:link w:val="Textodenotaderodap"/>
    <w:rsid w:val="00A33AEC"/>
  </w:style>
  <w:style w:type="character" w:styleId="Refdenotaderodap">
    <w:name w:val="footnote reference"/>
    <w:basedOn w:val="Fontepargpadro"/>
    <w:rsid w:val="00A33AEC"/>
    <w:rPr>
      <w:vertAlign w:val="superscript"/>
    </w:rPr>
  </w:style>
  <w:style w:type="paragraph" w:styleId="Cabealho">
    <w:name w:val="header"/>
    <w:basedOn w:val="Normal"/>
    <w:link w:val="CabealhoChar"/>
    <w:uiPriority w:val="99"/>
    <w:rsid w:val="00F158CA"/>
    <w:pPr>
      <w:tabs>
        <w:tab w:val="center" w:pos="4252"/>
        <w:tab w:val="right" w:pos="8504"/>
      </w:tabs>
    </w:pPr>
  </w:style>
  <w:style w:type="character" w:customStyle="1" w:styleId="CabealhoChar">
    <w:name w:val="Cabeçalho Char"/>
    <w:basedOn w:val="Fontepargpadro"/>
    <w:link w:val="Cabealho"/>
    <w:uiPriority w:val="99"/>
    <w:rsid w:val="00F158CA"/>
  </w:style>
  <w:style w:type="paragraph" w:styleId="Rodap">
    <w:name w:val="footer"/>
    <w:basedOn w:val="Normal"/>
    <w:link w:val="RodapChar"/>
    <w:rsid w:val="00F158CA"/>
    <w:pPr>
      <w:tabs>
        <w:tab w:val="center" w:pos="4252"/>
        <w:tab w:val="right" w:pos="8504"/>
      </w:tabs>
    </w:pPr>
  </w:style>
  <w:style w:type="character" w:customStyle="1" w:styleId="RodapChar">
    <w:name w:val="Rodapé Char"/>
    <w:basedOn w:val="Fontepargpadro"/>
    <w:link w:val="Rodap"/>
    <w:rsid w:val="00F158CA"/>
  </w:style>
  <w:style w:type="paragraph" w:styleId="PargrafodaLista">
    <w:name w:val="List Paragraph"/>
    <w:basedOn w:val="Normal"/>
    <w:rsid w:val="00F23C91"/>
    <w:pPr>
      <w:ind w:left="720"/>
      <w:contextualSpacing/>
    </w:pPr>
  </w:style>
  <w:style w:type="paragraph" w:customStyle="1" w:styleId="Body1">
    <w:name w:val="Body 1"/>
    <w:rsid w:val="00852C72"/>
    <w:rPr>
      <w:rFonts w:ascii="Helvetica" w:eastAsia="Arial Unicode MS" w:hAnsi="Helvetica" w:cs="Times New Roman"/>
      <w:color w:val="000000"/>
      <w:szCs w:val="20"/>
      <w:lang w:eastAsia="pt-BR"/>
    </w:rPr>
  </w:style>
  <w:style w:type="paragraph" w:styleId="Textodebalo">
    <w:name w:val="Balloon Text"/>
    <w:basedOn w:val="Normal"/>
    <w:link w:val="TextodebaloChar"/>
    <w:rsid w:val="00375B87"/>
    <w:rPr>
      <w:rFonts w:ascii="Tahoma" w:hAnsi="Tahoma" w:cs="Tahoma"/>
      <w:sz w:val="16"/>
      <w:szCs w:val="16"/>
    </w:rPr>
  </w:style>
  <w:style w:type="character" w:customStyle="1" w:styleId="TextodebaloChar">
    <w:name w:val="Texto de balão Char"/>
    <w:basedOn w:val="Fontepargpadro"/>
    <w:link w:val="Textodebalo"/>
    <w:rsid w:val="00375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3352">
      <w:bodyDiv w:val="1"/>
      <w:marLeft w:val="0"/>
      <w:marRight w:val="0"/>
      <w:marTop w:val="0"/>
      <w:marBottom w:val="0"/>
      <w:divBdr>
        <w:top w:val="none" w:sz="0" w:space="0" w:color="auto"/>
        <w:left w:val="none" w:sz="0" w:space="0" w:color="auto"/>
        <w:bottom w:val="none" w:sz="0" w:space="0" w:color="auto"/>
        <w:right w:val="none" w:sz="0" w:space="0" w:color="auto"/>
      </w:divBdr>
    </w:div>
    <w:div w:id="852111220">
      <w:bodyDiv w:val="1"/>
      <w:marLeft w:val="0"/>
      <w:marRight w:val="0"/>
      <w:marTop w:val="0"/>
      <w:marBottom w:val="0"/>
      <w:divBdr>
        <w:top w:val="none" w:sz="0" w:space="0" w:color="auto"/>
        <w:left w:val="none" w:sz="0" w:space="0" w:color="auto"/>
        <w:bottom w:val="none" w:sz="0" w:space="0" w:color="auto"/>
        <w:right w:val="none" w:sz="0" w:space="0" w:color="auto"/>
      </w:divBdr>
    </w:div>
    <w:div w:id="917788164">
      <w:bodyDiv w:val="1"/>
      <w:marLeft w:val="0"/>
      <w:marRight w:val="0"/>
      <w:marTop w:val="0"/>
      <w:marBottom w:val="0"/>
      <w:divBdr>
        <w:top w:val="none" w:sz="0" w:space="0" w:color="auto"/>
        <w:left w:val="none" w:sz="0" w:space="0" w:color="auto"/>
        <w:bottom w:val="none" w:sz="0" w:space="0" w:color="auto"/>
        <w:right w:val="none" w:sz="0" w:space="0" w:color="auto"/>
      </w:divBdr>
    </w:div>
    <w:div w:id="1298028206">
      <w:bodyDiv w:val="1"/>
      <w:marLeft w:val="0"/>
      <w:marRight w:val="0"/>
      <w:marTop w:val="0"/>
      <w:marBottom w:val="0"/>
      <w:divBdr>
        <w:top w:val="none" w:sz="0" w:space="0" w:color="auto"/>
        <w:left w:val="none" w:sz="0" w:space="0" w:color="auto"/>
        <w:bottom w:val="none" w:sz="0" w:space="0" w:color="auto"/>
        <w:right w:val="none" w:sz="0" w:space="0" w:color="auto"/>
      </w:divBdr>
    </w:div>
    <w:div w:id="1314793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2493-0D52-4BB3-B188-94EE12C8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2500</Words>
  <Characters>13502</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Glaucia Montenegro</dc:creator>
  <cp:lastModifiedBy>Maria Eunisse</cp:lastModifiedBy>
  <cp:revision>4</cp:revision>
  <dcterms:created xsi:type="dcterms:W3CDTF">2015-12-11T17:32:00Z</dcterms:created>
  <dcterms:modified xsi:type="dcterms:W3CDTF">2015-12-11T17:37:00Z</dcterms:modified>
</cp:coreProperties>
</file>