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B5" w:rsidRPr="00B8482B" w:rsidRDefault="00F51517" w:rsidP="000F61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FNE E O</w:t>
      </w:r>
      <w:r w:rsidR="007B31D7">
        <w:rPr>
          <w:b/>
          <w:sz w:val="24"/>
          <w:szCs w:val="24"/>
        </w:rPr>
        <w:t xml:space="preserve"> CRÉDITO RURAL</w:t>
      </w:r>
    </w:p>
    <w:p w:rsidR="000F61F8" w:rsidRPr="00B8482B" w:rsidRDefault="000F61F8" w:rsidP="000F61F8">
      <w:pPr>
        <w:spacing w:after="0"/>
        <w:jc w:val="right"/>
        <w:rPr>
          <w:sz w:val="24"/>
          <w:szCs w:val="24"/>
        </w:rPr>
      </w:pPr>
    </w:p>
    <w:p w:rsidR="000F61F8" w:rsidRPr="00B8482B" w:rsidRDefault="000F61F8" w:rsidP="000F61F8">
      <w:pPr>
        <w:spacing w:after="0"/>
        <w:jc w:val="right"/>
        <w:rPr>
          <w:sz w:val="24"/>
          <w:szCs w:val="24"/>
        </w:rPr>
      </w:pPr>
    </w:p>
    <w:p w:rsidR="00A567B2" w:rsidRPr="00B8482B" w:rsidRDefault="00A567B2" w:rsidP="000F61F8">
      <w:pPr>
        <w:spacing w:after="0"/>
        <w:jc w:val="right"/>
        <w:rPr>
          <w:sz w:val="24"/>
          <w:szCs w:val="24"/>
        </w:rPr>
      </w:pPr>
    </w:p>
    <w:p w:rsidR="000F61F8" w:rsidRDefault="00D621D9" w:rsidP="000F61F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D621D9" w:rsidRPr="00D621D9" w:rsidRDefault="00D621D9" w:rsidP="000F61F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presente artigo busca analisar a aplicação do Crédito Rural por meio dos recursos do Fundo Constitucional de Desenvolvimento do Nordeste (FNE), fundo esse gerido p</w:t>
      </w:r>
      <w:r w:rsidR="00FB3A49">
        <w:rPr>
          <w:sz w:val="24"/>
          <w:szCs w:val="24"/>
        </w:rPr>
        <w:t>elo Banco do Nordeste do Brasil, analisaremos os riscos que correm a instituição financeira e o próprio FNE, passando pelo histórico do Crédito Rural, analisando os Títulos de Crédito como instrumentos utilizados para a formalização</w:t>
      </w:r>
      <w:r>
        <w:rPr>
          <w:sz w:val="24"/>
          <w:szCs w:val="24"/>
        </w:rPr>
        <w:t xml:space="preserve"> </w:t>
      </w:r>
      <w:r w:rsidR="00FB3A49">
        <w:rPr>
          <w:sz w:val="24"/>
          <w:szCs w:val="24"/>
        </w:rPr>
        <w:t>dos Financiamentos.</w:t>
      </w:r>
    </w:p>
    <w:p w:rsidR="000F61F8" w:rsidRPr="00B8482B" w:rsidRDefault="000F61F8" w:rsidP="000F61F8">
      <w:pPr>
        <w:spacing w:after="0" w:line="360" w:lineRule="auto"/>
        <w:jc w:val="both"/>
        <w:rPr>
          <w:sz w:val="24"/>
          <w:szCs w:val="24"/>
        </w:rPr>
      </w:pPr>
    </w:p>
    <w:p w:rsidR="000F61F8" w:rsidRDefault="000F61F8" w:rsidP="000F61F8">
      <w:pPr>
        <w:spacing w:after="0" w:line="360" w:lineRule="auto"/>
        <w:jc w:val="both"/>
        <w:rPr>
          <w:sz w:val="24"/>
          <w:szCs w:val="24"/>
        </w:rPr>
      </w:pPr>
      <w:r w:rsidRPr="00B8482B">
        <w:rPr>
          <w:b/>
          <w:sz w:val="24"/>
          <w:szCs w:val="24"/>
        </w:rPr>
        <w:t>Palavras-Chave:</w:t>
      </w:r>
      <w:r w:rsidRPr="00B8482B">
        <w:rPr>
          <w:sz w:val="24"/>
          <w:szCs w:val="24"/>
        </w:rPr>
        <w:t xml:space="preserve"> </w:t>
      </w:r>
      <w:r w:rsidR="00D621D9">
        <w:rPr>
          <w:sz w:val="24"/>
          <w:szCs w:val="24"/>
        </w:rPr>
        <w:t>FNE, CRÉDITO RURAL, TÍTULOS DE CRÉDITO, DIREITO BANCÁRIO</w:t>
      </w:r>
      <w:r w:rsidR="009C6FC4">
        <w:rPr>
          <w:sz w:val="24"/>
          <w:szCs w:val="24"/>
        </w:rPr>
        <w:t>.</w:t>
      </w:r>
      <w:bookmarkStart w:id="0" w:name="_GoBack"/>
      <w:bookmarkEnd w:id="0"/>
    </w:p>
    <w:p w:rsidR="00DE7487" w:rsidRPr="00DE7487" w:rsidRDefault="00DE7487" w:rsidP="000F61F8">
      <w:pPr>
        <w:spacing w:after="0" w:line="360" w:lineRule="auto"/>
        <w:jc w:val="both"/>
        <w:rPr>
          <w:sz w:val="24"/>
          <w:szCs w:val="24"/>
        </w:rPr>
      </w:pPr>
    </w:p>
    <w:p w:rsidR="000F61F8" w:rsidRPr="00B8482B" w:rsidRDefault="000F61F8" w:rsidP="000F61F8">
      <w:pPr>
        <w:spacing w:after="0" w:line="360" w:lineRule="auto"/>
        <w:jc w:val="both"/>
        <w:rPr>
          <w:b/>
          <w:sz w:val="24"/>
          <w:szCs w:val="24"/>
        </w:rPr>
      </w:pPr>
      <w:r w:rsidRPr="00B8482B">
        <w:rPr>
          <w:b/>
          <w:sz w:val="24"/>
          <w:szCs w:val="24"/>
        </w:rPr>
        <w:t>Introdução</w:t>
      </w:r>
    </w:p>
    <w:p w:rsidR="008873C3" w:rsidRPr="00B8482B" w:rsidRDefault="008873C3" w:rsidP="000F61F8">
      <w:pPr>
        <w:spacing w:after="0" w:line="360" w:lineRule="auto"/>
        <w:jc w:val="both"/>
        <w:rPr>
          <w:b/>
          <w:sz w:val="24"/>
          <w:szCs w:val="24"/>
        </w:rPr>
      </w:pPr>
    </w:p>
    <w:p w:rsidR="0018483B" w:rsidRDefault="003901F6" w:rsidP="00113AF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crédito rural foi institucionalizado</w:t>
      </w:r>
      <w:r w:rsidR="000B604B">
        <w:rPr>
          <w:sz w:val="24"/>
          <w:szCs w:val="24"/>
        </w:rPr>
        <w:t xml:space="preserve"> por meio da lei n</w:t>
      </w:r>
      <w:r>
        <w:rPr>
          <w:sz w:val="24"/>
          <w:szCs w:val="24"/>
        </w:rPr>
        <w:t>º 4.829 de 1965, sendo importante no desenvolvimento da agropecuária e essencial na agricultura familiar</w:t>
      </w:r>
      <w:r w:rsidR="00113AF9">
        <w:rPr>
          <w:sz w:val="24"/>
          <w:szCs w:val="24"/>
        </w:rPr>
        <w:t xml:space="preserve">, </w:t>
      </w:r>
      <w:r w:rsidR="00113AF9" w:rsidRPr="00113AF9">
        <w:rPr>
          <w:sz w:val="24"/>
          <w:szCs w:val="24"/>
        </w:rPr>
        <w:t>se destina</w:t>
      </w:r>
      <w:r w:rsidR="00113AF9">
        <w:rPr>
          <w:sz w:val="24"/>
          <w:szCs w:val="24"/>
        </w:rPr>
        <w:t>ndo</w:t>
      </w:r>
      <w:r w:rsidR="00113AF9" w:rsidRPr="00113AF9">
        <w:rPr>
          <w:sz w:val="24"/>
          <w:szCs w:val="24"/>
        </w:rPr>
        <w:t xml:space="preserve"> ao financiamento das ativ</w:t>
      </w:r>
      <w:r w:rsidR="00113AF9">
        <w:rPr>
          <w:sz w:val="24"/>
          <w:szCs w:val="24"/>
        </w:rPr>
        <w:t xml:space="preserve">idades de custeio das despesas </w:t>
      </w:r>
      <w:r w:rsidR="00113AF9" w:rsidRPr="00113AF9">
        <w:rPr>
          <w:sz w:val="24"/>
          <w:szCs w:val="24"/>
        </w:rPr>
        <w:t xml:space="preserve">normais de cada ciclo produtivo, investimento em bens ou serviços cujo aproveitamento se estenda por vários ciclos produtivos, ou ainda, </w:t>
      </w:r>
      <w:r w:rsidR="00113AF9">
        <w:rPr>
          <w:sz w:val="24"/>
          <w:szCs w:val="24"/>
        </w:rPr>
        <w:t>na comercialização da produção.</w:t>
      </w:r>
    </w:p>
    <w:p w:rsidR="005B4415" w:rsidRDefault="000B604B" w:rsidP="005B4415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A lei n</w:t>
      </w:r>
      <w:r w:rsidR="003901F6">
        <w:rPr>
          <w:sz w:val="24"/>
          <w:szCs w:val="24"/>
        </w:rPr>
        <w:t>º 4.829/65 traz em seu artigo 2º a definição de crédito rural: “</w:t>
      </w:r>
      <w:r w:rsidR="00113AF9" w:rsidRPr="00113AF9">
        <w:rPr>
          <w:sz w:val="24"/>
          <w:szCs w:val="24"/>
        </w:rPr>
        <w:t xml:space="preserve">Considera-se crédito rural o suprimento de recursos financeiros por entidades públicas e estabelecimentos de crédito particulares a produtores rurais ou a suas cooperativas para aplicação exclusiva em atividades que se enquadrem nos objetivos indicados na legislação </w:t>
      </w:r>
      <w:r w:rsidR="00113AF9" w:rsidRPr="005B4415">
        <w:rPr>
          <w:sz w:val="24"/>
          <w:szCs w:val="24"/>
        </w:rPr>
        <w:t>em vigor”</w:t>
      </w:r>
      <w:r w:rsidR="005B4415" w:rsidRPr="005B4415">
        <w:rPr>
          <w:sz w:val="24"/>
          <w:szCs w:val="24"/>
        </w:rPr>
        <w:t>,</w:t>
      </w:r>
      <w:proofErr w:type="gramStart"/>
      <w:r w:rsidR="005B4415" w:rsidRPr="005B4415">
        <w:rPr>
          <w:sz w:val="24"/>
          <w:szCs w:val="24"/>
        </w:rPr>
        <w:t xml:space="preserve">  </w:t>
      </w:r>
      <w:proofErr w:type="gramEnd"/>
      <w:r w:rsidR="005B4415" w:rsidRPr="005B4415">
        <w:rPr>
          <w:sz w:val="24"/>
          <w:szCs w:val="24"/>
        </w:rPr>
        <w:t xml:space="preserve">bem como traz em seu artigo 3º os objetivos específicos desse crédito, quais sejam: a) estimular o incremento ordenado dos investimentos rurais, inclusive para armazenamento beneficiamento e industrialização dos produtos agropecuários, quando efetuado por cooperativas ou pelo produtor na sua propriedade rural; b) favorecer o custeio oportuno e adequado da produção e a comercialização de produtos agropecuários; c) </w:t>
      </w:r>
      <w:r w:rsidR="005B4415" w:rsidRPr="005B4415">
        <w:rPr>
          <w:rStyle w:val="t1"/>
          <w:rFonts w:cs="Arial"/>
          <w:color w:val="000000"/>
          <w:sz w:val="24"/>
          <w:szCs w:val="24"/>
          <w:shd w:val="clear" w:color="auto" w:fill="FFFFFF"/>
        </w:rPr>
        <w:t>possibilita</w:t>
      </w:r>
      <w:r w:rsidR="005B4415" w:rsidRPr="005B4415">
        <w:rPr>
          <w:rFonts w:cs="Arial"/>
          <w:color w:val="000000"/>
          <w:sz w:val="24"/>
          <w:szCs w:val="24"/>
          <w:shd w:val="clear" w:color="auto" w:fill="FFFFFF"/>
        </w:rPr>
        <w:t xml:space="preserve">r o fortalecimento econômico dos produtores rurais, notadamente pequenos e médios e ; d) incentivar a introdução </w:t>
      </w:r>
      <w:r w:rsidR="005B4415" w:rsidRPr="005B4415">
        <w:rPr>
          <w:rFonts w:cs="Arial"/>
          <w:color w:val="000000"/>
          <w:sz w:val="24"/>
          <w:szCs w:val="24"/>
          <w:shd w:val="clear" w:color="auto" w:fill="FFFFFF"/>
        </w:rPr>
        <w:lastRenderedPageBreak/>
        <w:t>de métodos racionais de produção, visando ao aumento da produtividade e à melhoria do padrão de vida das populações rura</w:t>
      </w:r>
      <w:r>
        <w:rPr>
          <w:rFonts w:cs="Arial"/>
          <w:color w:val="000000"/>
          <w:sz w:val="24"/>
          <w:szCs w:val="24"/>
          <w:shd w:val="clear" w:color="auto" w:fill="FFFFFF"/>
        </w:rPr>
        <w:t>is, e à adequada defesa do solo.</w:t>
      </w:r>
    </w:p>
    <w:p w:rsidR="00585299" w:rsidRPr="00585299" w:rsidRDefault="00585299" w:rsidP="00585299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Para a concessão de crédito rural são feitas algumas exigências: </w:t>
      </w:r>
      <w:r w:rsidRPr="00585299">
        <w:rPr>
          <w:rFonts w:cs="Arial"/>
          <w:color w:val="000000"/>
          <w:sz w:val="24"/>
          <w:szCs w:val="24"/>
          <w:shd w:val="clear" w:color="auto" w:fill="FFFFFF"/>
        </w:rPr>
        <w:t xml:space="preserve">apresentação de orçamento, plano ou projeto, exceto em operações de desconto de nota promissória rural ou de duplicata rural; oportunidade, suficiência e adequação de recursos; observância de cronograma de utilização e de reembolso; fiscalização pelo financiador; e idoneidade do tomador (art. 10 da Lei nº 4.829, de </w:t>
      </w:r>
      <w:proofErr w:type="gramStart"/>
      <w:r w:rsidRPr="00585299">
        <w:rPr>
          <w:rFonts w:cs="Arial"/>
          <w:color w:val="000000"/>
          <w:sz w:val="24"/>
          <w:szCs w:val="24"/>
          <w:shd w:val="clear" w:color="auto" w:fill="FFFFFF"/>
        </w:rPr>
        <w:t>5</w:t>
      </w:r>
      <w:proofErr w:type="gramEnd"/>
      <w:r w:rsidRPr="00585299">
        <w:rPr>
          <w:rFonts w:cs="Arial"/>
          <w:color w:val="000000"/>
          <w:sz w:val="24"/>
          <w:szCs w:val="24"/>
          <w:shd w:val="clear" w:color="auto" w:fill="FFFFFF"/>
        </w:rPr>
        <w:t xml:space="preserve"> de novembro de 1965)</w:t>
      </w:r>
      <w:r w:rsidR="007B31D7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585299" w:rsidRDefault="00585299" w:rsidP="005B4415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0B604B" w:rsidRDefault="000B604B" w:rsidP="005B4415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0B604B" w:rsidRDefault="000B604B" w:rsidP="000B604B">
      <w:pPr>
        <w:spacing w:after="0" w:line="360" w:lineRule="auto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0B604B">
        <w:rPr>
          <w:rFonts w:cs="Arial"/>
          <w:b/>
          <w:color w:val="000000"/>
          <w:sz w:val="24"/>
          <w:szCs w:val="24"/>
          <w:shd w:val="clear" w:color="auto" w:fill="FFFFFF"/>
        </w:rPr>
        <w:t>1.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Títulos de Crédito Rural</w:t>
      </w:r>
    </w:p>
    <w:p w:rsidR="000B604B" w:rsidRDefault="000B604B" w:rsidP="000B604B">
      <w:pPr>
        <w:spacing w:after="0" w:line="360" w:lineRule="auto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FB3A49" w:rsidRDefault="00FB3A49" w:rsidP="000B604B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FB3A49">
        <w:rPr>
          <w:rFonts w:cs="Arial"/>
          <w:color w:val="000000"/>
          <w:sz w:val="24"/>
          <w:szCs w:val="24"/>
          <w:shd w:val="clear" w:color="auto" w:fill="FFFFFF"/>
        </w:rPr>
        <w:t xml:space="preserve">Segundo </w:t>
      </w:r>
      <w:proofErr w:type="spellStart"/>
      <w:r w:rsidRPr="00FB3A49">
        <w:rPr>
          <w:rFonts w:cs="Arial"/>
          <w:color w:val="000000"/>
          <w:sz w:val="24"/>
          <w:szCs w:val="24"/>
          <w:shd w:val="clear" w:color="auto" w:fill="FFFFFF"/>
        </w:rPr>
        <w:t>Vivante</w:t>
      </w:r>
      <w:proofErr w:type="spellEnd"/>
      <w:r w:rsidRPr="00FB3A49">
        <w:rPr>
          <w:rFonts w:cs="Arial"/>
          <w:color w:val="000000"/>
          <w:sz w:val="24"/>
          <w:szCs w:val="24"/>
          <w:shd w:val="clear" w:color="auto" w:fill="FFFFFF"/>
        </w:rPr>
        <w:t xml:space="preserve"> os títulos de crédito constituem "documentos necessários para o exercício de um direito literal e autônomo, ne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le mencionado". Deste conceito </w:t>
      </w:r>
      <w:r w:rsidRPr="00FB3A49">
        <w:rPr>
          <w:rFonts w:cs="Arial"/>
          <w:color w:val="000000"/>
          <w:sz w:val="24"/>
          <w:szCs w:val="24"/>
          <w:shd w:val="clear" w:color="auto" w:fill="FFFFFF"/>
        </w:rPr>
        <w:t>podemos extrair os princípios que norteiam esse tema, que são: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Cartularidade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>, Literalidade, Autonomia e Abstração.</w:t>
      </w:r>
    </w:p>
    <w:p w:rsidR="00FB3A49" w:rsidRDefault="00FB3A49" w:rsidP="00FB3A49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FB3A49">
        <w:rPr>
          <w:rFonts w:cs="Arial"/>
          <w:color w:val="000000"/>
          <w:sz w:val="24"/>
          <w:szCs w:val="24"/>
          <w:shd w:val="clear" w:color="auto" w:fill="FFFFFF"/>
        </w:rPr>
        <w:t xml:space="preserve">O Princípio da </w:t>
      </w:r>
      <w:proofErr w:type="spellStart"/>
      <w:r w:rsidRPr="00FB3A49">
        <w:rPr>
          <w:rFonts w:cs="Arial"/>
          <w:color w:val="000000"/>
          <w:sz w:val="24"/>
          <w:szCs w:val="24"/>
          <w:shd w:val="clear" w:color="auto" w:fill="FFFFFF"/>
        </w:rPr>
        <w:t>Cartularidade</w:t>
      </w:r>
      <w:proofErr w:type="spellEnd"/>
      <w:r w:rsidRPr="00FB3A49">
        <w:t xml:space="preserve"> </w:t>
      </w:r>
      <w:r w:rsidRPr="00FB3A49">
        <w:rPr>
          <w:rFonts w:cs="Arial"/>
          <w:color w:val="000000"/>
          <w:sz w:val="24"/>
          <w:szCs w:val="24"/>
          <w:shd w:val="clear" w:color="auto" w:fill="FFFFFF"/>
        </w:rPr>
        <w:t>exige a ex</w:t>
      </w:r>
      <w:r>
        <w:rPr>
          <w:rFonts w:cs="Arial"/>
          <w:color w:val="000000"/>
          <w:sz w:val="24"/>
          <w:szCs w:val="24"/>
          <w:shd w:val="clear" w:color="auto" w:fill="FFFFFF"/>
        </w:rPr>
        <w:t>istência material do título</w:t>
      </w:r>
      <w:r w:rsidRPr="00FB3A49">
        <w:rPr>
          <w:rFonts w:cs="Arial"/>
          <w:color w:val="000000"/>
          <w:sz w:val="24"/>
          <w:szCs w:val="24"/>
          <w:shd w:val="clear" w:color="auto" w:fill="FFFFFF"/>
        </w:rPr>
        <w:t xml:space="preserve">. Assim sendo, para que o credor possa exigir o crédito deverá apresentar a cártula original do documento </w:t>
      </w:r>
      <w:r>
        <w:rPr>
          <w:rFonts w:cs="Arial"/>
          <w:color w:val="000000"/>
          <w:sz w:val="24"/>
          <w:szCs w:val="24"/>
          <w:shd w:val="clear" w:color="auto" w:fill="FFFFFF"/>
        </w:rPr>
        <w:t>(t</w:t>
      </w:r>
      <w:r w:rsidRPr="00FB3A49">
        <w:rPr>
          <w:rFonts w:cs="Arial"/>
          <w:color w:val="000000"/>
          <w:sz w:val="24"/>
          <w:szCs w:val="24"/>
          <w:shd w:val="clear" w:color="auto" w:fill="FFFFFF"/>
        </w:rPr>
        <w:t>ítulo de crédito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), garantindo </w:t>
      </w:r>
      <w:r w:rsidRPr="00FB3A49">
        <w:rPr>
          <w:rFonts w:cs="Arial"/>
          <w:color w:val="000000"/>
          <w:sz w:val="24"/>
          <w:szCs w:val="24"/>
          <w:shd w:val="clear" w:color="auto" w:fill="FFFFFF"/>
        </w:rPr>
        <w:t>este princípio, que o possuidor do título é o titular do direito de crédito.</w:t>
      </w:r>
    </w:p>
    <w:p w:rsidR="00FB3A49" w:rsidRDefault="00FB3A49" w:rsidP="00FB3A49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O Princípio da Literalidade versa que </w:t>
      </w:r>
      <w:r w:rsidRPr="00FB3A49">
        <w:rPr>
          <w:rFonts w:cs="Arial"/>
          <w:color w:val="000000"/>
          <w:sz w:val="24"/>
          <w:szCs w:val="24"/>
          <w:shd w:val="clear" w:color="auto" w:fill="FFFFFF"/>
        </w:rPr>
        <w:t>o título vale pelo que nele está mencionado, em seus termos e limites. Para o credor e devedor só valerá o que estiver expresso no título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FB3A49" w:rsidRDefault="00FB3A49" w:rsidP="00FB3A49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O Princípio da Autonomia aduz que </w:t>
      </w:r>
      <w:proofErr w:type="gramStart"/>
      <w:r w:rsidRPr="00FB3A49">
        <w:rPr>
          <w:rFonts w:cs="Arial"/>
          <w:color w:val="000000"/>
          <w:sz w:val="24"/>
          <w:szCs w:val="24"/>
          <w:shd w:val="clear" w:color="auto" w:fill="FFFFFF"/>
        </w:rPr>
        <w:t>desvincula-se</w:t>
      </w:r>
      <w:proofErr w:type="gramEnd"/>
      <w:r w:rsidRPr="00FB3A49">
        <w:rPr>
          <w:rFonts w:cs="Arial"/>
          <w:color w:val="000000"/>
          <w:sz w:val="24"/>
          <w:szCs w:val="24"/>
          <w:shd w:val="clear" w:color="auto" w:fill="FFFFFF"/>
        </w:rPr>
        <w:t xml:space="preserve"> toda e qualquer relação havida entre os anteriores possuidores do título com os atuais e, assim sendo, o que circula é o título de crédito e não o direito abstrato contido nele.</w:t>
      </w:r>
    </w:p>
    <w:p w:rsidR="00FB3A49" w:rsidRDefault="00FB3A49" w:rsidP="00FB3A49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O Princípio da Abstração </w:t>
      </w:r>
      <w:r w:rsidRPr="00FB3A49">
        <w:rPr>
          <w:rFonts w:cs="Arial"/>
          <w:color w:val="000000"/>
          <w:sz w:val="24"/>
          <w:szCs w:val="24"/>
          <w:shd w:val="clear" w:color="auto" w:fill="FFFFFF"/>
        </w:rPr>
        <w:t>decorre, em parte, do princípio da autonomia e trata da separação da causa ao título por ela originado. Não se vincula a cártula, portanto, ao negócio jurídico principal que a originou, visando, por fim, a proteção do possuidor de boa-fé.</w:t>
      </w:r>
    </w:p>
    <w:p w:rsidR="00FB3A49" w:rsidRDefault="00FB3A49" w:rsidP="00D86362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>Os títulos de crédito se classificam</w:t>
      </w:r>
      <w:r w:rsidR="00D86362">
        <w:rPr>
          <w:rFonts w:cs="Arial"/>
          <w:color w:val="000000"/>
          <w:sz w:val="24"/>
          <w:szCs w:val="24"/>
          <w:shd w:val="clear" w:color="auto" w:fill="FFFFFF"/>
        </w:rPr>
        <w:t xml:space="preserve"> quanto ao modelo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em </w:t>
      </w:r>
      <w:r w:rsidR="00D86362">
        <w:rPr>
          <w:rFonts w:cs="Arial"/>
          <w:color w:val="000000"/>
          <w:sz w:val="24"/>
          <w:szCs w:val="24"/>
          <w:shd w:val="clear" w:color="auto" w:fill="FFFFFF"/>
        </w:rPr>
        <w:t xml:space="preserve">vinculados ou livres. Os vinculados </w:t>
      </w:r>
      <w:r w:rsidR="00D86362" w:rsidRPr="00D86362">
        <w:rPr>
          <w:rFonts w:cs="Arial"/>
          <w:color w:val="000000"/>
          <w:sz w:val="24"/>
          <w:szCs w:val="24"/>
          <w:shd w:val="clear" w:color="auto" w:fill="FFFFFF"/>
        </w:rPr>
        <w:t xml:space="preserve">devem atender a um padrão específico, definido por lei, para </w:t>
      </w:r>
      <w:r w:rsidR="00D86362">
        <w:rPr>
          <w:rFonts w:cs="Arial"/>
          <w:color w:val="000000"/>
          <w:sz w:val="24"/>
          <w:szCs w:val="24"/>
          <w:shd w:val="clear" w:color="auto" w:fill="FFFFFF"/>
        </w:rPr>
        <w:t>a criação do título. Já livres</w:t>
      </w:r>
      <w:r w:rsidR="00D86362" w:rsidRPr="00D86362">
        <w:rPr>
          <w:rFonts w:cs="Arial"/>
          <w:color w:val="000000"/>
          <w:sz w:val="24"/>
          <w:szCs w:val="24"/>
          <w:shd w:val="clear" w:color="auto" w:fill="FFFFFF"/>
        </w:rPr>
        <w:t xml:space="preserve"> são os títulos que não exigem um padrão obrigatório de emissão, basta que conste os requi</w:t>
      </w:r>
      <w:r w:rsidR="00D86362">
        <w:rPr>
          <w:rFonts w:cs="Arial"/>
          <w:color w:val="000000"/>
          <w:sz w:val="24"/>
          <w:szCs w:val="24"/>
          <w:shd w:val="clear" w:color="auto" w:fill="FFFFFF"/>
        </w:rPr>
        <w:t>sitos mínimos exigidos por lei.</w:t>
      </w:r>
    </w:p>
    <w:p w:rsidR="00D86362" w:rsidRDefault="00D86362" w:rsidP="00D86362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Em relação à estrutura, os títulos de crédito </w:t>
      </w:r>
      <w:r w:rsidRPr="00D86362">
        <w:rPr>
          <w:rFonts w:cs="Arial"/>
          <w:color w:val="000000"/>
          <w:sz w:val="24"/>
          <w:szCs w:val="24"/>
          <w:shd w:val="clear" w:color="auto" w:fill="FFFFFF"/>
        </w:rPr>
        <w:t>podem ser ordem de paga</w:t>
      </w:r>
      <w:r>
        <w:rPr>
          <w:rFonts w:cs="Arial"/>
          <w:color w:val="000000"/>
          <w:sz w:val="24"/>
          <w:szCs w:val="24"/>
          <w:shd w:val="clear" w:color="auto" w:fill="FFFFFF"/>
        </w:rPr>
        <w:t>mento ou promessa de pagamento. Se for de ordem de pagamento</w:t>
      </w:r>
      <w:r w:rsidRPr="00D86362">
        <w:rPr>
          <w:rFonts w:cs="Arial"/>
          <w:color w:val="000000"/>
          <w:sz w:val="24"/>
          <w:szCs w:val="24"/>
          <w:shd w:val="clear" w:color="auto" w:fill="FFFFFF"/>
        </w:rPr>
        <w:t xml:space="preserve"> o saque cambial dá origem a três situações distintas: sacador ou emitente, que dá a ordem para que outra pessoa pague; sacado, que recebe a ordem e deve cumpri-la; e o beneficiário, que recebe o valor descrito no título.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Por sua vez a</w:t>
      </w:r>
      <w:r w:rsidRPr="00D8636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>promessa de pagamento</w:t>
      </w:r>
      <w:r w:rsidRPr="00D86362">
        <w:rPr>
          <w:rFonts w:cs="Arial"/>
          <w:color w:val="000000"/>
          <w:sz w:val="24"/>
          <w:szCs w:val="24"/>
          <w:shd w:val="clear" w:color="auto" w:fill="FFFFFF"/>
        </w:rPr>
        <w:t xml:space="preserve"> envolve apenas duas situações jurídicas: promitente, que deve, e beneficiário, o credor que r</w:t>
      </w:r>
      <w:r>
        <w:rPr>
          <w:rFonts w:cs="Arial"/>
          <w:color w:val="000000"/>
          <w:sz w:val="24"/>
          <w:szCs w:val="24"/>
          <w:shd w:val="clear" w:color="auto" w:fill="FFFFFF"/>
        </w:rPr>
        <w:t>eceberá a dívida do promitente.</w:t>
      </w:r>
    </w:p>
    <w:p w:rsidR="00D86362" w:rsidRDefault="00D86362" w:rsidP="00D86362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D86362">
        <w:rPr>
          <w:rFonts w:cs="Arial"/>
          <w:color w:val="000000"/>
          <w:sz w:val="24"/>
          <w:szCs w:val="24"/>
          <w:shd w:val="clear" w:color="auto" w:fill="FFFFFF"/>
        </w:rPr>
        <w:t>Quanto à natureza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os títulos de crédito</w:t>
      </w:r>
      <w:r w:rsidRPr="00D86362">
        <w:rPr>
          <w:rFonts w:cs="Arial"/>
          <w:color w:val="000000"/>
          <w:sz w:val="24"/>
          <w:szCs w:val="24"/>
          <w:shd w:val="clear" w:color="auto" w:fill="FFFFFF"/>
        </w:rPr>
        <w:t xml:space="preserve"> podem se</w:t>
      </w:r>
      <w:r>
        <w:rPr>
          <w:rFonts w:cs="Arial"/>
          <w:color w:val="000000"/>
          <w:sz w:val="24"/>
          <w:szCs w:val="24"/>
          <w:shd w:val="clear" w:color="auto" w:fill="FFFFFF"/>
        </w:rPr>
        <w:t>r causais ou abstratos. Títulos causais</w:t>
      </w:r>
      <w:r w:rsidRPr="00D86362">
        <w:rPr>
          <w:rFonts w:cs="Arial"/>
          <w:color w:val="000000"/>
          <w:sz w:val="24"/>
          <w:szCs w:val="24"/>
          <w:shd w:val="clear" w:color="auto" w:fill="FFFFFF"/>
        </w:rPr>
        <w:t xml:space="preserve"> são aqueles que guardam vínculo com a causa que lhes deu origem, constando expressamente no título a obrigação pelo qual o título foi assumido, sendo assim, só poderão ser emitidos se ocorrer o fato que a lei elegeu como uma possível causa para o mes</w:t>
      </w:r>
      <w:r>
        <w:rPr>
          <w:rFonts w:cs="Arial"/>
          <w:color w:val="000000"/>
          <w:sz w:val="24"/>
          <w:szCs w:val="24"/>
          <w:shd w:val="clear" w:color="auto" w:fill="FFFFFF"/>
        </w:rPr>
        <w:t>mo, podendo circular por endosso. Já os títulos abstratos</w:t>
      </w:r>
      <w:r w:rsidRPr="00D86362">
        <w:rPr>
          <w:rFonts w:cs="Arial"/>
          <w:color w:val="000000"/>
          <w:sz w:val="24"/>
          <w:szCs w:val="24"/>
          <w:shd w:val="clear" w:color="auto" w:fill="FFFFFF"/>
        </w:rPr>
        <w:t xml:space="preserve"> são aqueles que não mencionam a relação que lhes deu origem, podendo s</w:t>
      </w:r>
      <w:r>
        <w:rPr>
          <w:rFonts w:cs="Arial"/>
          <w:color w:val="000000"/>
          <w:sz w:val="24"/>
          <w:szCs w:val="24"/>
          <w:shd w:val="clear" w:color="auto" w:fill="FFFFFF"/>
        </w:rPr>
        <w:t>er criados por qualquer motivo.</w:t>
      </w:r>
    </w:p>
    <w:p w:rsidR="000B604B" w:rsidRDefault="000B604B" w:rsidP="000B604B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 crédito rural pode ser concedido por meio dos títulos de crédito rural, estes regulados pelo Decreto-Lei nº 167 de 1967.</w:t>
      </w:r>
    </w:p>
    <w:p w:rsidR="000B604B" w:rsidRDefault="000B604B" w:rsidP="000B604B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 Decreto-Lei nº 167/67 traz em seu artigo 9º as modalidades possíveis para a cédula de crédito rural, quais sejam: Cédula Rural Hipotecária, Cédula Rural Pignoratícia, Cédula Rural Pignoratícia e Hipo</w:t>
      </w:r>
      <w:r w:rsidR="00D86362">
        <w:rPr>
          <w:rFonts w:cs="Arial"/>
          <w:color w:val="000000"/>
          <w:sz w:val="24"/>
          <w:szCs w:val="24"/>
          <w:shd w:val="clear" w:color="auto" w:fill="FFFFFF"/>
        </w:rPr>
        <w:t>tecária e Nota de Crédito Rural. Logo podemos classificar os</w:t>
      </w:r>
      <w:r w:rsidR="000C68E3">
        <w:rPr>
          <w:rFonts w:cs="Arial"/>
          <w:color w:val="000000"/>
          <w:sz w:val="24"/>
          <w:szCs w:val="24"/>
          <w:shd w:val="clear" w:color="auto" w:fill="FFFFFF"/>
        </w:rPr>
        <w:t xml:space="preserve"> títulos de crédito rurais como: Vinculados, de Promessa de Pagamento e Causais.</w:t>
      </w:r>
    </w:p>
    <w:p w:rsidR="00082BDD" w:rsidRPr="00BD7877" w:rsidRDefault="00082BDD" w:rsidP="00BD7877">
      <w:pPr>
        <w:tabs>
          <w:tab w:val="right" w:pos="8504"/>
        </w:tabs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Os títulos de crédito rural são considerados títulos executivos extrajudiciais, tendo a ação executiva como forma de cobrança do título rural, conforme aduz o artigo 41 do Decreto-Lei nº 167/67, processando tal cobrança de acordo com o rito determinado</w:t>
      </w:r>
      <w:r w:rsidR="00BD7877">
        <w:rPr>
          <w:rFonts w:cs="Arial"/>
          <w:color w:val="000000"/>
          <w:sz w:val="24"/>
          <w:szCs w:val="24"/>
          <w:shd w:val="clear" w:color="auto" w:fill="FFFFFF"/>
        </w:rPr>
        <w:t xml:space="preserve"> pelo Código de Processo Civil.</w:t>
      </w:r>
    </w:p>
    <w:p w:rsidR="00BD7877" w:rsidRDefault="00BD7877" w:rsidP="00BD787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A Cédula Rural Pignoratícia está regulada, com seus requisitos essenciais nos artigos 14 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à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19 do Decreto-Lei nº 167/67, sendo característica desta a garantia por meio de penhor.</w:t>
      </w:r>
    </w:p>
    <w:p w:rsidR="00BD7877" w:rsidRPr="00BD7877" w:rsidRDefault="00BD7877" w:rsidP="00BD787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Os bens penhorados continuam na posse imediata do emitente da cédula, respondendo este como fiel depositário na guarda e conservação do bem dado em penhor.</w:t>
      </w:r>
    </w:p>
    <w:p w:rsidR="000F61F8" w:rsidRDefault="00BD7877" w:rsidP="00BD787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A Cédula Rural Hipotecária está regulada, com seus requisitos essenciais nos artigos 20 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à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24 do Decreto-Lei nº 167/67, esta, por sua vez, apresenta a Hipoteca como meio de garantia do financiamento.</w:t>
      </w:r>
    </w:p>
    <w:p w:rsidR="00BD7877" w:rsidRDefault="00BD7877" w:rsidP="00BD787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Podem ser hipotecados como garantia da dívida imóveis tanto rurais quanto urbanos, e </w:t>
      </w:r>
      <w:r w:rsidR="00416FF6">
        <w:rPr>
          <w:rFonts w:cs="Arial"/>
          <w:color w:val="000000"/>
          <w:sz w:val="24"/>
          <w:szCs w:val="24"/>
          <w:shd w:val="clear" w:color="auto" w:fill="FFFFFF"/>
        </w:rPr>
        <w:t xml:space="preserve">incorporam </w:t>
      </w:r>
      <w:proofErr w:type="gramStart"/>
      <w:r w:rsidR="00416FF6">
        <w:rPr>
          <w:rFonts w:cs="Arial"/>
          <w:color w:val="000000"/>
          <w:sz w:val="24"/>
          <w:szCs w:val="24"/>
          <w:shd w:val="clear" w:color="auto" w:fill="FFFFFF"/>
        </w:rPr>
        <w:t>a hipoteca as benfeitorias</w:t>
      </w:r>
      <w:proofErr w:type="gramEnd"/>
      <w:r w:rsidR="00416FF6">
        <w:rPr>
          <w:rFonts w:cs="Arial"/>
          <w:color w:val="000000"/>
          <w:sz w:val="24"/>
          <w:szCs w:val="24"/>
          <w:shd w:val="clear" w:color="auto" w:fill="FFFFFF"/>
        </w:rPr>
        <w:t xml:space="preserve"> realizadas no imóvel por meio do financiamento.</w:t>
      </w:r>
    </w:p>
    <w:p w:rsidR="00416FF6" w:rsidRDefault="00416FF6" w:rsidP="00416FF6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A Cédula Rural Pignoratícia e Hipotecária está regulada, com seus requisitos essenciais nos artigos 25 e 26 do Decreto-Lei nº 167/67, apresentando tanto penhor quanto hipoteca como meio de garantia do financiamento concedido.</w:t>
      </w:r>
    </w:p>
    <w:p w:rsidR="00416FF6" w:rsidRDefault="002C0AB8" w:rsidP="00BD787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Por sua vez, a Nota de Crédito Rural, regulada pelos artigos 27 e 28 do Decreto-Lei nº 167/67, não necessita de garantia real para ser realizada.</w:t>
      </w:r>
    </w:p>
    <w:p w:rsidR="002C0AB8" w:rsidRDefault="002C0AB8" w:rsidP="00BD787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2C0AB8" w:rsidRDefault="002C0AB8" w:rsidP="002C0AB8">
      <w:pPr>
        <w:pStyle w:val="PargrafodaLista"/>
        <w:tabs>
          <w:tab w:val="right" w:pos="8504"/>
        </w:tabs>
        <w:spacing w:after="0" w:line="360" w:lineRule="auto"/>
        <w:ind w:left="0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585299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585299">
        <w:rPr>
          <w:rFonts w:cs="Arial"/>
          <w:b/>
          <w:color w:val="000000"/>
          <w:sz w:val="24"/>
          <w:szCs w:val="24"/>
          <w:shd w:val="clear" w:color="auto" w:fill="FFFFFF"/>
        </w:rPr>
        <w:t>Recursos do Crédito Rural</w:t>
      </w:r>
    </w:p>
    <w:p w:rsidR="00585299" w:rsidRDefault="00585299" w:rsidP="00585299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585299" w:rsidRDefault="00585299" w:rsidP="00585299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585299">
        <w:rPr>
          <w:rFonts w:cs="Arial"/>
          <w:color w:val="000000"/>
          <w:sz w:val="24"/>
          <w:szCs w:val="24"/>
          <w:shd w:val="clear" w:color="auto" w:fill="FFFFFF"/>
        </w:rPr>
        <w:t xml:space="preserve">Os recursos do crédito rural </w:t>
      </w:r>
      <w:r>
        <w:rPr>
          <w:rFonts w:cs="Arial"/>
          <w:color w:val="000000"/>
          <w:sz w:val="24"/>
          <w:szCs w:val="24"/>
          <w:shd w:val="clear" w:color="auto" w:fill="FFFFFF"/>
        </w:rPr>
        <w:t>podem ser classificados</w:t>
      </w:r>
      <w:r w:rsidRPr="00585299">
        <w:rPr>
          <w:rFonts w:cs="Arial"/>
          <w:color w:val="000000"/>
          <w:sz w:val="24"/>
          <w:szCs w:val="24"/>
          <w:shd w:val="clear" w:color="auto" w:fill="FFFFFF"/>
        </w:rPr>
        <w:t xml:space="preserve"> em controlados, que são os recursos obrigatórios decorrentes da exigibilidade de depósitos à vista, os oriundos do Tesouro Nacional e os subvencionados pela União sob a forma de equalização de encargos (diferença de encargos financeiros entre os custos de captação da instituição financeira e os praticados nas operações de financiamento rural, pagos pelo Tesouro Nacional); oriundos de fundos e programas, como </w:t>
      </w:r>
      <w:proofErr w:type="gramStart"/>
      <w:r w:rsidRPr="00585299">
        <w:rPr>
          <w:rFonts w:cs="Arial"/>
          <w:color w:val="000000"/>
          <w:sz w:val="24"/>
          <w:szCs w:val="24"/>
          <w:shd w:val="clear" w:color="auto" w:fill="FFFFFF"/>
        </w:rPr>
        <w:t>por exemplo</w:t>
      </w:r>
      <w:proofErr w:type="gramEnd"/>
      <w:r w:rsidRPr="00585299">
        <w:rPr>
          <w:rFonts w:cs="Arial"/>
          <w:color w:val="000000"/>
          <w:sz w:val="24"/>
          <w:szCs w:val="24"/>
          <w:shd w:val="clear" w:color="auto" w:fill="FFFFFF"/>
        </w:rPr>
        <w:t xml:space="preserve"> os do Banco Nacional de Desenvolvimento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Econômico e Social (BNDES) e do Fundo Constitucional</w:t>
      </w:r>
      <w:r w:rsidRPr="00585299">
        <w:rPr>
          <w:rFonts w:cs="Arial"/>
          <w:color w:val="000000"/>
          <w:sz w:val="24"/>
          <w:szCs w:val="24"/>
          <w:shd w:val="clear" w:color="auto" w:fill="FFFFFF"/>
        </w:rPr>
        <w:t xml:space="preserve"> do Nordeste (FNE); e não-controlados, que são todos os demais.</w:t>
      </w:r>
    </w:p>
    <w:p w:rsidR="00DA095C" w:rsidRDefault="00DA095C" w:rsidP="00DA095C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 xml:space="preserve">Os recursos controlados devem respeitar certos limites, que variam de acordo com o produto e a região do país. Os recursos oriundos de fundos tem limite previsto em cada um destes. Por sua vez os recursos 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não-controlados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não possuem limite.</w:t>
      </w:r>
    </w:p>
    <w:p w:rsidR="007B31D7" w:rsidRDefault="007B31D7" w:rsidP="007B31D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7B31D7">
        <w:rPr>
          <w:rFonts w:cs="Arial"/>
          <w:color w:val="000000"/>
          <w:sz w:val="24"/>
          <w:szCs w:val="24"/>
          <w:shd w:val="clear" w:color="auto" w:fill="FFFFFF"/>
        </w:rPr>
        <w:t>A instituição financeira deve fiscalizar 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aplicação da quantia liberada, </w:t>
      </w:r>
      <w:r w:rsidRPr="007B31D7">
        <w:rPr>
          <w:rFonts w:cs="Arial"/>
          <w:color w:val="000000"/>
          <w:sz w:val="24"/>
          <w:szCs w:val="24"/>
          <w:shd w:val="clear" w:color="auto" w:fill="FFFFFF"/>
        </w:rPr>
        <w:t>podendo realizar fiscalização por amostragem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em créditos de até determinado </w:t>
      </w:r>
      <w:r w:rsidRPr="007B31D7">
        <w:rPr>
          <w:rFonts w:cs="Arial"/>
          <w:color w:val="000000"/>
          <w:sz w:val="24"/>
          <w:szCs w:val="24"/>
          <w:shd w:val="clear" w:color="auto" w:fill="FFFFFF"/>
        </w:rPr>
        <w:t xml:space="preserve">valor. A fiscalização, com relação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ao crédito de custeio agrícola, </w:t>
      </w:r>
      <w:r w:rsidRPr="007B31D7">
        <w:rPr>
          <w:rFonts w:cs="Arial"/>
          <w:color w:val="000000"/>
          <w:sz w:val="24"/>
          <w:szCs w:val="24"/>
          <w:shd w:val="clear" w:color="auto" w:fill="FFFFFF"/>
        </w:rPr>
        <w:t>deve ser feita pelo menos uma vez no c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urso da operação antes da época </w:t>
      </w:r>
      <w:r w:rsidRPr="007B31D7">
        <w:rPr>
          <w:rFonts w:cs="Arial"/>
          <w:color w:val="000000"/>
          <w:sz w:val="24"/>
          <w:szCs w:val="24"/>
          <w:shd w:val="clear" w:color="auto" w:fill="FFFFFF"/>
        </w:rPr>
        <w:t>prevista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7B31D7">
        <w:rPr>
          <w:rFonts w:cs="Arial"/>
          <w:color w:val="000000"/>
          <w:sz w:val="24"/>
          <w:szCs w:val="24"/>
          <w:shd w:val="clear" w:color="auto" w:fill="FFFFFF"/>
        </w:rPr>
        <w:t>para liberação da última parcela ou até sessenta dias após a utilização do crédito, no caso de liberação de par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cela única; quando se tratar de </w:t>
      </w:r>
      <w:r w:rsidRPr="007B31D7">
        <w:rPr>
          <w:rFonts w:cs="Arial"/>
          <w:color w:val="000000"/>
          <w:sz w:val="24"/>
          <w:szCs w:val="24"/>
          <w:shd w:val="clear" w:color="auto" w:fill="FFFFFF"/>
        </w:rPr>
        <w:t>Empréstimo do Governo Federal (EGF), segundo previsto no Manual de Operações de Preços Mínimos; e nos dema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is financiamentos, até sessenta </w:t>
      </w:r>
      <w:r w:rsidRPr="007B31D7">
        <w:rPr>
          <w:rFonts w:cs="Arial"/>
          <w:color w:val="000000"/>
          <w:sz w:val="24"/>
          <w:szCs w:val="24"/>
          <w:shd w:val="clear" w:color="auto" w:fill="FFFFFF"/>
        </w:rPr>
        <w:t>dias após cada utilização, para comprovar a realização das obras, serviços ou aquisições, cabendo ao fiscal verificar a correta aplicação dos recursos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7B31D7">
        <w:rPr>
          <w:rFonts w:cs="Arial"/>
          <w:color w:val="000000"/>
          <w:sz w:val="24"/>
          <w:szCs w:val="24"/>
          <w:shd w:val="clear" w:color="auto" w:fill="FFFFFF"/>
        </w:rPr>
        <w:t>orçamentários, o desenvolvimento das atividades financiadas e a sit</w:t>
      </w:r>
      <w:r>
        <w:rPr>
          <w:rFonts w:cs="Arial"/>
          <w:color w:val="000000"/>
          <w:sz w:val="24"/>
          <w:szCs w:val="24"/>
          <w:shd w:val="clear" w:color="auto" w:fill="FFFFFF"/>
        </w:rPr>
        <w:t>uação das garantias, se houver.</w:t>
      </w:r>
    </w:p>
    <w:p w:rsidR="007B31D7" w:rsidRDefault="007B31D7" w:rsidP="007B31D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7B31D7" w:rsidRDefault="007B31D7" w:rsidP="007B31D7">
      <w:pPr>
        <w:pStyle w:val="PargrafodaLista"/>
        <w:tabs>
          <w:tab w:val="right" w:pos="8504"/>
        </w:tabs>
        <w:spacing w:after="0" w:line="360" w:lineRule="auto"/>
        <w:ind w:left="0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7B31D7">
        <w:rPr>
          <w:rFonts w:cs="Arial"/>
          <w:b/>
          <w:color w:val="000000"/>
          <w:sz w:val="24"/>
          <w:szCs w:val="24"/>
          <w:shd w:val="clear" w:color="auto" w:fill="FFFFFF"/>
        </w:rPr>
        <w:t>3. O Fundo Constitucional de Financiamento do Nordeste</w:t>
      </w:r>
    </w:p>
    <w:p w:rsidR="007B31D7" w:rsidRDefault="007B31D7" w:rsidP="007B31D7">
      <w:pPr>
        <w:pStyle w:val="PargrafodaLista"/>
        <w:tabs>
          <w:tab w:val="right" w:pos="8504"/>
        </w:tabs>
        <w:spacing w:after="0" w:line="360" w:lineRule="auto"/>
        <w:ind w:left="0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7B31D7" w:rsidRDefault="00F51517" w:rsidP="007B31D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 Fundo Constitucional de Financiamento do Nordeste (FNE) foi criado pela Constituição Federal em seu artigo 159, inciso I, alínea “c”, após, a Lei nº 7.827 de 1989 regulamentou esse fundo.</w:t>
      </w:r>
    </w:p>
    <w:p w:rsidR="00F51517" w:rsidRDefault="00F51517" w:rsidP="007B31D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O FNE </w:t>
      </w:r>
      <w:r w:rsidRPr="00F51517">
        <w:rPr>
          <w:rFonts w:cs="Arial"/>
          <w:color w:val="000000"/>
          <w:sz w:val="24"/>
          <w:szCs w:val="24"/>
          <w:shd w:val="clear" w:color="auto" w:fill="FFFFFF"/>
        </w:rPr>
        <w:t>pode ser considerado como um dos principais instrumentos de financiamento da Política Nacional de Desenvolvimento Regional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, visando </w:t>
      </w:r>
      <w:r w:rsidRPr="00F51517">
        <w:rPr>
          <w:rFonts w:cs="Arial"/>
          <w:color w:val="000000"/>
          <w:sz w:val="24"/>
          <w:szCs w:val="24"/>
          <w:shd w:val="clear" w:color="auto" w:fill="FFFFFF"/>
        </w:rPr>
        <w:t>contribuir para o desenvolvimento econômico e social do Nordeste, através de instituição financeira federal de caráter regional, mediante a execução de programas de financiamento aos setores produtivos, em consonância com os respectivos planos regionais de desenvolvimento.</w:t>
      </w:r>
    </w:p>
    <w:p w:rsidR="00F51517" w:rsidRDefault="00714873" w:rsidP="007B31D7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 Banco do Nordeste do Brasil (BNB) é a instituição financeira que atua na gerência dos recursos do FNE, operando em todos os estados do nordeste, mais o norte dos estados de Minas Gerais e Espírito Santo.</w:t>
      </w:r>
    </w:p>
    <w:p w:rsidR="0042557E" w:rsidRDefault="0042557E" w:rsidP="0042557E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42557E">
        <w:rPr>
          <w:rFonts w:cs="Arial"/>
          <w:color w:val="000000"/>
          <w:sz w:val="24"/>
          <w:szCs w:val="24"/>
          <w:shd w:val="clear" w:color="auto" w:fill="FFFFFF"/>
        </w:rPr>
        <w:t>Um diferencial marcante dentre as prioridades es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tabelecidas é o direcionamento </w:t>
      </w:r>
      <w:r w:rsidRPr="0042557E">
        <w:rPr>
          <w:rFonts w:cs="Arial"/>
          <w:color w:val="000000"/>
          <w:sz w:val="24"/>
          <w:szCs w:val="24"/>
          <w:shd w:val="clear" w:color="auto" w:fill="FFFFFF"/>
        </w:rPr>
        <w:t xml:space="preserve">estabelecido na Constituição Federal para o FNE, assegurando a </w:t>
      </w:r>
      <w:r w:rsidRPr="0042557E">
        <w:rPr>
          <w:rFonts w:cs="Arial"/>
          <w:color w:val="000000"/>
          <w:sz w:val="24"/>
          <w:szCs w:val="24"/>
          <w:shd w:val="clear" w:color="auto" w:fill="FFFFFF"/>
        </w:rPr>
        <w:lastRenderedPageBreak/>
        <w:t>destinação de 50% dos recursos anuais ao Semiárido</w:t>
      </w:r>
      <w:r>
        <w:rPr>
          <w:rFonts w:cs="Arial"/>
          <w:color w:val="000000"/>
          <w:sz w:val="24"/>
          <w:szCs w:val="24"/>
          <w:shd w:val="clear" w:color="auto" w:fill="FFFFFF"/>
        </w:rPr>
        <w:t>, observado no mesmo artigo 159, inciso I, alínea “c”, da Carta Constitucional Brasileira.</w:t>
      </w:r>
    </w:p>
    <w:p w:rsidR="0042557E" w:rsidRDefault="0042557E" w:rsidP="000C68E3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O FNE busca priorizar também </w:t>
      </w:r>
      <w:r w:rsidR="00430751">
        <w:rPr>
          <w:rFonts w:cs="Arial"/>
          <w:color w:val="000000"/>
          <w:sz w:val="24"/>
          <w:szCs w:val="24"/>
          <w:shd w:val="clear" w:color="auto" w:fill="FFFFFF"/>
        </w:rPr>
        <w:t>os usuários de porte pequeno, por meio dos investimentos na agricultura familiar, nos municípios de baixa renda, nos setores anualmente priorizados, compatibilizando com as orientações da política macroeconômica Federal, reforçando a importância desse instrumento de financiamento no desenvolvimento econômico da região Nordeste.</w:t>
      </w:r>
    </w:p>
    <w:p w:rsidR="000C68E3" w:rsidRDefault="000C68E3" w:rsidP="000C68E3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 BNB por meio dos recursos do FNE busca p</w:t>
      </w:r>
      <w:r w:rsidRPr="000C68E3">
        <w:rPr>
          <w:rFonts w:cs="Arial"/>
          <w:color w:val="000000"/>
          <w:sz w:val="24"/>
          <w:szCs w:val="24"/>
          <w:shd w:val="clear" w:color="auto" w:fill="FFFFFF"/>
        </w:rPr>
        <w:t>romover o desenvolvimento da agropecuária com a observância da legislação ambiental e o consequente incremento da oferta de matérias-pri</w:t>
      </w:r>
      <w:r>
        <w:rPr>
          <w:rFonts w:cs="Arial"/>
          <w:color w:val="000000"/>
          <w:sz w:val="24"/>
          <w:szCs w:val="24"/>
          <w:shd w:val="clear" w:color="auto" w:fill="FFFFFF"/>
        </w:rPr>
        <w:t>mas agroindustriais através do f</w:t>
      </w:r>
      <w:r w:rsidRPr="000C68E3">
        <w:rPr>
          <w:rFonts w:cs="Arial"/>
          <w:color w:val="000000"/>
          <w:sz w:val="24"/>
          <w:szCs w:val="24"/>
          <w:shd w:val="clear" w:color="auto" w:fill="FFFFFF"/>
        </w:rPr>
        <w:t>ortalecimento, ampliação, modernização da infraestrutura produtiva dos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estabelecimentos agropecuários, diversificação das atividades e m</w:t>
      </w:r>
      <w:r w:rsidRPr="000C68E3">
        <w:rPr>
          <w:rFonts w:cs="Arial"/>
          <w:color w:val="000000"/>
          <w:sz w:val="24"/>
          <w:szCs w:val="24"/>
          <w:shd w:val="clear" w:color="auto" w:fill="FFFFFF"/>
        </w:rPr>
        <w:t>elhoramento genético dos rebanhos e culturas agrícolas em áreas selecionadas.</w:t>
      </w:r>
    </w:p>
    <w:p w:rsidR="000C68E3" w:rsidRDefault="000C68E3" w:rsidP="000C68E3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Os recursos do FNE são destinados pelo BNB ao financiamento da</w:t>
      </w:r>
      <w:r w:rsidRPr="000C68E3">
        <w:rPr>
          <w:rFonts w:cs="Arial"/>
          <w:color w:val="000000"/>
          <w:sz w:val="24"/>
          <w:szCs w:val="24"/>
          <w:shd w:val="clear" w:color="auto" w:fill="FFFFFF"/>
        </w:rPr>
        <w:t xml:space="preserve"> implantação, expansão, diversificação e modernização de empreendimentos agropecuários, à exceção daqueles que envolvam irrigação e drenagem, contemplando as atividades de agricultura de sequeiro, bovinocultura, </w:t>
      </w:r>
      <w:proofErr w:type="spellStart"/>
      <w:r w:rsidRPr="000C68E3">
        <w:rPr>
          <w:rFonts w:cs="Arial"/>
          <w:color w:val="000000"/>
          <w:sz w:val="24"/>
          <w:szCs w:val="24"/>
          <w:shd w:val="clear" w:color="auto" w:fill="FFFFFF"/>
        </w:rPr>
        <w:t>bubalinocultura</w:t>
      </w:r>
      <w:proofErr w:type="spellEnd"/>
      <w:r w:rsidRPr="000C68E3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C68E3">
        <w:rPr>
          <w:rFonts w:cs="Arial"/>
          <w:color w:val="000000"/>
          <w:sz w:val="24"/>
          <w:szCs w:val="24"/>
          <w:shd w:val="clear" w:color="auto" w:fill="FFFFFF"/>
        </w:rPr>
        <w:t>ovinocaprinocultura</w:t>
      </w:r>
      <w:proofErr w:type="spellEnd"/>
      <w:r w:rsidRPr="000C68E3">
        <w:rPr>
          <w:rFonts w:cs="Arial"/>
          <w:color w:val="000000"/>
          <w:sz w:val="24"/>
          <w:szCs w:val="24"/>
          <w:shd w:val="clear" w:color="auto" w:fill="FFFFFF"/>
        </w:rPr>
        <w:t xml:space="preserve">, avicultura, suinocultura, apicultura, sericicultura, </w:t>
      </w:r>
      <w:proofErr w:type="spellStart"/>
      <w:r w:rsidRPr="000C68E3">
        <w:rPr>
          <w:rFonts w:cs="Arial"/>
          <w:color w:val="000000"/>
          <w:sz w:val="24"/>
          <w:szCs w:val="24"/>
          <w:shd w:val="clear" w:color="auto" w:fill="FFFFFF"/>
        </w:rPr>
        <w:t>estrutiocultura</w:t>
      </w:r>
      <w:proofErr w:type="spellEnd"/>
      <w:r w:rsidRPr="000C68E3">
        <w:rPr>
          <w:rFonts w:cs="Arial"/>
          <w:color w:val="000000"/>
          <w:sz w:val="24"/>
          <w:szCs w:val="24"/>
          <w:shd w:val="clear" w:color="auto" w:fill="FFFFFF"/>
        </w:rPr>
        <w:t xml:space="preserve"> e produção de sementes e mudas, mediante o financiamento de todos os investimentos fixos e semifixos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E05E10" w:rsidRDefault="00E05E10" w:rsidP="000C68E3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Os investimentos fixos são da natureza de</w:t>
      </w:r>
      <w:r w:rsidRPr="00E05E10">
        <w:rPr>
          <w:rFonts w:cs="Arial"/>
          <w:color w:val="000000"/>
          <w:sz w:val="24"/>
          <w:szCs w:val="24"/>
          <w:shd w:val="clear" w:color="auto" w:fill="FFFFFF"/>
        </w:rPr>
        <w:t xml:space="preserve"> construção, reforma e ampliação de quaisquer benfeitorias e instalações permanentes; desmatamento e destocamento, observada a legislação em vigor; correção do solo, mediante calagem e adubação intensiv</w:t>
      </w:r>
      <w:r>
        <w:rPr>
          <w:rFonts w:cs="Arial"/>
          <w:color w:val="000000"/>
          <w:sz w:val="24"/>
          <w:szCs w:val="24"/>
          <w:shd w:val="clear" w:color="auto" w:fill="FFFFFF"/>
        </w:rPr>
        <w:t>a entre outros.</w:t>
      </w:r>
    </w:p>
    <w:p w:rsidR="00E05E10" w:rsidRDefault="00E05E10" w:rsidP="000C68E3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Por sua vez os investimentos semifixos são do tipo de </w:t>
      </w:r>
      <w:r w:rsidRPr="00E05E10">
        <w:rPr>
          <w:rFonts w:cs="Arial"/>
          <w:color w:val="000000"/>
          <w:sz w:val="24"/>
          <w:szCs w:val="24"/>
          <w:shd w:val="clear" w:color="auto" w:fill="FFFFFF"/>
        </w:rPr>
        <w:t xml:space="preserve">instalações, máquinas, implementos, equipamentos, inclusive para beneficiamento ou industrialização exclusivamente da produção própria, tratores, colheitadeiras, veículos e embarcações; </w:t>
      </w:r>
      <w:r w:rsidR="004935F4"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Pr="00E05E10">
        <w:rPr>
          <w:rFonts w:cs="Arial"/>
          <w:color w:val="000000"/>
          <w:sz w:val="24"/>
          <w:szCs w:val="24"/>
          <w:shd w:val="clear" w:color="auto" w:fill="FFFFFF"/>
        </w:rPr>
        <w:t>quisição de reprodutores puros e matrizes puras ou mestiças de bovinos, bubalinos, caprinos, ovinos e suínos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0F61F8" w:rsidRDefault="00E05E10" w:rsidP="00E05E10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>Os prazos praticados pelo BNB com os recursos oriundos do FNE são f</w:t>
      </w:r>
      <w:r w:rsidRPr="00E05E10">
        <w:rPr>
          <w:rFonts w:cs="Arial"/>
          <w:color w:val="000000"/>
          <w:sz w:val="24"/>
          <w:szCs w:val="24"/>
          <w:shd w:val="clear" w:color="auto" w:fill="FFFFFF"/>
        </w:rPr>
        <w:t>ixados em função do cronograma físico-financeiro do projeto e da capacidade de pagamento do beneficiário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, tendo como prazos máximos: </w:t>
      </w:r>
      <w:r w:rsidR="004935F4">
        <w:rPr>
          <w:rFonts w:cs="Arial"/>
          <w:color w:val="000000"/>
          <w:sz w:val="24"/>
          <w:szCs w:val="24"/>
          <w:shd w:val="clear" w:color="auto" w:fill="FFFFFF"/>
        </w:rPr>
        <w:t>12 (doze)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anos para investimentos fixos</w:t>
      </w:r>
      <w:r w:rsidR="004935F4">
        <w:rPr>
          <w:rFonts w:cs="Arial"/>
          <w:color w:val="000000"/>
          <w:sz w:val="24"/>
          <w:szCs w:val="24"/>
          <w:shd w:val="clear" w:color="auto" w:fill="FFFFFF"/>
        </w:rPr>
        <w:t xml:space="preserve">; </w:t>
      </w:r>
      <w:proofErr w:type="gramStart"/>
      <w:r w:rsidR="004935F4">
        <w:rPr>
          <w:rFonts w:cs="Arial"/>
          <w:color w:val="000000"/>
          <w:sz w:val="24"/>
          <w:szCs w:val="24"/>
          <w:shd w:val="clear" w:color="auto" w:fill="FFFFFF"/>
        </w:rPr>
        <w:t>8</w:t>
      </w:r>
      <w:proofErr w:type="gramEnd"/>
      <w:r w:rsidR="004935F4">
        <w:rPr>
          <w:rFonts w:cs="Arial"/>
          <w:color w:val="000000"/>
          <w:sz w:val="24"/>
          <w:szCs w:val="24"/>
          <w:shd w:val="clear" w:color="auto" w:fill="FFFFFF"/>
        </w:rPr>
        <w:t xml:space="preserve"> (oito) anos para investimentos semifixos; 30 (trinta) meses para a</w:t>
      </w:r>
      <w:r w:rsidR="004935F4" w:rsidRPr="004935F4">
        <w:rPr>
          <w:rFonts w:cs="Arial"/>
          <w:color w:val="000000"/>
          <w:sz w:val="24"/>
          <w:szCs w:val="24"/>
          <w:shd w:val="clear" w:color="auto" w:fill="FFFFFF"/>
        </w:rPr>
        <w:t>quisição isolada de bovinos para recria e engorda a pasto</w:t>
      </w:r>
      <w:r w:rsidR="004935F4">
        <w:rPr>
          <w:rFonts w:cs="Arial"/>
          <w:color w:val="000000"/>
          <w:sz w:val="24"/>
          <w:szCs w:val="24"/>
          <w:shd w:val="clear" w:color="auto" w:fill="FFFFFF"/>
        </w:rPr>
        <w:t>; 18 (dezoito) meses para a</w:t>
      </w:r>
      <w:r w:rsidR="004935F4" w:rsidRPr="004935F4">
        <w:rPr>
          <w:rFonts w:cs="Arial"/>
          <w:color w:val="000000"/>
          <w:sz w:val="24"/>
          <w:szCs w:val="24"/>
          <w:shd w:val="clear" w:color="auto" w:fill="FFFFFF"/>
        </w:rPr>
        <w:t>quisição isolada de bovinos para engorda “ a pasto”</w:t>
      </w:r>
      <w:r w:rsidR="004935F4">
        <w:rPr>
          <w:rFonts w:cs="Arial"/>
          <w:color w:val="000000"/>
          <w:sz w:val="24"/>
          <w:szCs w:val="24"/>
          <w:shd w:val="clear" w:color="auto" w:fill="FFFFFF"/>
        </w:rPr>
        <w:t>; 180 (cento e oitenta) dias para</w:t>
      </w:r>
      <w:r w:rsidR="004935F4" w:rsidRPr="004935F4">
        <w:t xml:space="preserve"> </w:t>
      </w:r>
      <w:r w:rsidR="004935F4">
        <w:rPr>
          <w:rFonts w:cs="Arial"/>
          <w:color w:val="000000"/>
          <w:sz w:val="24"/>
          <w:szCs w:val="24"/>
          <w:shd w:val="clear" w:color="auto" w:fill="FFFFFF"/>
        </w:rPr>
        <w:t>a</w:t>
      </w:r>
      <w:r w:rsidR="004935F4" w:rsidRPr="004935F4">
        <w:rPr>
          <w:rFonts w:cs="Arial"/>
          <w:color w:val="000000"/>
          <w:sz w:val="24"/>
          <w:szCs w:val="24"/>
          <w:shd w:val="clear" w:color="auto" w:fill="FFFFFF"/>
        </w:rPr>
        <w:t>quisição isolada de bovinos para engorda “em confinamento”</w:t>
      </w:r>
      <w:r w:rsidR="004935F4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4935F4" w:rsidRDefault="00C56746" w:rsidP="00E05E10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É importante ressaltar que há limites na utilização dos recursos do FNE nos financiamentos concedidos pelo BNB, devendo esta instituição financeira arcar com uma parte do risco a depender do tipo de financiamento e do tomador do empréstimo, podendo variar entre o total financiamento pelo FNE e 70% pelo FNE e 30% de recursos próprios do banco.</w:t>
      </w:r>
    </w:p>
    <w:p w:rsidR="00C56746" w:rsidRDefault="00C56746" w:rsidP="00E05E10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C56746" w:rsidRDefault="00C56746" w:rsidP="00C56746">
      <w:pPr>
        <w:pStyle w:val="PargrafodaLista"/>
        <w:tabs>
          <w:tab w:val="right" w:pos="8504"/>
        </w:tabs>
        <w:spacing w:after="0" w:line="360" w:lineRule="auto"/>
        <w:ind w:left="0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Conclusão</w:t>
      </w:r>
    </w:p>
    <w:p w:rsidR="00C56746" w:rsidRDefault="00C56746" w:rsidP="00C56746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 Fundo Constitucional de Financiamento do Nordeste</w:t>
      </w:r>
      <w:r w:rsidR="006D478C">
        <w:rPr>
          <w:rFonts w:cs="Arial"/>
          <w:color w:val="000000"/>
          <w:sz w:val="24"/>
          <w:szCs w:val="24"/>
          <w:shd w:val="clear" w:color="auto" w:fill="FFFFFF"/>
        </w:rPr>
        <w:t xml:space="preserve"> (FNE)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representa a principal fonte de recursos para o financiamento e desenvolvimento da região Nordeste, sendo </w:t>
      </w:r>
      <w:r w:rsidR="006D478C">
        <w:rPr>
          <w:rFonts w:cs="Arial"/>
          <w:color w:val="000000"/>
          <w:sz w:val="24"/>
          <w:szCs w:val="24"/>
          <w:shd w:val="clear" w:color="auto" w:fill="FFFFFF"/>
        </w:rPr>
        <w:t>imprescindível no apoio aos pequenos produtores rurais da região do semiárido.</w:t>
      </w:r>
    </w:p>
    <w:p w:rsidR="006D478C" w:rsidRDefault="006D478C" w:rsidP="00C56746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 FNE tem suma importância no que se refere à distribuição do crédito rural, visto que é disposição constitucional a aplicação de 50% dos seus recursos na região do semiárido, que representa a maior parte da região Nordeste.</w:t>
      </w:r>
    </w:p>
    <w:p w:rsidR="00DB0093" w:rsidRDefault="006D478C" w:rsidP="00DB0093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O Banco do Nordeste de Brasil tem um papel</w:t>
      </w:r>
      <w:r w:rsidR="00DB0093">
        <w:rPr>
          <w:rFonts w:cs="Arial"/>
          <w:color w:val="000000"/>
          <w:sz w:val="24"/>
          <w:szCs w:val="24"/>
          <w:shd w:val="clear" w:color="auto" w:fill="FFFFFF"/>
        </w:rPr>
        <w:t xml:space="preserve"> essencial, posto que </w:t>
      </w:r>
      <w:proofErr w:type="gramStart"/>
      <w:r w:rsidR="00DB0093">
        <w:rPr>
          <w:rFonts w:cs="Arial"/>
          <w:color w:val="000000"/>
          <w:sz w:val="24"/>
          <w:szCs w:val="24"/>
          <w:shd w:val="clear" w:color="auto" w:fill="FFFFFF"/>
        </w:rPr>
        <w:t>é</w:t>
      </w:r>
      <w:proofErr w:type="gramEnd"/>
      <w:r w:rsidR="00DB0093">
        <w:rPr>
          <w:rFonts w:cs="Arial"/>
          <w:color w:val="000000"/>
          <w:sz w:val="24"/>
          <w:szCs w:val="24"/>
          <w:shd w:val="clear" w:color="auto" w:fill="FFFFFF"/>
        </w:rPr>
        <w:t xml:space="preserve"> a instituição financeira que gerencia os recursos do FNE, e faz a aplicação dos mesmos pelo nordeste, porém o faz com poucos riscos, deixando a maior parte do financiamento a custo do FNE. O banco utiliza-se de Títulos de Crédito rurais para a formalização desses financiamentos, explique-se isso na facilidade de se entrar com uma cobrança judicial, posto que os títulos de crédito </w:t>
      </w:r>
      <w:proofErr w:type="gramStart"/>
      <w:r w:rsidR="00DB0093">
        <w:rPr>
          <w:rFonts w:cs="Arial"/>
          <w:color w:val="000000"/>
          <w:sz w:val="24"/>
          <w:szCs w:val="24"/>
          <w:shd w:val="clear" w:color="auto" w:fill="FFFFFF"/>
        </w:rPr>
        <w:t>são</w:t>
      </w:r>
      <w:proofErr w:type="gramEnd"/>
      <w:r w:rsidR="00DB0093">
        <w:rPr>
          <w:rFonts w:cs="Arial"/>
          <w:color w:val="000000"/>
          <w:sz w:val="24"/>
          <w:szCs w:val="24"/>
          <w:shd w:val="clear" w:color="auto" w:fill="FFFFFF"/>
        </w:rPr>
        <w:t xml:space="preserve"> títulos executivos extrajudiciais, garantindo um processo mais célere e com menos riscos.</w:t>
      </w:r>
    </w:p>
    <w:p w:rsidR="00DB0093" w:rsidRPr="00DB0093" w:rsidRDefault="00DB0093" w:rsidP="00DB0093">
      <w:pPr>
        <w:pStyle w:val="PargrafodaLista"/>
        <w:tabs>
          <w:tab w:val="right" w:pos="8504"/>
        </w:tabs>
        <w:spacing w:after="0" w:line="360" w:lineRule="auto"/>
        <w:ind w:left="0" w:firstLine="70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>O FNE deve continuar na busca pelo desenvolvimento da região nordeste, porém os riscos poderiam ser melhores calculados, deixando uma maior responsabilidade com o BNB, que arca com pouquíssima parcela do financiamento.</w:t>
      </w:r>
    </w:p>
    <w:p w:rsidR="00853E90" w:rsidRPr="00B8482B" w:rsidRDefault="00853E90" w:rsidP="000F61F8">
      <w:pPr>
        <w:spacing w:after="0" w:line="360" w:lineRule="auto"/>
        <w:jc w:val="both"/>
        <w:rPr>
          <w:sz w:val="24"/>
          <w:szCs w:val="24"/>
        </w:rPr>
      </w:pPr>
    </w:p>
    <w:p w:rsidR="000F61F8" w:rsidRPr="00B8482B" w:rsidRDefault="000F61F8" w:rsidP="000F61F8">
      <w:pPr>
        <w:spacing w:after="0" w:line="360" w:lineRule="auto"/>
        <w:jc w:val="both"/>
        <w:rPr>
          <w:b/>
          <w:sz w:val="24"/>
          <w:szCs w:val="24"/>
        </w:rPr>
      </w:pPr>
      <w:r w:rsidRPr="00B8482B">
        <w:rPr>
          <w:b/>
          <w:sz w:val="24"/>
          <w:szCs w:val="24"/>
        </w:rPr>
        <w:t>Referências Bibliográficas</w:t>
      </w:r>
    </w:p>
    <w:p w:rsidR="000F61F8" w:rsidRPr="00B8482B" w:rsidRDefault="000F61F8" w:rsidP="000F61F8">
      <w:pPr>
        <w:spacing w:after="0" w:line="360" w:lineRule="auto"/>
        <w:jc w:val="both"/>
        <w:rPr>
          <w:sz w:val="24"/>
          <w:szCs w:val="24"/>
        </w:rPr>
      </w:pPr>
    </w:p>
    <w:p w:rsidR="000F61F8" w:rsidRPr="00B8482B" w:rsidRDefault="00414935" w:rsidP="0042557E">
      <w:pPr>
        <w:spacing w:after="120" w:line="240" w:lineRule="auto"/>
        <w:jc w:val="both"/>
        <w:rPr>
          <w:sz w:val="24"/>
          <w:szCs w:val="24"/>
        </w:rPr>
      </w:pPr>
      <w:r w:rsidRPr="00B8482B">
        <w:rPr>
          <w:sz w:val="24"/>
          <w:szCs w:val="24"/>
        </w:rPr>
        <w:t>MARTINS, Fran</w:t>
      </w:r>
      <w:r w:rsidRPr="00B8482B">
        <w:rPr>
          <w:b/>
          <w:sz w:val="24"/>
          <w:szCs w:val="24"/>
        </w:rPr>
        <w:t xml:space="preserve">. </w:t>
      </w:r>
      <w:r w:rsidR="00DA095C">
        <w:rPr>
          <w:b/>
          <w:sz w:val="24"/>
          <w:szCs w:val="24"/>
        </w:rPr>
        <w:t>Títulos de Crédito</w:t>
      </w:r>
      <w:r w:rsidRPr="00B8482B">
        <w:rPr>
          <w:sz w:val="24"/>
          <w:szCs w:val="24"/>
        </w:rPr>
        <w:t>. Rio de Janeiro: Forense.</w:t>
      </w:r>
    </w:p>
    <w:p w:rsidR="0042557E" w:rsidRDefault="00E06203" w:rsidP="0042557E">
      <w:pPr>
        <w:spacing w:after="120" w:line="240" w:lineRule="auto"/>
        <w:jc w:val="both"/>
        <w:rPr>
          <w:sz w:val="24"/>
          <w:szCs w:val="24"/>
        </w:rPr>
      </w:pPr>
      <w:hyperlink r:id="rId9" w:history="1">
        <w:r w:rsidR="0042557E" w:rsidRPr="005A5775">
          <w:rPr>
            <w:rStyle w:val="Hyperlink"/>
            <w:sz w:val="24"/>
            <w:szCs w:val="24"/>
          </w:rPr>
          <w:t>http://www.integracao.gov.br/</w:t>
        </w:r>
      </w:hyperlink>
    </w:p>
    <w:p w:rsidR="000F61F8" w:rsidRDefault="00E06203" w:rsidP="00E05E10">
      <w:pPr>
        <w:spacing w:after="120" w:line="240" w:lineRule="auto"/>
        <w:jc w:val="both"/>
        <w:rPr>
          <w:sz w:val="24"/>
          <w:szCs w:val="24"/>
        </w:rPr>
      </w:pPr>
      <w:hyperlink r:id="rId10" w:history="1">
        <w:r w:rsidR="00430751" w:rsidRPr="005A5775">
          <w:rPr>
            <w:rStyle w:val="Hyperlink"/>
            <w:sz w:val="24"/>
            <w:szCs w:val="24"/>
          </w:rPr>
          <w:t>http://www.sudene.gov.br/</w:t>
        </w:r>
      </w:hyperlink>
    </w:p>
    <w:p w:rsidR="00E05E10" w:rsidRDefault="00E06203" w:rsidP="00E05E10">
      <w:pPr>
        <w:spacing w:after="120" w:line="240" w:lineRule="auto"/>
        <w:jc w:val="both"/>
        <w:rPr>
          <w:sz w:val="24"/>
          <w:szCs w:val="24"/>
        </w:rPr>
      </w:pPr>
      <w:hyperlink r:id="rId11" w:history="1">
        <w:r w:rsidR="00E05E10" w:rsidRPr="005A5775">
          <w:rPr>
            <w:rStyle w:val="Hyperlink"/>
            <w:sz w:val="24"/>
            <w:szCs w:val="24"/>
          </w:rPr>
          <w:t>https://www.bnb.gov.br/</w:t>
        </w:r>
      </w:hyperlink>
    </w:p>
    <w:p w:rsidR="00E05E10" w:rsidRPr="00B8482B" w:rsidRDefault="00E05E10" w:rsidP="00E05E10">
      <w:pPr>
        <w:spacing w:after="120" w:line="240" w:lineRule="auto"/>
        <w:jc w:val="both"/>
        <w:rPr>
          <w:sz w:val="24"/>
          <w:szCs w:val="24"/>
        </w:rPr>
      </w:pPr>
    </w:p>
    <w:sectPr w:rsidR="00E05E10" w:rsidRPr="00B8482B" w:rsidSect="005D7B60">
      <w:headerReference w:type="default" r:id="rId12"/>
      <w:pgSz w:w="11906" w:h="16838"/>
      <w:pgMar w:top="1843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03" w:rsidRDefault="00E06203" w:rsidP="000F61F8">
      <w:pPr>
        <w:spacing w:after="0" w:line="240" w:lineRule="auto"/>
      </w:pPr>
      <w:r>
        <w:separator/>
      </w:r>
    </w:p>
  </w:endnote>
  <w:endnote w:type="continuationSeparator" w:id="0">
    <w:p w:rsidR="00E06203" w:rsidRDefault="00E06203" w:rsidP="000F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03" w:rsidRDefault="00E06203" w:rsidP="000F61F8">
      <w:pPr>
        <w:spacing w:after="0" w:line="240" w:lineRule="auto"/>
      </w:pPr>
      <w:r>
        <w:separator/>
      </w:r>
    </w:p>
  </w:footnote>
  <w:footnote w:type="continuationSeparator" w:id="0">
    <w:p w:rsidR="00E06203" w:rsidRDefault="00E06203" w:rsidP="000F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1F8" w:rsidRDefault="000F61F8">
    <w:pPr>
      <w:pStyle w:val="Cabealho"/>
      <w:jc w:val="right"/>
      <w:rPr>
        <w:color w:val="8496B0" w:themeColor="text2" w:themeTint="99"/>
        <w:sz w:val="24"/>
        <w:szCs w:val="24"/>
      </w:rPr>
    </w:pPr>
  </w:p>
  <w:p w:rsidR="000F61F8" w:rsidRDefault="000F61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98D"/>
    <w:multiLevelType w:val="multilevel"/>
    <w:tmpl w:val="92D80E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A400DF"/>
    <w:multiLevelType w:val="multilevel"/>
    <w:tmpl w:val="1C10D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2A706CF"/>
    <w:multiLevelType w:val="hybridMultilevel"/>
    <w:tmpl w:val="065EA1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F21D8"/>
    <w:multiLevelType w:val="multilevel"/>
    <w:tmpl w:val="33C6B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F8"/>
    <w:rsid w:val="00045D4E"/>
    <w:rsid w:val="00064B9D"/>
    <w:rsid w:val="00082BDD"/>
    <w:rsid w:val="00090751"/>
    <w:rsid w:val="000A4CF7"/>
    <w:rsid w:val="000B3C96"/>
    <w:rsid w:val="000B604B"/>
    <w:rsid w:val="000C68E3"/>
    <w:rsid w:val="000F61F8"/>
    <w:rsid w:val="00113AF9"/>
    <w:rsid w:val="001160B5"/>
    <w:rsid w:val="00147287"/>
    <w:rsid w:val="00177FC6"/>
    <w:rsid w:val="0018483B"/>
    <w:rsid w:val="00187BE4"/>
    <w:rsid w:val="00190E6A"/>
    <w:rsid w:val="001A2CC9"/>
    <w:rsid w:val="001F301E"/>
    <w:rsid w:val="0022442E"/>
    <w:rsid w:val="00260696"/>
    <w:rsid w:val="00291CDC"/>
    <w:rsid w:val="00295BEA"/>
    <w:rsid w:val="002C0AB8"/>
    <w:rsid w:val="002C18B4"/>
    <w:rsid w:val="002C305E"/>
    <w:rsid w:val="002D1B03"/>
    <w:rsid w:val="002F613D"/>
    <w:rsid w:val="00376096"/>
    <w:rsid w:val="003901F6"/>
    <w:rsid w:val="003E54E2"/>
    <w:rsid w:val="00414935"/>
    <w:rsid w:val="00416420"/>
    <w:rsid w:val="00416FF6"/>
    <w:rsid w:val="0042557E"/>
    <w:rsid w:val="00430751"/>
    <w:rsid w:val="004469F2"/>
    <w:rsid w:val="004935F4"/>
    <w:rsid w:val="004C758F"/>
    <w:rsid w:val="004E4618"/>
    <w:rsid w:val="005069CE"/>
    <w:rsid w:val="00537437"/>
    <w:rsid w:val="00572ACE"/>
    <w:rsid w:val="00585299"/>
    <w:rsid w:val="005A50C1"/>
    <w:rsid w:val="005B4415"/>
    <w:rsid w:val="005C44A2"/>
    <w:rsid w:val="005D50C8"/>
    <w:rsid w:val="005D7B60"/>
    <w:rsid w:val="00653E35"/>
    <w:rsid w:val="0065403D"/>
    <w:rsid w:val="00690356"/>
    <w:rsid w:val="006A67EF"/>
    <w:rsid w:val="006D478C"/>
    <w:rsid w:val="006F582B"/>
    <w:rsid w:val="00714873"/>
    <w:rsid w:val="00723BF5"/>
    <w:rsid w:val="007316E5"/>
    <w:rsid w:val="007B0C97"/>
    <w:rsid w:val="007B31D7"/>
    <w:rsid w:val="007C2A68"/>
    <w:rsid w:val="007D68FB"/>
    <w:rsid w:val="00833940"/>
    <w:rsid w:val="008527AB"/>
    <w:rsid w:val="00853E90"/>
    <w:rsid w:val="008635CA"/>
    <w:rsid w:val="008773EB"/>
    <w:rsid w:val="008873C3"/>
    <w:rsid w:val="008E6790"/>
    <w:rsid w:val="0091236D"/>
    <w:rsid w:val="00926A58"/>
    <w:rsid w:val="0096408E"/>
    <w:rsid w:val="0097707C"/>
    <w:rsid w:val="0098669B"/>
    <w:rsid w:val="009A639B"/>
    <w:rsid w:val="009C6FC4"/>
    <w:rsid w:val="009D7202"/>
    <w:rsid w:val="00A12251"/>
    <w:rsid w:val="00A32210"/>
    <w:rsid w:val="00A567B2"/>
    <w:rsid w:val="00A954D0"/>
    <w:rsid w:val="00AA1365"/>
    <w:rsid w:val="00AB264F"/>
    <w:rsid w:val="00AC522F"/>
    <w:rsid w:val="00B0002B"/>
    <w:rsid w:val="00B0547B"/>
    <w:rsid w:val="00B41564"/>
    <w:rsid w:val="00B8482B"/>
    <w:rsid w:val="00B91931"/>
    <w:rsid w:val="00B942DB"/>
    <w:rsid w:val="00B96FBC"/>
    <w:rsid w:val="00BD7877"/>
    <w:rsid w:val="00C5467C"/>
    <w:rsid w:val="00C56746"/>
    <w:rsid w:val="00C778B4"/>
    <w:rsid w:val="00C80929"/>
    <w:rsid w:val="00C9661E"/>
    <w:rsid w:val="00CA0F51"/>
    <w:rsid w:val="00CE164C"/>
    <w:rsid w:val="00D621D9"/>
    <w:rsid w:val="00D86362"/>
    <w:rsid w:val="00D91E3C"/>
    <w:rsid w:val="00DA095C"/>
    <w:rsid w:val="00DB0093"/>
    <w:rsid w:val="00DC37FC"/>
    <w:rsid w:val="00DE48B5"/>
    <w:rsid w:val="00DE7487"/>
    <w:rsid w:val="00E05E10"/>
    <w:rsid w:val="00E06203"/>
    <w:rsid w:val="00E30E11"/>
    <w:rsid w:val="00E362EF"/>
    <w:rsid w:val="00E44E1D"/>
    <w:rsid w:val="00E61A19"/>
    <w:rsid w:val="00E70028"/>
    <w:rsid w:val="00EA0414"/>
    <w:rsid w:val="00EB2D00"/>
    <w:rsid w:val="00EB7557"/>
    <w:rsid w:val="00EF298D"/>
    <w:rsid w:val="00F01DCA"/>
    <w:rsid w:val="00F51517"/>
    <w:rsid w:val="00F84BC6"/>
    <w:rsid w:val="00F86F6A"/>
    <w:rsid w:val="00F97395"/>
    <w:rsid w:val="00FB3A49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61F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61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1F8"/>
  </w:style>
  <w:style w:type="paragraph" w:styleId="Rodap">
    <w:name w:val="footer"/>
    <w:basedOn w:val="Normal"/>
    <w:link w:val="RodapChar"/>
    <w:uiPriority w:val="99"/>
    <w:unhideWhenUsed/>
    <w:rsid w:val="000F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1F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00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00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002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4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47287"/>
  </w:style>
  <w:style w:type="character" w:styleId="Forte">
    <w:name w:val="Strong"/>
    <w:basedOn w:val="Fontepargpadro"/>
    <w:uiPriority w:val="22"/>
    <w:qFormat/>
    <w:rsid w:val="00090751"/>
    <w:rPr>
      <w:b/>
      <w:bCs/>
    </w:rPr>
  </w:style>
  <w:style w:type="character" w:customStyle="1" w:styleId="t1">
    <w:name w:val="t1"/>
    <w:basedOn w:val="Fontepargpadro"/>
    <w:rsid w:val="005B4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61F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61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1F8"/>
  </w:style>
  <w:style w:type="paragraph" w:styleId="Rodap">
    <w:name w:val="footer"/>
    <w:basedOn w:val="Normal"/>
    <w:link w:val="RodapChar"/>
    <w:uiPriority w:val="99"/>
    <w:unhideWhenUsed/>
    <w:rsid w:val="000F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1F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00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00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7002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4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47287"/>
  </w:style>
  <w:style w:type="character" w:styleId="Forte">
    <w:name w:val="Strong"/>
    <w:basedOn w:val="Fontepargpadro"/>
    <w:uiPriority w:val="22"/>
    <w:qFormat/>
    <w:rsid w:val="00090751"/>
    <w:rPr>
      <w:b/>
      <w:bCs/>
    </w:rPr>
  </w:style>
  <w:style w:type="character" w:customStyle="1" w:styleId="t1">
    <w:name w:val="t1"/>
    <w:basedOn w:val="Fontepargpadro"/>
    <w:rsid w:val="005B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nb.gov.b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udene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gracao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4623-FE26-4445-915E-A7565871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8</Pages>
  <Words>2181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 Fit</dc:creator>
  <cp:lastModifiedBy>LucasSolon -</cp:lastModifiedBy>
  <cp:revision>6</cp:revision>
  <dcterms:created xsi:type="dcterms:W3CDTF">2014-05-28T22:29:00Z</dcterms:created>
  <dcterms:modified xsi:type="dcterms:W3CDTF">2015-12-08T23:44:00Z</dcterms:modified>
</cp:coreProperties>
</file>