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4A" w:rsidRPr="000E0811" w:rsidRDefault="00E85EA3" w:rsidP="002C7B4A">
      <w:pPr>
        <w:spacing w:after="0" w:line="240" w:lineRule="auto"/>
        <w:jc w:val="center"/>
        <w:rPr>
          <w:rFonts w:ascii="Times New Roman" w:hAnsi="Times New Roman"/>
          <w:b/>
          <w:sz w:val="28"/>
          <w:szCs w:val="28"/>
        </w:rPr>
      </w:pPr>
      <w:r w:rsidRPr="000E0811">
        <w:rPr>
          <w:rFonts w:ascii="Times New Roman" w:hAnsi="Times New Roman"/>
          <w:b/>
          <w:sz w:val="28"/>
          <w:szCs w:val="28"/>
        </w:rPr>
        <w:t>APLICABILIDADE DO CRITÉRIO ESPACIAL NA HIPÓTESE TRIBUTÁRIA DO IPTU</w:t>
      </w:r>
    </w:p>
    <w:p w:rsidR="002C7B4A" w:rsidRPr="000E0811" w:rsidRDefault="002C7B4A" w:rsidP="002C7B4A">
      <w:pPr>
        <w:spacing w:after="0"/>
        <w:rPr>
          <w:rFonts w:ascii="Times New Roman" w:hAnsi="Times New Roman"/>
          <w:b/>
          <w:sz w:val="24"/>
          <w:szCs w:val="24"/>
        </w:rPr>
      </w:pPr>
    </w:p>
    <w:p w:rsidR="002C7B4A" w:rsidRPr="000E0811" w:rsidRDefault="002958C8" w:rsidP="002C7B4A">
      <w:pPr>
        <w:pStyle w:val="SemEspaamento"/>
        <w:jc w:val="right"/>
        <w:rPr>
          <w:rFonts w:ascii="Times New Roman" w:hAnsi="Times New Roman"/>
          <w:i/>
          <w:sz w:val="20"/>
          <w:szCs w:val="20"/>
        </w:rPr>
      </w:pPr>
      <w:proofErr w:type="spellStart"/>
      <w:r w:rsidRPr="000E0811">
        <w:rPr>
          <w:rFonts w:ascii="Times New Roman" w:hAnsi="Times New Roman"/>
          <w:i/>
          <w:sz w:val="20"/>
          <w:szCs w:val="20"/>
        </w:rPr>
        <w:t>Elizangela</w:t>
      </w:r>
      <w:proofErr w:type="spellEnd"/>
      <w:r w:rsidRPr="000E0811">
        <w:rPr>
          <w:rFonts w:ascii="Times New Roman" w:hAnsi="Times New Roman"/>
          <w:i/>
          <w:sz w:val="20"/>
          <w:szCs w:val="20"/>
        </w:rPr>
        <w:t xml:space="preserve"> Sá dos Passos</w:t>
      </w:r>
    </w:p>
    <w:p w:rsidR="002C7B4A" w:rsidRPr="000E0811" w:rsidRDefault="002C7B4A" w:rsidP="002C7B4A">
      <w:pPr>
        <w:pStyle w:val="SemEspaamento"/>
        <w:jc w:val="right"/>
        <w:rPr>
          <w:rFonts w:ascii="Times New Roman" w:hAnsi="Times New Roman"/>
          <w:i/>
          <w:sz w:val="20"/>
          <w:szCs w:val="20"/>
        </w:rPr>
      </w:pPr>
      <w:proofErr w:type="spellStart"/>
      <w:r w:rsidRPr="000E0811">
        <w:rPr>
          <w:rFonts w:ascii="Times New Roman" w:hAnsi="Times New Roman"/>
          <w:i/>
          <w:sz w:val="20"/>
          <w:szCs w:val="20"/>
        </w:rPr>
        <w:t>Jayane</w:t>
      </w:r>
      <w:proofErr w:type="spellEnd"/>
      <w:r w:rsidRPr="000E0811">
        <w:rPr>
          <w:rFonts w:ascii="Times New Roman" w:hAnsi="Times New Roman"/>
          <w:i/>
          <w:sz w:val="20"/>
          <w:szCs w:val="20"/>
        </w:rPr>
        <w:t xml:space="preserve"> Antônia Alves</w:t>
      </w:r>
    </w:p>
    <w:p w:rsidR="002C7B4A" w:rsidRPr="000E0811" w:rsidRDefault="002C7B4A" w:rsidP="002C7B4A">
      <w:pPr>
        <w:pStyle w:val="SemEspaamento"/>
        <w:jc w:val="right"/>
        <w:rPr>
          <w:rFonts w:ascii="Times New Roman" w:hAnsi="Times New Roman"/>
          <w:i/>
          <w:sz w:val="20"/>
          <w:szCs w:val="20"/>
        </w:rPr>
      </w:pPr>
    </w:p>
    <w:p w:rsidR="002C7B4A" w:rsidRPr="000E0811" w:rsidRDefault="002C7B4A" w:rsidP="002C7B4A">
      <w:pPr>
        <w:pStyle w:val="SemEspaamento"/>
        <w:rPr>
          <w:rFonts w:ascii="Times New Roman" w:hAnsi="Times New Roman"/>
          <w:i/>
          <w:sz w:val="20"/>
          <w:szCs w:val="20"/>
        </w:rPr>
      </w:pPr>
    </w:p>
    <w:p w:rsidR="002C7B4A" w:rsidRPr="000E0811" w:rsidRDefault="002C7B4A" w:rsidP="002C7B4A">
      <w:pPr>
        <w:pStyle w:val="SemEspaamento"/>
        <w:jc w:val="right"/>
        <w:rPr>
          <w:rFonts w:ascii="Times New Roman" w:hAnsi="Times New Roman"/>
          <w:i/>
          <w:sz w:val="20"/>
          <w:szCs w:val="20"/>
        </w:rPr>
      </w:pPr>
    </w:p>
    <w:p w:rsidR="002C7B4A" w:rsidRPr="000E0811" w:rsidRDefault="002C7B4A" w:rsidP="002C7B4A">
      <w:pPr>
        <w:pStyle w:val="SemEspaamento"/>
        <w:ind w:left="2268"/>
        <w:jc w:val="both"/>
        <w:rPr>
          <w:rFonts w:ascii="Times New Roman" w:hAnsi="Times New Roman"/>
          <w:sz w:val="20"/>
          <w:szCs w:val="20"/>
        </w:rPr>
      </w:pPr>
      <w:r w:rsidRPr="000E0811">
        <w:rPr>
          <w:rFonts w:ascii="Times New Roman" w:hAnsi="Times New Roman"/>
          <w:sz w:val="20"/>
          <w:szCs w:val="20"/>
        </w:rPr>
        <w:t xml:space="preserve">Sumário: </w:t>
      </w:r>
      <w:r w:rsidR="002958C8" w:rsidRPr="000E0811">
        <w:rPr>
          <w:rFonts w:ascii="Times New Roman" w:hAnsi="Times New Roman"/>
          <w:sz w:val="20"/>
          <w:szCs w:val="20"/>
        </w:rPr>
        <w:t>Introdução; 1.</w:t>
      </w:r>
      <w:r w:rsidR="00CA0B51" w:rsidRPr="000E0811">
        <w:rPr>
          <w:rFonts w:ascii="Times New Roman" w:hAnsi="Times New Roman"/>
          <w:sz w:val="20"/>
          <w:szCs w:val="20"/>
        </w:rPr>
        <w:t xml:space="preserve"> Critérios constituintes da regra matriz de incidência tributária</w:t>
      </w:r>
      <w:r w:rsidR="002958C8" w:rsidRPr="000E0811">
        <w:rPr>
          <w:rFonts w:ascii="Times New Roman" w:hAnsi="Times New Roman"/>
          <w:sz w:val="20"/>
          <w:szCs w:val="20"/>
        </w:rPr>
        <w:t>; 2.</w:t>
      </w:r>
      <w:r w:rsidR="00CA0B51" w:rsidRPr="000E0811">
        <w:rPr>
          <w:rFonts w:ascii="Times New Roman" w:hAnsi="Times New Roman"/>
          <w:sz w:val="20"/>
          <w:szCs w:val="20"/>
        </w:rPr>
        <w:t xml:space="preserve"> Aplicabilidade da regra matriz de incidência </w:t>
      </w:r>
      <w:r w:rsidR="00ED71F3">
        <w:rPr>
          <w:rFonts w:ascii="Times New Roman" w:hAnsi="Times New Roman"/>
          <w:sz w:val="20"/>
          <w:szCs w:val="20"/>
        </w:rPr>
        <w:t>n</w:t>
      </w:r>
      <w:r w:rsidR="00CA0B51" w:rsidRPr="000E0811">
        <w:rPr>
          <w:rFonts w:ascii="Times New Roman" w:hAnsi="Times New Roman"/>
          <w:sz w:val="20"/>
          <w:szCs w:val="20"/>
        </w:rPr>
        <w:t>o IPTU</w:t>
      </w:r>
      <w:r w:rsidR="002958C8" w:rsidRPr="000E0811">
        <w:rPr>
          <w:rFonts w:ascii="Times New Roman" w:hAnsi="Times New Roman"/>
          <w:sz w:val="20"/>
          <w:szCs w:val="20"/>
        </w:rPr>
        <w:t>; 3.</w:t>
      </w:r>
      <w:r w:rsidR="00CA0B51" w:rsidRPr="000E0811">
        <w:rPr>
          <w:rFonts w:ascii="Times New Roman" w:hAnsi="Times New Roman"/>
          <w:sz w:val="20"/>
          <w:szCs w:val="20"/>
        </w:rPr>
        <w:t xml:space="preserve"> Considerações sobre o critério espacial do IPTU</w:t>
      </w:r>
      <w:r w:rsidR="002958C8" w:rsidRPr="000E0811">
        <w:rPr>
          <w:rFonts w:ascii="Times New Roman" w:hAnsi="Times New Roman"/>
          <w:sz w:val="20"/>
          <w:szCs w:val="20"/>
        </w:rPr>
        <w:t>;</w:t>
      </w:r>
      <w:r w:rsidRPr="000E0811">
        <w:rPr>
          <w:rFonts w:ascii="Times New Roman" w:hAnsi="Times New Roman"/>
          <w:sz w:val="20"/>
          <w:szCs w:val="20"/>
        </w:rPr>
        <w:t xml:space="preserve"> Conclusão; Referências.</w:t>
      </w:r>
    </w:p>
    <w:p w:rsidR="002C7B4A" w:rsidRPr="000E0811" w:rsidRDefault="002C7B4A" w:rsidP="002C7B4A">
      <w:pPr>
        <w:pStyle w:val="SemEspaamento"/>
        <w:ind w:left="2268"/>
        <w:jc w:val="both"/>
        <w:rPr>
          <w:rFonts w:ascii="Times New Roman" w:hAnsi="Times New Roman"/>
          <w:sz w:val="24"/>
          <w:szCs w:val="24"/>
        </w:rPr>
      </w:pPr>
    </w:p>
    <w:p w:rsidR="002C7B4A" w:rsidRPr="000E0811" w:rsidRDefault="002C7B4A" w:rsidP="002C7B4A">
      <w:pPr>
        <w:spacing w:after="0"/>
        <w:jc w:val="center"/>
        <w:rPr>
          <w:rFonts w:ascii="Times New Roman" w:hAnsi="Times New Roman"/>
          <w:b/>
          <w:sz w:val="24"/>
          <w:szCs w:val="24"/>
        </w:rPr>
      </w:pPr>
    </w:p>
    <w:p w:rsidR="002C7B4A" w:rsidRPr="000E0811" w:rsidRDefault="002C7B4A" w:rsidP="002C7B4A">
      <w:pPr>
        <w:spacing w:after="0" w:line="240" w:lineRule="auto"/>
        <w:jc w:val="center"/>
        <w:rPr>
          <w:rFonts w:ascii="Times New Roman" w:hAnsi="Times New Roman"/>
          <w:b/>
          <w:sz w:val="24"/>
          <w:szCs w:val="24"/>
        </w:rPr>
      </w:pPr>
      <w:r w:rsidRPr="000E0811">
        <w:rPr>
          <w:rFonts w:ascii="Times New Roman" w:hAnsi="Times New Roman"/>
          <w:b/>
          <w:sz w:val="24"/>
          <w:szCs w:val="24"/>
        </w:rPr>
        <w:t>RESUMO</w:t>
      </w:r>
    </w:p>
    <w:p w:rsidR="002C7B4A" w:rsidRPr="000E0811" w:rsidRDefault="002C7B4A" w:rsidP="002C7B4A">
      <w:pPr>
        <w:spacing w:after="0" w:line="240" w:lineRule="auto"/>
        <w:jc w:val="center"/>
        <w:rPr>
          <w:rFonts w:ascii="Times New Roman" w:hAnsi="Times New Roman"/>
          <w:b/>
          <w:sz w:val="24"/>
          <w:szCs w:val="24"/>
        </w:rPr>
      </w:pPr>
    </w:p>
    <w:p w:rsidR="002C7B4A" w:rsidRPr="000E0811" w:rsidRDefault="002C7B4A" w:rsidP="002C7B4A">
      <w:pPr>
        <w:spacing w:after="0" w:line="240" w:lineRule="auto"/>
        <w:jc w:val="both"/>
        <w:rPr>
          <w:rFonts w:ascii="Times New Roman" w:hAnsi="Times New Roman"/>
          <w:sz w:val="24"/>
          <w:szCs w:val="24"/>
        </w:rPr>
      </w:pPr>
      <w:r w:rsidRPr="000E0811">
        <w:rPr>
          <w:rFonts w:ascii="Times New Roman" w:hAnsi="Times New Roman"/>
          <w:sz w:val="24"/>
          <w:szCs w:val="24"/>
        </w:rPr>
        <w:t>O presente artigo</w:t>
      </w:r>
      <w:r w:rsidR="00FA70C8" w:rsidRPr="000E0811">
        <w:rPr>
          <w:rFonts w:ascii="Times New Roman" w:hAnsi="Times New Roman"/>
          <w:sz w:val="24"/>
          <w:szCs w:val="24"/>
        </w:rPr>
        <w:t xml:space="preserve"> busca fazer um recorte, a partir da doutrina de </w:t>
      </w:r>
      <w:r w:rsidR="00723F9E" w:rsidRPr="000E0811">
        <w:rPr>
          <w:rFonts w:ascii="Times New Roman" w:hAnsi="Times New Roman"/>
          <w:sz w:val="24"/>
          <w:szCs w:val="24"/>
        </w:rPr>
        <w:t>Paulo de Bar</w:t>
      </w:r>
      <w:r w:rsidR="006B22C6" w:rsidRPr="000E0811">
        <w:rPr>
          <w:rFonts w:ascii="Times New Roman" w:hAnsi="Times New Roman"/>
          <w:sz w:val="24"/>
          <w:szCs w:val="24"/>
        </w:rPr>
        <w:t>ros, na qual estabelece a regra matriz de incidência tributária e apresenta seus critérios de constituição, para que possa ser verificada sua aplicabilidade no que diz respeito ao IPTU. Vale ressaltar que será dada uma atenção particular ao critério espacial quanto ao IPTU, haja vista que em tal tributo</w:t>
      </w:r>
      <w:r w:rsidR="0090591E" w:rsidRPr="000E0811">
        <w:rPr>
          <w:rFonts w:ascii="Times New Roman" w:hAnsi="Times New Roman"/>
          <w:sz w:val="24"/>
          <w:szCs w:val="24"/>
        </w:rPr>
        <w:t xml:space="preserve"> o referido critério se mostra de fundamental importância,</w:t>
      </w:r>
      <w:r w:rsidR="002D2473" w:rsidRPr="000E0811">
        <w:rPr>
          <w:rFonts w:ascii="Times New Roman" w:hAnsi="Times New Roman"/>
          <w:sz w:val="24"/>
          <w:szCs w:val="24"/>
        </w:rPr>
        <w:t xml:space="preserve"> principalmente no que toca </w:t>
      </w:r>
      <w:r w:rsidR="004631D9" w:rsidRPr="000E0811">
        <w:rPr>
          <w:rFonts w:ascii="Times New Roman" w:hAnsi="Times New Roman"/>
          <w:sz w:val="24"/>
          <w:szCs w:val="24"/>
        </w:rPr>
        <w:t xml:space="preserve">ao que deve ser levado em conta para sua </w:t>
      </w:r>
      <w:r w:rsidR="002D2473" w:rsidRPr="000E0811">
        <w:rPr>
          <w:rFonts w:ascii="Times New Roman" w:hAnsi="Times New Roman"/>
          <w:sz w:val="24"/>
          <w:szCs w:val="24"/>
        </w:rPr>
        <w:t>determinação,</w:t>
      </w:r>
      <w:r w:rsidR="004631D9" w:rsidRPr="000E0811">
        <w:rPr>
          <w:rFonts w:ascii="Times New Roman" w:hAnsi="Times New Roman"/>
          <w:sz w:val="24"/>
          <w:szCs w:val="24"/>
        </w:rPr>
        <w:t xml:space="preserve"> fato esse que enfrenta divergências</w:t>
      </w:r>
      <w:r w:rsidR="002D2473" w:rsidRPr="000E0811">
        <w:rPr>
          <w:rFonts w:ascii="Times New Roman" w:hAnsi="Times New Roman"/>
          <w:sz w:val="24"/>
          <w:szCs w:val="24"/>
        </w:rPr>
        <w:t xml:space="preserve"> ante o ordenamento jurídico brasileiro.</w:t>
      </w:r>
    </w:p>
    <w:p w:rsidR="002C7B4A" w:rsidRPr="000E0811" w:rsidRDefault="002C7B4A" w:rsidP="002C7B4A">
      <w:pPr>
        <w:spacing w:after="0" w:line="360" w:lineRule="auto"/>
        <w:jc w:val="both"/>
        <w:rPr>
          <w:rFonts w:ascii="Times New Roman" w:hAnsi="Times New Roman"/>
          <w:sz w:val="24"/>
          <w:szCs w:val="24"/>
        </w:rPr>
      </w:pPr>
    </w:p>
    <w:p w:rsidR="002C7B4A" w:rsidRPr="000E0811" w:rsidRDefault="002C7B4A" w:rsidP="002C7B4A">
      <w:pPr>
        <w:spacing w:after="0" w:line="240" w:lineRule="auto"/>
        <w:jc w:val="center"/>
        <w:rPr>
          <w:rFonts w:ascii="Times New Roman" w:hAnsi="Times New Roman"/>
          <w:b/>
          <w:sz w:val="24"/>
          <w:szCs w:val="24"/>
        </w:rPr>
      </w:pPr>
      <w:r w:rsidRPr="000E0811">
        <w:rPr>
          <w:rFonts w:ascii="Times New Roman" w:hAnsi="Times New Roman"/>
          <w:b/>
          <w:sz w:val="24"/>
          <w:szCs w:val="24"/>
        </w:rPr>
        <w:t>PALAVRAS-CHAVE</w:t>
      </w:r>
    </w:p>
    <w:p w:rsidR="002C7B4A" w:rsidRPr="000E0811" w:rsidRDefault="002C7B4A" w:rsidP="002C7B4A">
      <w:pPr>
        <w:spacing w:after="0" w:line="240" w:lineRule="auto"/>
        <w:jc w:val="center"/>
        <w:rPr>
          <w:rFonts w:ascii="Times New Roman" w:hAnsi="Times New Roman"/>
          <w:b/>
          <w:sz w:val="24"/>
          <w:szCs w:val="24"/>
        </w:rPr>
      </w:pPr>
    </w:p>
    <w:p w:rsidR="002C7B4A" w:rsidRPr="000E0811" w:rsidRDefault="00CA0B51" w:rsidP="002C7B4A">
      <w:pPr>
        <w:spacing w:after="0" w:line="240" w:lineRule="auto"/>
        <w:jc w:val="center"/>
        <w:rPr>
          <w:rFonts w:ascii="Times New Roman" w:hAnsi="Times New Roman"/>
          <w:sz w:val="24"/>
          <w:szCs w:val="24"/>
        </w:rPr>
      </w:pPr>
      <w:r w:rsidRPr="000E0811">
        <w:rPr>
          <w:rFonts w:ascii="Times New Roman" w:hAnsi="Times New Roman"/>
          <w:sz w:val="24"/>
          <w:szCs w:val="24"/>
        </w:rPr>
        <w:t>Regra matriz de incidência tributária. IPTU. Critério espacial do IPTU</w:t>
      </w:r>
      <w:r w:rsidR="002C7B4A" w:rsidRPr="000E0811">
        <w:rPr>
          <w:rFonts w:ascii="Times New Roman" w:hAnsi="Times New Roman"/>
          <w:sz w:val="24"/>
          <w:szCs w:val="24"/>
        </w:rPr>
        <w:t>.</w:t>
      </w:r>
    </w:p>
    <w:p w:rsidR="002C7B4A" w:rsidRPr="000E0811" w:rsidRDefault="002C7B4A" w:rsidP="002C7B4A">
      <w:pPr>
        <w:spacing w:after="0" w:line="360" w:lineRule="auto"/>
        <w:rPr>
          <w:rFonts w:ascii="Times New Roman" w:hAnsi="Times New Roman"/>
          <w:sz w:val="24"/>
          <w:szCs w:val="24"/>
        </w:rPr>
      </w:pPr>
    </w:p>
    <w:p w:rsidR="002C7B4A" w:rsidRPr="000E0811" w:rsidRDefault="002C7B4A" w:rsidP="002C7B4A">
      <w:pPr>
        <w:spacing w:after="0" w:line="360" w:lineRule="auto"/>
        <w:jc w:val="both"/>
        <w:rPr>
          <w:rFonts w:ascii="Times New Roman" w:hAnsi="Times New Roman"/>
          <w:b/>
          <w:sz w:val="24"/>
          <w:szCs w:val="24"/>
        </w:rPr>
      </w:pPr>
      <w:r w:rsidRPr="000E0811">
        <w:rPr>
          <w:rFonts w:ascii="Times New Roman" w:hAnsi="Times New Roman"/>
          <w:b/>
          <w:sz w:val="24"/>
          <w:szCs w:val="24"/>
        </w:rPr>
        <w:t>Introdução</w:t>
      </w:r>
    </w:p>
    <w:p w:rsidR="002C7B4A" w:rsidRPr="000E0811" w:rsidRDefault="002C7B4A" w:rsidP="002C7B4A">
      <w:pPr>
        <w:spacing w:after="0" w:line="360" w:lineRule="auto"/>
        <w:jc w:val="both"/>
        <w:rPr>
          <w:rFonts w:ascii="Times New Roman" w:hAnsi="Times New Roman"/>
          <w:b/>
          <w:sz w:val="24"/>
          <w:szCs w:val="24"/>
        </w:rPr>
      </w:pPr>
      <w:r w:rsidRPr="000E0811">
        <w:rPr>
          <w:rFonts w:ascii="Times New Roman" w:hAnsi="Times New Roman"/>
          <w:b/>
          <w:sz w:val="24"/>
          <w:szCs w:val="24"/>
        </w:rPr>
        <w:tab/>
      </w:r>
    </w:p>
    <w:p w:rsidR="00C54F94" w:rsidRPr="000E0811" w:rsidRDefault="0090591E" w:rsidP="00C54F94">
      <w:pPr>
        <w:spacing w:after="0" w:line="360" w:lineRule="auto"/>
        <w:ind w:firstLine="1134"/>
        <w:jc w:val="both"/>
        <w:rPr>
          <w:rFonts w:ascii="Times New Roman" w:hAnsi="Times New Roman"/>
          <w:sz w:val="24"/>
          <w:szCs w:val="24"/>
        </w:rPr>
      </w:pPr>
      <w:r w:rsidRPr="000E0811">
        <w:rPr>
          <w:rFonts w:ascii="Times New Roman" w:hAnsi="Times New Roman"/>
          <w:sz w:val="24"/>
          <w:szCs w:val="24"/>
        </w:rPr>
        <w:t>O pres</w:t>
      </w:r>
      <w:r w:rsidR="009C2A64" w:rsidRPr="000E0811">
        <w:rPr>
          <w:rFonts w:ascii="Times New Roman" w:hAnsi="Times New Roman"/>
          <w:sz w:val="24"/>
          <w:szCs w:val="24"/>
        </w:rPr>
        <w:t>ente trabalho tem por objeto principal a análise</w:t>
      </w:r>
      <w:r w:rsidR="00AD5590" w:rsidRPr="000E0811">
        <w:rPr>
          <w:rFonts w:ascii="Times New Roman" w:hAnsi="Times New Roman"/>
          <w:sz w:val="24"/>
          <w:szCs w:val="24"/>
        </w:rPr>
        <w:t xml:space="preserve"> da doutrina do professor Paulo de Barros Carvalho no que diz respeito à regra matriz de incidência tributária e a interpretação traçada em sua obra, em que versa sobre seus critérios constituintes e sua aplicabilidade nos tributos.</w:t>
      </w:r>
    </w:p>
    <w:p w:rsidR="00C54F94" w:rsidRPr="000E0811" w:rsidRDefault="00AD5590" w:rsidP="00C54F94">
      <w:pPr>
        <w:spacing w:after="0" w:line="360" w:lineRule="auto"/>
        <w:ind w:firstLine="1134"/>
        <w:jc w:val="both"/>
        <w:rPr>
          <w:rFonts w:ascii="Times New Roman" w:hAnsi="Times New Roman"/>
          <w:sz w:val="24"/>
          <w:szCs w:val="24"/>
        </w:rPr>
      </w:pPr>
      <w:r w:rsidRPr="000E0811">
        <w:rPr>
          <w:rFonts w:ascii="Times New Roman" w:hAnsi="Times New Roman"/>
          <w:sz w:val="24"/>
          <w:szCs w:val="24"/>
        </w:rPr>
        <w:t>Em um primeiro momento, cabe a análise pormenorizada de cada um desses critérios, no intuito de demonstrar sua relevância e incidência no que t</w:t>
      </w:r>
      <w:r w:rsidR="00B01ABF" w:rsidRPr="000E0811">
        <w:rPr>
          <w:rFonts w:ascii="Times New Roman" w:hAnsi="Times New Roman"/>
          <w:sz w:val="24"/>
          <w:szCs w:val="24"/>
        </w:rPr>
        <w:t>ange às modalidades tributárias.</w:t>
      </w:r>
    </w:p>
    <w:p w:rsidR="00C54F94" w:rsidRPr="000E0811" w:rsidRDefault="00B01ABF" w:rsidP="00C54F94">
      <w:pPr>
        <w:spacing w:after="0" w:line="360" w:lineRule="auto"/>
        <w:ind w:firstLine="1134"/>
        <w:jc w:val="both"/>
        <w:rPr>
          <w:rFonts w:ascii="Times New Roman" w:hAnsi="Times New Roman"/>
          <w:sz w:val="24"/>
          <w:szCs w:val="24"/>
        </w:rPr>
      </w:pPr>
      <w:r w:rsidRPr="000E0811">
        <w:rPr>
          <w:rFonts w:ascii="Times New Roman" w:hAnsi="Times New Roman"/>
          <w:sz w:val="24"/>
          <w:szCs w:val="24"/>
        </w:rPr>
        <w:t xml:space="preserve">Ultrapassadas as considerações gerais a respeito dos critérios que constituem a regra matriz de incidência tributária, cabe a análise de tal equação vista de forma específica </w:t>
      </w:r>
      <w:r w:rsidR="00707D8A" w:rsidRPr="000E0811">
        <w:rPr>
          <w:rFonts w:ascii="Times New Roman" w:hAnsi="Times New Roman"/>
          <w:sz w:val="24"/>
          <w:szCs w:val="24"/>
        </w:rPr>
        <w:t>quando é a</w:t>
      </w:r>
      <w:r w:rsidR="0010596A" w:rsidRPr="000E0811">
        <w:rPr>
          <w:rFonts w:ascii="Times New Roman" w:hAnsi="Times New Roman"/>
          <w:sz w:val="24"/>
          <w:szCs w:val="24"/>
        </w:rPr>
        <w:t>plicada a um tributo em espécie, que no presente estudo será atribuída ao IPTU.</w:t>
      </w:r>
    </w:p>
    <w:p w:rsidR="0010596A" w:rsidRPr="000E0811" w:rsidRDefault="0010596A" w:rsidP="00C54F94">
      <w:pPr>
        <w:spacing w:after="0" w:line="360" w:lineRule="auto"/>
        <w:ind w:firstLine="1134"/>
        <w:jc w:val="both"/>
        <w:rPr>
          <w:rFonts w:ascii="Times New Roman" w:hAnsi="Times New Roman"/>
          <w:sz w:val="24"/>
          <w:szCs w:val="24"/>
        </w:rPr>
      </w:pPr>
      <w:r w:rsidRPr="000E0811">
        <w:rPr>
          <w:rFonts w:ascii="Times New Roman" w:hAnsi="Times New Roman"/>
          <w:sz w:val="24"/>
          <w:szCs w:val="24"/>
        </w:rPr>
        <w:t xml:space="preserve">E por fim, </w:t>
      </w:r>
      <w:r w:rsidR="00C54F94" w:rsidRPr="000E0811">
        <w:rPr>
          <w:rFonts w:ascii="Times New Roman" w:hAnsi="Times New Roman"/>
          <w:sz w:val="24"/>
          <w:szCs w:val="24"/>
        </w:rPr>
        <w:t xml:space="preserve">se faz importante tecer comentários a respeito do critério espacial e sua definição ante o tributo do IPTU, uma vez que este imposto leva muito em </w:t>
      </w:r>
      <w:r w:rsidR="00C54F94" w:rsidRPr="000E0811">
        <w:rPr>
          <w:rFonts w:ascii="Times New Roman" w:hAnsi="Times New Roman"/>
          <w:sz w:val="24"/>
          <w:szCs w:val="24"/>
        </w:rPr>
        <w:lastRenderedPageBreak/>
        <w:t xml:space="preserve">consideração a questão da </w:t>
      </w:r>
      <w:r w:rsidR="00C12544" w:rsidRPr="000E0811">
        <w:rPr>
          <w:rFonts w:ascii="Times New Roman" w:hAnsi="Times New Roman"/>
          <w:sz w:val="24"/>
          <w:szCs w:val="24"/>
        </w:rPr>
        <w:t xml:space="preserve">localização da </w:t>
      </w:r>
      <w:r w:rsidR="00C54F94" w:rsidRPr="000E0811">
        <w:rPr>
          <w:rFonts w:ascii="Times New Roman" w:hAnsi="Times New Roman"/>
          <w:sz w:val="24"/>
          <w:szCs w:val="24"/>
        </w:rPr>
        <w:t>área do imóvel cujo contribuinte detém a propriedade, para que se possa mensurar o valor a ser pago.</w:t>
      </w:r>
    </w:p>
    <w:p w:rsidR="002C7B4A" w:rsidRPr="000E0811" w:rsidRDefault="00C54F94" w:rsidP="00C12544">
      <w:pPr>
        <w:spacing w:after="0" w:line="360" w:lineRule="auto"/>
        <w:ind w:firstLine="1134"/>
        <w:jc w:val="both"/>
        <w:rPr>
          <w:rFonts w:ascii="Times New Roman" w:hAnsi="Times New Roman"/>
          <w:sz w:val="24"/>
          <w:szCs w:val="24"/>
        </w:rPr>
      </w:pPr>
      <w:r w:rsidRPr="000E0811">
        <w:rPr>
          <w:rFonts w:ascii="Times New Roman" w:hAnsi="Times New Roman"/>
          <w:sz w:val="24"/>
          <w:szCs w:val="24"/>
        </w:rPr>
        <w:t>Diante de tais colocações, caberá a apresentação das conclusões obtidas a partir de tal estudo, no intuito de contribuir com a comunidade acadêmica que volta sua atenção para o referido debate, além de</w:t>
      </w:r>
      <w:r w:rsidR="002D2473" w:rsidRPr="000E0811">
        <w:rPr>
          <w:rFonts w:ascii="Times New Roman" w:hAnsi="Times New Roman"/>
          <w:sz w:val="24"/>
          <w:szCs w:val="24"/>
        </w:rPr>
        <w:t xml:space="preserve"> demonstrar como se comporta o ordenamento jurídico brasileiro quanto ao que deve ser considerado para definir o critério espacial aplicável ao IPTU.</w:t>
      </w:r>
    </w:p>
    <w:p w:rsidR="002C7B4A" w:rsidRPr="000E0811" w:rsidRDefault="002C7B4A" w:rsidP="002C7B4A">
      <w:pPr>
        <w:spacing w:after="0" w:line="360" w:lineRule="auto"/>
        <w:jc w:val="both"/>
        <w:rPr>
          <w:rFonts w:ascii="Times New Roman" w:hAnsi="Times New Roman"/>
          <w:sz w:val="24"/>
          <w:szCs w:val="24"/>
        </w:rPr>
      </w:pPr>
    </w:p>
    <w:p w:rsidR="002C7B4A" w:rsidRPr="000E0811" w:rsidRDefault="002C7B4A" w:rsidP="002C7B4A">
      <w:pPr>
        <w:spacing w:after="0" w:line="360" w:lineRule="auto"/>
        <w:jc w:val="both"/>
        <w:rPr>
          <w:rFonts w:ascii="Times New Roman" w:hAnsi="Times New Roman"/>
          <w:b/>
          <w:sz w:val="24"/>
          <w:szCs w:val="24"/>
        </w:rPr>
      </w:pPr>
      <w:r w:rsidRPr="000E0811">
        <w:rPr>
          <w:rFonts w:ascii="Times New Roman" w:hAnsi="Times New Roman"/>
          <w:b/>
          <w:sz w:val="24"/>
          <w:szCs w:val="24"/>
        </w:rPr>
        <w:t>1.</w:t>
      </w:r>
      <w:r w:rsidR="00E13A40" w:rsidRPr="000E0811">
        <w:rPr>
          <w:rFonts w:ascii="Times New Roman" w:hAnsi="Times New Roman"/>
          <w:b/>
          <w:sz w:val="24"/>
          <w:szCs w:val="24"/>
        </w:rPr>
        <w:t xml:space="preserve"> </w:t>
      </w:r>
      <w:r w:rsidR="00C12544" w:rsidRPr="000E0811">
        <w:rPr>
          <w:rFonts w:ascii="Times New Roman" w:hAnsi="Times New Roman"/>
          <w:b/>
          <w:sz w:val="24"/>
          <w:szCs w:val="24"/>
        </w:rPr>
        <w:t>CRITÉRIOS CONSTITUINTES DA REGRA MATRIZ DE INCIDÊNCIA TRIBUTÁRIA</w:t>
      </w:r>
    </w:p>
    <w:p w:rsidR="00E13A40" w:rsidRPr="000E0811" w:rsidRDefault="00E13A40" w:rsidP="00E13A40">
      <w:pPr>
        <w:spacing w:after="0" w:line="360" w:lineRule="auto"/>
        <w:jc w:val="both"/>
        <w:rPr>
          <w:rFonts w:ascii="Times New Roman" w:hAnsi="Times New Roman"/>
          <w:sz w:val="24"/>
          <w:szCs w:val="24"/>
        </w:rPr>
      </w:pPr>
    </w:p>
    <w:p w:rsidR="00E148ED" w:rsidRPr="000E0811" w:rsidRDefault="00E148ED" w:rsidP="003740A3">
      <w:pPr>
        <w:spacing w:after="0" w:line="360" w:lineRule="auto"/>
        <w:ind w:firstLine="1134"/>
        <w:jc w:val="both"/>
        <w:rPr>
          <w:rFonts w:ascii="Times New Roman" w:hAnsi="Times New Roman"/>
          <w:sz w:val="24"/>
          <w:szCs w:val="24"/>
        </w:rPr>
      </w:pPr>
      <w:r w:rsidRPr="000E0811">
        <w:rPr>
          <w:rFonts w:ascii="Times New Roman" w:hAnsi="Times New Roman"/>
          <w:sz w:val="24"/>
          <w:szCs w:val="24"/>
        </w:rPr>
        <w:t xml:space="preserve">O Direito Tributário se caracteriza por ser o ramo do Direito Público que se volta a analise do que venha a ser “tributo” e suas implicações no seio social. Sendo assim, torna-se importante conhecer o conceito de tributo, uma vez que este </w:t>
      </w:r>
      <w:r w:rsidR="00012557" w:rsidRPr="000E0811">
        <w:rPr>
          <w:rFonts w:ascii="Times New Roman" w:hAnsi="Times New Roman"/>
          <w:sz w:val="24"/>
          <w:szCs w:val="24"/>
        </w:rPr>
        <w:t>tem uma “definição oficial” nos termos do art. 3º do Código Tributário Nacional, que ora se transcreve (ALEXANDRE, 2013, p. 8-9):</w:t>
      </w:r>
    </w:p>
    <w:p w:rsidR="00012557" w:rsidRPr="000E0811" w:rsidRDefault="00012557" w:rsidP="003740A3">
      <w:pPr>
        <w:spacing w:after="0" w:line="240" w:lineRule="auto"/>
        <w:jc w:val="both"/>
        <w:rPr>
          <w:rFonts w:ascii="Times New Roman" w:hAnsi="Times New Roman"/>
          <w:sz w:val="24"/>
          <w:szCs w:val="24"/>
        </w:rPr>
      </w:pPr>
    </w:p>
    <w:p w:rsidR="00012557" w:rsidRPr="000E0811" w:rsidRDefault="00012557" w:rsidP="003740A3">
      <w:pPr>
        <w:spacing w:after="0" w:line="240" w:lineRule="auto"/>
        <w:ind w:left="2268"/>
        <w:jc w:val="both"/>
        <w:rPr>
          <w:rFonts w:ascii="Times New Roman" w:hAnsi="Times New Roman"/>
          <w:sz w:val="20"/>
          <w:szCs w:val="20"/>
        </w:rPr>
      </w:pPr>
      <w:r w:rsidRPr="000E0811">
        <w:rPr>
          <w:rFonts w:ascii="Times New Roman" w:hAnsi="Times New Roman"/>
          <w:sz w:val="20"/>
          <w:szCs w:val="20"/>
        </w:rPr>
        <w:t>Art. 3º. Tributo é toda prestação pecuniária compulsória, em moeda ou cujo valor nela se possa exprimir, que não constitua sanção de ato ilícito, instituída em lei e cobrada mediante atividade administrativa plenamente vinculada.</w:t>
      </w:r>
    </w:p>
    <w:p w:rsidR="00012557" w:rsidRPr="000E0811" w:rsidRDefault="00012557" w:rsidP="00E13A40">
      <w:pPr>
        <w:spacing w:after="0" w:line="360" w:lineRule="auto"/>
        <w:jc w:val="both"/>
        <w:rPr>
          <w:rFonts w:ascii="Times New Roman" w:hAnsi="Times New Roman"/>
          <w:sz w:val="24"/>
          <w:szCs w:val="24"/>
        </w:rPr>
      </w:pPr>
    </w:p>
    <w:p w:rsidR="003740A3" w:rsidRPr="000E0811" w:rsidRDefault="00012557" w:rsidP="003740A3">
      <w:pPr>
        <w:spacing w:after="0" w:line="360" w:lineRule="auto"/>
        <w:ind w:firstLine="1134"/>
        <w:jc w:val="both"/>
        <w:rPr>
          <w:rFonts w:ascii="Times New Roman" w:hAnsi="Times New Roman"/>
          <w:sz w:val="24"/>
          <w:szCs w:val="24"/>
        </w:rPr>
      </w:pPr>
      <w:r w:rsidRPr="000E0811">
        <w:rPr>
          <w:rFonts w:ascii="Times New Roman" w:hAnsi="Times New Roman"/>
          <w:sz w:val="24"/>
          <w:szCs w:val="24"/>
        </w:rPr>
        <w:t xml:space="preserve">Portanto, cabe a conclusão direta de que o conceito de tributo tem sede legal, posto que </w:t>
      </w:r>
      <w:proofErr w:type="gramStart"/>
      <w:r w:rsidRPr="000E0811">
        <w:rPr>
          <w:rFonts w:ascii="Times New Roman" w:hAnsi="Times New Roman"/>
          <w:sz w:val="24"/>
          <w:szCs w:val="24"/>
        </w:rPr>
        <w:t>está</w:t>
      </w:r>
      <w:proofErr w:type="gramEnd"/>
      <w:r w:rsidRPr="000E0811">
        <w:rPr>
          <w:rFonts w:ascii="Times New Roman" w:hAnsi="Times New Roman"/>
          <w:sz w:val="24"/>
          <w:szCs w:val="24"/>
        </w:rPr>
        <w:t xml:space="preserve"> contido em lei, fazendo alusão ao princípio da legalidade, que assume total relevância nesta matéria.</w:t>
      </w:r>
    </w:p>
    <w:p w:rsidR="003740A3" w:rsidRPr="000E0811" w:rsidRDefault="00012557" w:rsidP="003740A3">
      <w:pPr>
        <w:spacing w:after="0" w:line="360" w:lineRule="auto"/>
        <w:ind w:firstLine="1134"/>
        <w:jc w:val="both"/>
        <w:rPr>
          <w:rFonts w:ascii="Times New Roman" w:hAnsi="Times New Roman"/>
          <w:sz w:val="24"/>
          <w:szCs w:val="24"/>
        </w:rPr>
      </w:pPr>
      <w:r w:rsidRPr="000E0811">
        <w:rPr>
          <w:rFonts w:ascii="Times New Roman" w:hAnsi="Times New Roman"/>
          <w:sz w:val="24"/>
          <w:szCs w:val="24"/>
        </w:rPr>
        <w:t>Entretanto, além de (re</w:t>
      </w:r>
      <w:proofErr w:type="gramStart"/>
      <w:r w:rsidRPr="000E0811">
        <w:rPr>
          <w:rFonts w:ascii="Times New Roman" w:hAnsi="Times New Roman"/>
          <w:sz w:val="24"/>
          <w:szCs w:val="24"/>
        </w:rPr>
        <w:t>)conhecer</w:t>
      </w:r>
      <w:proofErr w:type="gramEnd"/>
      <w:r w:rsidRPr="000E0811">
        <w:rPr>
          <w:rFonts w:ascii="Times New Roman" w:hAnsi="Times New Roman"/>
          <w:sz w:val="24"/>
          <w:szCs w:val="24"/>
        </w:rPr>
        <w:t xml:space="preserve"> a existência de uma prestação pecuniária devida ao Estado, é necessário saber como se dará esse repasse de dinheiro dos indivíduos aos cofres públicos, ou melhor, o que será levado em consideração para se estipular </w:t>
      </w:r>
      <w:r w:rsidR="004F341B" w:rsidRPr="000E0811">
        <w:rPr>
          <w:rFonts w:ascii="Times New Roman" w:hAnsi="Times New Roman"/>
          <w:sz w:val="24"/>
          <w:szCs w:val="24"/>
        </w:rPr>
        <w:t>as condições para esse repasse.</w:t>
      </w:r>
    </w:p>
    <w:p w:rsidR="003740A3" w:rsidRPr="000E0811" w:rsidRDefault="004F341B" w:rsidP="003740A3">
      <w:pPr>
        <w:spacing w:after="0" w:line="360" w:lineRule="auto"/>
        <w:ind w:firstLine="1134"/>
        <w:jc w:val="both"/>
        <w:rPr>
          <w:rFonts w:ascii="Times New Roman" w:hAnsi="Times New Roman"/>
          <w:sz w:val="24"/>
          <w:szCs w:val="24"/>
        </w:rPr>
      </w:pPr>
      <w:r w:rsidRPr="000E0811">
        <w:rPr>
          <w:rFonts w:ascii="Times New Roman" w:hAnsi="Times New Roman"/>
          <w:sz w:val="24"/>
          <w:szCs w:val="24"/>
        </w:rPr>
        <w:t>Essa indagação se faz relevante, inclusive porque no tanto no texto constitucional quanto na norma infralegal, há a previsão de várias modalidades tributárias, e o contribuinte precisa ter ao menos essa noção das condições que diferem tais modalidades, para que não fique sujeito a cobranças diversas referentes a uma mesma circunstância.</w:t>
      </w:r>
    </w:p>
    <w:p w:rsidR="003740A3" w:rsidRPr="000E0811" w:rsidRDefault="004F341B" w:rsidP="003740A3">
      <w:pPr>
        <w:spacing w:after="0" w:line="360" w:lineRule="auto"/>
        <w:ind w:firstLine="1134"/>
        <w:jc w:val="both"/>
        <w:rPr>
          <w:rFonts w:ascii="Times New Roman" w:hAnsi="Times New Roman"/>
          <w:sz w:val="24"/>
          <w:szCs w:val="24"/>
        </w:rPr>
      </w:pPr>
      <w:r w:rsidRPr="000E0811">
        <w:rPr>
          <w:rFonts w:ascii="Times New Roman" w:hAnsi="Times New Roman"/>
          <w:sz w:val="24"/>
          <w:szCs w:val="24"/>
        </w:rPr>
        <w:t xml:space="preserve">É nesse ponto que a instituição da regra matriz de incidência tributária se faz relevante, uma vez </w:t>
      </w:r>
      <w:r w:rsidR="003740A3" w:rsidRPr="000E0811">
        <w:rPr>
          <w:rFonts w:ascii="Times New Roman" w:hAnsi="Times New Roman"/>
          <w:sz w:val="24"/>
          <w:szCs w:val="24"/>
        </w:rPr>
        <w:t>que é</w:t>
      </w:r>
      <w:r w:rsidRPr="000E0811">
        <w:rPr>
          <w:rFonts w:ascii="Times New Roman" w:hAnsi="Times New Roman"/>
          <w:sz w:val="24"/>
          <w:szCs w:val="24"/>
        </w:rPr>
        <w:t xml:space="preserve"> imposta a todos os gêneros tributários,</w:t>
      </w:r>
      <w:r w:rsidR="00987435" w:rsidRPr="000E0811">
        <w:rPr>
          <w:rFonts w:ascii="Times New Roman" w:hAnsi="Times New Roman"/>
          <w:sz w:val="24"/>
          <w:szCs w:val="24"/>
        </w:rPr>
        <w:t xml:space="preserve"> em igualdade de </w:t>
      </w:r>
      <w:r w:rsidR="00987435" w:rsidRPr="000E0811">
        <w:rPr>
          <w:rFonts w:ascii="Times New Roman" w:hAnsi="Times New Roman"/>
          <w:sz w:val="24"/>
          <w:szCs w:val="24"/>
        </w:rPr>
        <w:lastRenderedPageBreak/>
        <w:t>condições,</w:t>
      </w:r>
      <w:r w:rsidRPr="000E0811">
        <w:rPr>
          <w:rFonts w:ascii="Times New Roman" w:hAnsi="Times New Roman"/>
          <w:sz w:val="24"/>
          <w:szCs w:val="24"/>
        </w:rPr>
        <w:t xml:space="preserve"> contudo</w:t>
      </w:r>
      <w:r w:rsidR="00987435" w:rsidRPr="000E0811">
        <w:rPr>
          <w:rFonts w:ascii="Times New Roman" w:hAnsi="Times New Roman"/>
          <w:sz w:val="24"/>
          <w:szCs w:val="24"/>
        </w:rPr>
        <w:t>,</w:t>
      </w:r>
      <w:r w:rsidRPr="000E0811">
        <w:rPr>
          <w:rFonts w:ascii="Times New Roman" w:hAnsi="Times New Roman"/>
          <w:sz w:val="24"/>
          <w:szCs w:val="24"/>
        </w:rPr>
        <w:t xml:space="preserve"> se diferencia</w:t>
      </w:r>
      <w:r w:rsidR="00987435" w:rsidRPr="000E0811">
        <w:rPr>
          <w:rFonts w:ascii="Times New Roman" w:hAnsi="Times New Roman"/>
          <w:sz w:val="24"/>
          <w:szCs w:val="24"/>
        </w:rPr>
        <w:t xml:space="preserve"> na particularidade de cada modalidade, haja vista que cada um</w:t>
      </w:r>
      <w:r w:rsidR="003740A3" w:rsidRPr="000E0811">
        <w:rPr>
          <w:rFonts w:ascii="Times New Roman" w:hAnsi="Times New Roman"/>
          <w:sz w:val="24"/>
          <w:szCs w:val="24"/>
        </w:rPr>
        <w:t xml:space="preserve"> apresenta suas peculiaridades</w:t>
      </w:r>
      <w:r w:rsidR="00987435" w:rsidRPr="000E0811">
        <w:rPr>
          <w:rFonts w:ascii="Times New Roman" w:hAnsi="Times New Roman"/>
          <w:sz w:val="24"/>
          <w:szCs w:val="24"/>
        </w:rPr>
        <w:t xml:space="preserve"> definidas em lei.</w:t>
      </w:r>
    </w:p>
    <w:p w:rsidR="003740A3" w:rsidRPr="000E0811" w:rsidRDefault="003740A3" w:rsidP="003740A3">
      <w:pPr>
        <w:spacing w:after="0" w:line="360" w:lineRule="auto"/>
        <w:ind w:firstLine="1134"/>
        <w:jc w:val="both"/>
        <w:rPr>
          <w:rFonts w:ascii="Times New Roman" w:hAnsi="Times New Roman"/>
          <w:sz w:val="24"/>
          <w:szCs w:val="24"/>
        </w:rPr>
      </w:pPr>
      <w:r w:rsidRPr="000E0811">
        <w:rPr>
          <w:rFonts w:ascii="Times New Roman" w:hAnsi="Times New Roman"/>
          <w:sz w:val="24"/>
          <w:szCs w:val="24"/>
        </w:rPr>
        <w:t xml:space="preserve">Desta feita, a regra matriz de incidência tributária se caracteriza como uma equação dotada de critérios que devem ser observados para que haja a permissão para a cobrança de determinado tributo, como esclarece Vanessa </w:t>
      </w:r>
      <w:proofErr w:type="spellStart"/>
      <w:r w:rsidRPr="000E0811">
        <w:rPr>
          <w:rFonts w:ascii="Times New Roman" w:hAnsi="Times New Roman"/>
          <w:sz w:val="24"/>
          <w:szCs w:val="24"/>
        </w:rPr>
        <w:t>Pavani</w:t>
      </w:r>
      <w:proofErr w:type="spellEnd"/>
      <w:r w:rsidRPr="000E0811">
        <w:rPr>
          <w:rFonts w:ascii="Times New Roman" w:hAnsi="Times New Roman"/>
          <w:sz w:val="24"/>
          <w:szCs w:val="24"/>
        </w:rPr>
        <w:t xml:space="preserve"> </w:t>
      </w:r>
      <w:r w:rsidR="00ED71F3">
        <w:rPr>
          <w:rFonts w:ascii="Times New Roman" w:hAnsi="Times New Roman"/>
          <w:sz w:val="24"/>
          <w:szCs w:val="24"/>
        </w:rPr>
        <w:t xml:space="preserve">(2011) </w:t>
      </w:r>
      <w:r w:rsidRPr="000E0811">
        <w:rPr>
          <w:rFonts w:ascii="Times New Roman" w:hAnsi="Times New Roman"/>
          <w:sz w:val="24"/>
          <w:szCs w:val="24"/>
        </w:rPr>
        <w:t>dizendo que:</w:t>
      </w:r>
    </w:p>
    <w:p w:rsidR="003740A3" w:rsidRPr="000E0811" w:rsidRDefault="003740A3" w:rsidP="003740A3">
      <w:pPr>
        <w:spacing w:after="0" w:line="240" w:lineRule="auto"/>
        <w:ind w:left="2268"/>
        <w:jc w:val="both"/>
        <w:rPr>
          <w:rFonts w:ascii="Times New Roman" w:hAnsi="Times New Roman"/>
          <w:sz w:val="20"/>
          <w:szCs w:val="20"/>
        </w:rPr>
      </w:pPr>
    </w:p>
    <w:p w:rsidR="003740A3" w:rsidRPr="000E0811" w:rsidRDefault="003740A3" w:rsidP="003740A3">
      <w:pPr>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 xml:space="preserve">Neste enfoque, </w:t>
      </w:r>
      <w:proofErr w:type="spellStart"/>
      <w:r w:rsidRPr="00D37C52">
        <w:rPr>
          <w:rFonts w:ascii="Times New Roman" w:eastAsia="Times New Roman" w:hAnsi="Times New Roman"/>
          <w:sz w:val="20"/>
          <w:szCs w:val="20"/>
          <w:lang w:eastAsia="pt-BR"/>
        </w:rPr>
        <w:t>regra-matriz</w:t>
      </w:r>
      <w:proofErr w:type="spellEnd"/>
      <w:r w:rsidRPr="00D37C52">
        <w:rPr>
          <w:rFonts w:ascii="Times New Roman" w:eastAsia="Times New Roman" w:hAnsi="Times New Roman"/>
          <w:sz w:val="20"/>
          <w:szCs w:val="20"/>
          <w:lang w:eastAsia="pt-BR"/>
        </w:rPr>
        <w:t xml:space="preserve"> de incidência tributária é uma norma jurídica geral e abstrata que descreve: dada 'x' hipótese, deve ser o </w:t>
      </w:r>
      <w:proofErr w:type="spellStart"/>
      <w:r w:rsidRPr="00D37C52">
        <w:rPr>
          <w:rFonts w:ascii="Times New Roman" w:eastAsia="Times New Roman" w:hAnsi="Times New Roman"/>
          <w:sz w:val="20"/>
          <w:szCs w:val="20"/>
          <w:lang w:eastAsia="pt-BR"/>
        </w:rPr>
        <w:t>conseqüente</w:t>
      </w:r>
      <w:proofErr w:type="spellEnd"/>
      <w:r w:rsidRPr="00D37C52">
        <w:rPr>
          <w:rFonts w:ascii="Times New Roman" w:eastAsia="Times New Roman" w:hAnsi="Times New Roman"/>
          <w:sz w:val="20"/>
          <w:szCs w:val="20"/>
          <w:lang w:eastAsia="pt-BR"/>
        </w:rPr>
        <w:t xml:space="preserve"> 'y', dispondo sobre condutas. Tendo por compreendido, pois, o juízo hipotético condicional que prevê um fato social (relativo à incidência) e liga a ele uma </w:t>
      </w:r>
      <w:proofErr w:type="spellStart"/>
      <w:r w:rsidRPr="00D37C52">
        <w:rPr>
          <w:rFonts w:ascii="Times New Roman" w:eastAsia="Times New Roman" w:hAnsi="Times New Roman"/>
          <w:sz w:val="20"/>
          <w:szCs w:val="20"/>
          <w:lang w:eastAsia="pt-BR"/>
        </w:rPr>
        <w:t>conseqüência</w:t>
      </w:r>
      <w:proofErr w:type="spellEnd"/>
      <w:r w:rsidRPr="00D37C52">
        <w:rPr>
          <w:rFonts w:ascii="Times New Roman" w:eastAsia="Times New Roman" w:hAnsi="Times New Roman"/>
          <w:sz w:val="20"/>
          <w:szCs w:val="20"/>
          <w:lang w:eastAsia="pt-BR"/>
        </w:rPr>
        <w:t xml:space="preserve"> (nascimento da relação jurídica tributária), como norma jurídica.</w:t>
      </w:r>
      <w:r w:rsidRPr="000E0811">
        <w:rPr>
          <w:rFonts w:ascii="Times New Roman" w:eastAsia="Times New Roman" w:hAnsi="Times New Roman"/>
          <w:sz w:val="20"/>
          <w:szCs w:val="20"/>
          <w:lang w:eastAsia="pt-BR"/>
        </w:rPr>
        <w:t xml:space="preserve"> (PAVANI, 2011).</w:t>
      </w:r>
    </w:p>
    <w:p w:rsidR="003740A3" w:rsidRPr="000E0811" w:rsidRDefault="003740A3" w:rsidP="00E13A40">
      <w:pPr>
        <w:spacing w:after="0" w:line="360" w:lineRule="auto"/>
        <w:jc w:val="both"/>
        <w:rPr>
          <w:rFonts w:ascii="Times New Roman" w:eastAsia="Times New Roman" w:hAnsi="Times New Roman"/>
          <w:sz w:val="24"/>
          <w:szCs w:val="24"/>
          <w:lang w:eastAsia="pt-BR"/>
        </w:rPr>
      </w:pPr>
    </w:p>
    <w:p w:rsidR="003740A3" w:rsidRPr="000E0811" w:rsidRDefault="003740A3" w:rsidP="003740A3">
      <w:pPr>
        <w:spacing w:after="0" w:line="360" w:lineRule="auto"/>
        <w:ind w:firstLine="1134"/>
        <w:jc w:val="both"/>
        <w:rPr>
          <w:rFonts w:ascii="Times New Roman" w:eastAsia="Times New Roman" w:hAnsi="Times New Roman"/>
          <w:sz w:val="24"/>
          <w:szCs w:val="24"/>
          <w:lang w:eastAsia="pt-BR"/>
        </w:rPr>
      </w:pPr>
      <w:r w:rsidRPr="000E0811">
        <w:rPr>
          <w:rFonts w:ascii="Times New Roman" w:eastAsia="Times New Roman" w:hAnsi="Times New Roman"/>
          <w:sz w:val="24"/>
          <w:szCs w:val="24"/>
          <w:lang w:eastAsia="pt-BR"/>
        </w:rPr>
        <w:t>Em outras palavras, a regra matriz é uma norma que interliga os extremos entre o fato que enseja a cobrança do tributo e o momento de sua exigência ao contribuinte, e esse caminho deverá ser realizado com a observância de determinados critérios para que não incorra em irregularidades.</w:t>
      </w:r>
    </w:p>
    <w:p w:rsidR="003740A3" w:rsidRPr="000E0811" w:rsidRDefault="003740A3" w:rsidP="003740A3">
      <w:pPr>
        <w:spacing w:after="0" w:line="360" w:lineRule="auto"/>
        <w:ind w:firstLine="1134"/>
        <w:jc w:val="both"/>
        <w:rPr>
          <w:rFonts w:ascii="Times New Roman" w:eastAsia="Times New Roman" w:hAnsi="Times New Roman"/>
          <w:sz w:val="24"/>
          <w:szCs w:val="24"/>
          <w:lang w:eastAsia="pt-BR"/>
        </w:rPr>
      </w:pPr>
      <w:r w:rsidRPr="000E0811">
        <w:rPr>
          <w:rFonts w:ascii="Times New Roman" w:hAnsi="Times New Roman"/>
          <w:sz w:val="24"/>
          <w:szCs w:val="24"/>
        </w:rPr>
        <w:t xml:space="preserve">Neste ponto, </w:t>
      </w:r>
      <w:proofErr w:type="gramStart"/>
      <w:r w:rsidRPr="000E0811">
        <w:rPr>
          <w:rFonts w:ascii="Times New Roman" w:hAnsi="Times New Roman"/>
          <w:sz w:val="24"/>
          <w:szCs w:val="24"/>
        </w:rPr>
        <w:t>cumpre</w:t>
      </w:r>
      <w:proofErr w:type="gramEnd"/>
      <w:r w:rsidRPr="000E0811">
        <w:rPr>
          <w:rFonts w:ascii="Times New Roman" w:hAnsi="Times New Roman"/>
          <w:sz w:val="24"/>
          <w:szCs w:val="24"/>
        </w:rPr>
        <w:t xml:space="preserve"> mencionar os critérios constituintes da regra matriz de incidência tributária, reconhecidos pela doutrina e jurisprudência pátria, quais sejam, os critérios material, temporal, espacial, pessoal e quantitativo (PAVANI, 2011).</w:t>
      </w:r>
    </w:p>
    <w:p w:rsidR="003740A3" w:rsidRPr="000E0811" w:rsidRDefault="003740A3" w:rsidP="003740A3">
      <w:pPr>
        <w:spacing w:after="0" w:line="360" w:lineRule="auto"/>
        <w:ind w:firstLine="1134"/>
        <w:jc w:val="both"/>
        <w:rPr>
          <w:rFonts w:ascii="Times New Roman" w:eastAsia="Times New Roman" w:hAnsi="Times New Roman"/>
          <w:sz w:val="24"/>
          <w:szCs w:val="24"/>
          <w:lang w:eastAsia="pt-BR"/>
        </w:rPr>
      </w:pPr>
      <w:r w:rsidRPr="000E0811">
        <w:rPr>
          <w:rFonts w:ascii="Times New Roman" w:hAnsi="Times New Roman"/>
          <w:sz w:val="24"/>
          <w:szCs w:val="24"/>
        </w:rPr>
        <w:t>A compreensão dos moldes impostos pela regra matriz exige o conhecimento e detalhamento de cada um desses critérios, para que se possa entender de que modo tal instituto exerce influência para a instituição de cada modalidade tributária.</w:t>
      </w:r>
    </w:p>
    <w:p w:rsidR="003740A3" w:rsidRPr="000E0811" w:rsidRDefault="003740A3" w:rsidP="00E13A40">
      <w:pPr>
        <w:spacing w:after="0" w:line="360" w:lineRule="auto"/>
        <w:jc w:val="both"/>
        <w:rPr>
          <w:rFonts w:ascii="Times New Roman" w:hAnsi="Times New Roman"/>
          <w:sz w:val="24"/>
          <w:szCs w:val="24"/>
        </w:rPr>
      </w:pPr>
      <w:r w:rsidRPr="000E0811">
        <w:rPr>
          <w:rFonts w:ascii="Times New Roman" w:hAnsi="Times New Roman"/>
          <w:sz w:val="24"/>
          <w:szCs w:val="24"/>
        </w:rPr>
        <w:t xml:space="preserve">Seguindo a ordem </w:t>
      </w:r>
      <w:proofErr w:type="gramStart"/>
      <w:r w:rsidRPr="000E0811">
        <w:rPr>
          <w:rFonts w:ascii="Times New Roman" w:hAnsi="Times New Roman"/>
          <w:sz w:val="24"/>
          <w:szCs w:val="24"/>
        </w:rPr>
        <w:t>supra citada</w:t>
      </w:r>
      <w:proofErr w:type="gramEnd"/>
      <w:r w:rsidRPr="000E0811">
        <w:rPr>
          <w:rFonts w:ascii="Times New Roman" w:hAnsi="Times New Roman"/>
          <w:sz w:val="24"/>
          <w:szCs w:val="24"/>
        </w:rPr>
        <w:t>, inicia-se a análise do critério material, sendo este caracterizado por</w:t>
      </w:r>
      <w:r w:rsidR="00165D29">
        <w:rPr>
          <w:rFonts w:ascii="Times New Roman" w:hAnsi="Times New Roman"/>
          <w:sz w:val="24"/>
          <w:szCs w:val="24"/>
        </w:rPr>
        <w:t xml:space="preserve"> expressar a conduta sobre a qual recairá a cobrança do tributo, ou seja, corresponde ao verbo e ao complemento </w:t>
      </w:r>
      <w:r w:rsidR="000E760D">
        <w:rPr>
          <w:rFonts w:ascii="Times New Roman" w:hAnsi="Times New Roman"/>
          <w:sz w:val="24"/>
          <w:szCs w:val="24"/>
        </w:rPr>
        <w:t xml:space="preserve">da expressão que conceitua determinado tributo, como bem explica Vanessa </w:t>
      </w:r>
      <w:proofErr w:type="spellStart"/>
      <w:r w:rsidR="000E760D">
        <w:rPr>
          <w:rFonts w:ascii="Times New Roman" w:hAnsi="Times New Roman"/>
          <w:sz w:val="24"/>
          <w:szCs w:val="24"/>
        </w:rPr>
        <w:t>Pavani</w:t>
      </w:r>
      <w:proofErr w:type="spellEnd"/>
      <w:r w:rsidR="000E760D">
        <w:rPr>
          <w:rFonts w:ascii="Times New Roman" w:hAnsi="Times New Roman"/>
          <w:sz w:val="24"/>
          <w:szCs w:val="24"/>
        </w:rPr>
        <w:t xml:space="preserve"> (2011) ao dizer que:</w:t>
      </w:r>
    </w:p>
    <w:p w:rsidR="003740A3" w:rsidRPr="000E0811" w:rsidRDefault="003740A3" w:rsidP="005739B6">
      <w:pPr>
        <w:spacing w:after="0" w:line="240" w:lineRule="auto"/>
        <w:ind w:left="2268"/>
        <w:jc w:val="both"/>
        <w:rPr>
          <w:rFonts w:ascii="Times New Roman" w:hAnsi="Times New Roman"/>
          <w:sz w:val="24"/>
          <w:szCs w:val="24"/>
        </w:rPr>
      </w:pPr>
    </w:p>
    <w:p w:rsidR="000E760D" w:rsidRPr="00D37C52" w:rsidRDefault="000E760D" w:rsidP="005739B6">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 xml:space="preserve">a) critério material: é a própria essencialidade do fato descrito na hipótese de incidência. É o verbo e seu complemento que delimita qual ação (vender mercadoria, auferir renda etc.) ou estado (ser proprietário etc.) será exigida para que haja </w:t>
      </w:r>
      <w:r>
        <w:rPr>
          <w:rFonts w:ascii="Times New Roman" w:eastAsia="Times New Roman" w:hAnsi="Times New Roman"/>
          <w:sz w:val="20"/>
          <w:szCs w:val="20"/>
          <w:lang w:eastAsia="pt-BR"/>
        </w:rPr>
        <w:t>a incidência tributária. (PAVANI, 2011).</w:t>
      </w:r>
    </w:p>
    <w:p w:rsidR="00012557" w:rsidRPr="000E0811" w:rsidRDefault="00012557" w:rsidP="00E13A40">
      <w:pPr>
        <w:spacing w:after="0" w:line="360" w:lineRule="auto"/>
        <w:jc w:val="both"/>
        <w:rPr>
          <w:rFonts w:ascii="Times New Roman" w:hAnsi="Times New Roman"/>
          <w:sz w:val="24"/>
          <w:szCs w:val="24"/>
        </w:rPr>
      </w:pPr>
    </w:p>
    <w:p w:rsidR="005739B6" w:rsidRDefault="000E760D" w:rsidP="005739B6">
      <w:pPr>
        <w:spacing w:after="0" w:line="360" w:lineRule="auto"/>
        <w:ind w:firstLine="1134"/>
        <w:jc w:val="both"/>
        <w:rPr>
          <w:rFonts w:ascii="Times New Roman" w:hAnsi="Times New Roman"/>
          <w:sz w:val="24"/>
          <w:szCs w:val="24"/>
        </w:rPr>
      </w:pPr>
      <w:r>
        <w:rPr>
          <w:rFonts w:ascii="Times New Roman" w:hAnsi="Times New Roman"/>
          <w:sz w:val="24"/>
          <w:szCs w:val="24"/>
        </w:rPr>
        <w:t>Ou seja, o critério material se consubstancia na ação que se depreende da descrição dos tributos, como por exemplo, na hipótese do Imposto de Renda que tem como mandamento a ação de “auferir renda”, esta é, portanto, a oração que estabelece a essência do imposto, apresentando seu verbo e seu complemento.</w:t>
      </w:r>
    </w:p>
    <w:p w:rsidR="000E760D" w:rsidRDefault="000E760D" w:rsidP="005739B6">
      <w:pPr>
        <w:spacing w:after="0" w:line="360" w:lineRule="auto"/>
        <w:ind w:firstLine="1134"/>
        <w:jc w:val="both"/>
        <w:rPr>
          <w:rFonts w:ascii="Times New Roman" w:hAnsi="Times New Roman"/>
          <w:sz w:val="24"/>
          <w:szCs w:val="24"/>
        </w:rPr>
      </w:pPr>
      <w:r>
        <w:rPr>
          <w:rFonts w:ascii="Times New Roman" w:hAnsi="Times New Roman"/>
          <w:sz w:val="24"/>
          <w:szCs w:val="24"/>
        </w:rPr>
        <w:t xml:space="preserve">Já no que diz respeito ao critério temporal, como o próprio nome sugere, este delimita o “quando” da exigência de determinado tributo, ou seja, este critério é </w:t>
      </w:r>
      <w:r>
        <w:rPr>
          <w:rFonts w:ascii="Times New Roman" w:hAnsi="Times New Roman"/>
          <w:sz w:val="24"/>
          <w:szCs w:val="24"/>
        </w:rPr>
        <w:lastRenderedPageBreak/>
        <w:t xml:space="preserve">responsável por indicar o momento em que deverá ser cobrado </w:t>
      </w:r>
      <w:r w:rsidR="005739B6">
        <w:rPr>
          <w:rFonts w:ascii="Times New Roman" w:hAnsi="Times New Roman"/>
          <w:sz w:val="24"/>
          <w:szCs w:val="24"/>
        </w:rPr>
        <w:t xml:space="preserve">o valor correspondente à estipulação de determinado tributo. Quanto a isso, Vanessa </w:t>
      </w:r>
      <w:proofErr w:type="spellStart"/>
      <w:r w:rsidR="005739B6">
        <w:rPr>
          <w:rFonts w:ascii="Times New Roman" w:hAnsi="Times New Roman"/>
          <w:sz w:val="24"/>
          <w:szCs w:val="24"/>
        </w:rPr>
        <w:t>Pavani</w:t>
      </w:r>
      <w:proofErr w:type="spellEnd"/>
      <w:r w:rsidR="005739B6">
        <w:rPr>
          <w:rFonts w:ascii="Times New Roman" w:hAnsi="Times New Roman"/>
          <w:sz w:val="24"/>
          <w:szCs w:val="24"/>
        </w:rPr>
        <w:t xml:space="preserve"> (2011) também se posiciona ao dizer que:</w:t>
      </w:r>
    </w:p>
    <w:p w:rsidR="005739B6" w:rsidRDefault="005739B6" w:rsidP="005739B6">
      <w:pPr>
        <w:spacing w:after="0" w:line="240" w:lineRule="auto"/>
        <w:jc w:val="both"/>
        <w:rPr>
          <w:rFonts w:ascii="Times New Roman" w:hAnsi="Times New Roman"/>
          <w:sz w:val="24"/>
          <w:szCs w:val="24"/>
        </w:rPr>
      </w:pPr>
    </w:p>
    <w:p w:rsidR="005739B6" w:rsidRPr="00D37C52" w:rsidRDefault="005739B6" w:rsidP="005739B6">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b)</w:t>
      </w:r>
      <w:r w:rsidRPr="00E71649">
        <w:rPr>
          <w:rFonts w:ascii="Times New Roman" w:eastAsia="Times New Roman" w:hAnsi="Times New Roman"/>
          <w:sz w:val="20"/>
          <w:szCs w:val="20"/>
          <w:lang w:eastAsia="pt-BR"/>
        </w:rPr>
        <w:t xml:space="preserve"> </w:t>
      </w:r>
      <w:r w:rsidRPr="00D37C52">
        <w:rPr>
          <w:rFonts w:ascii="Times New Roman" w:eastAsia="Times New Roman" w:hAnsi="Times New Roman"/>
          <w:sz w:val="20"/>
          <w:szCs w:val="20"/>
          <w:lang w:eastAsia="pt-BR"/>
        </w:rPr>
        <w:t xml:space="preserve">critério temporal: indica o exato momento em que o fato imponível ocorre. Opostamente, a vigência da lei no tempo tem referência com a unidade de tempo em que é possível a </w:t>
      </w:r>
      <w:r>
        <w:rPr>
          <w:rFonts w:ascii="Times New Roman" w:eastAsia="Times New Roman" w:hAnsi="Times New Roman"/>
          <w:sz w:val="20"/>
          <w:szCs w:val="20"/>
          <w:lang w:eastAsia="pt-BR"/>
        </w:rPr>
        <w:t>propagação dos efeitos da norma. (PAVANI, 2011).</w:t>
      </w:r>
    </w:p>
    <w:p w:rsidR="005739B6" w:rsidRDefault="005739B6" w:rsidP="00E13A40">
      <w:pPr>
        <w:spacing w:after="0" w:line="360" w:lineRule="auto"/>
        <w:jc w:val="both"/>
        <w:rPr>
          <w:rFonts w:ascii="Times New Roman" w:hAnsi="Times New Roman"/>
          <w:sz w:val="24"/>
          <w:szCs w:val="24"/>
        </w:rPr>
      </w:pPr>
    </w:p>
    <w:p w:rsidR="00147204" w:rsidRDefault="005739B6" w:rsidP="00147204">
      <w:pPr>
        <w:spacing w:after="0" w:line="360" w:lineRule="auto"/>
        <w:ind w:firstLine="1134"/>
        <w:jc w:val="both"/>
        <w:rPr>
          <w:rFonts w:ascii="Times New Roman" w:hAnsi="Times New Roman"/>
          <w:sz w:val="24"/>
          <w:szCs w:val="24"/>
        </w:rPr>
      </w:pPr>
      <w:r>
        <w:rPr>
          <w:rFonts w:ascii="Times New Roman" w:hAnsi="Times New Roman"/>
          <w:sz w:val="24"/>
          <w:szCs w:val="24"/>
        </w:rPr>
        <w:t>Sendo assim, é possível compreender que o critério temporal se refere à data que a norma tributária estipula para a exigência do tributo.</w:t>
      </w:r>
    </w:p>
    <w:p w:rsidR="005739B6" w:rsidRDefault="005739B6" w:rsidP="00147204">
      <w:pPr>
        <w:spacing w:after="0" w:line="360" w:lineRule="auto"/>
        <w:ind w:firstLine="1134"/>
        <w:jc w:val="both"/>
        <w:rPr>
          <w:rFonts w:ascii="Times New Roman" w:hAnsi="Times New Roman"/>
          <w:sz w:val="24"/>
          <w:szCs w:val="24"/>
        </w:rPr>
      </w:pPr>
      <w:r>
        <w:rPr>
          <w:rFonts w:ascii="Times New Roman" w:hAnsi="Times New Roman"/>
          <w:sz w:val="24"/>
          <w:szCs w:val="24"/>
        </w:rPr>
        <w:t xml:space="preserve">Passando agora para a análise do critério espacial, é possível dizer que este corresponde à indicação da localização </w:t>
      </w:r>
      <w:r w:rsidR="00147204">
        <w:rPr>
          <w:rFonts w:ascii="Times New Roman" w:hAnsi="Times New Roman"/>
          <w:sz w:val="24"/>
          <w:szCs w:val="24"/>
        </w:rPr>
        <w:t xml:space="preserve">onde ocorrerá a incidência do tributo, ou seja, é a delimitação espacial, contida na norma tributária, que será abarcada pela cobrança de um determinado tributo, como também se manifesta Vanessa </w:t>
      </w:r>
      <w:proofErr w:type="spellStart"/>
      <w:r w:rsidR="00147204">
        <w:rPr>
          <w:rFonts w:ascii="Times New Roman" w:hAnsi="Times New Roman"/>
          <w:sz w:val="24"/>
          <w:szCs w:val="24"/>
        </w:rPr>
        <w:t>Pavani</w:t>
      </w:r>
      <w:proofErr w:type="spellEnd"/>
      <w:r w:rsidR="00147204">
        <w:rPr>
          <w:rFonts w:ascii="Times New Roman" w:hAnsi="Times New Roman"/>
          <w:sz w:val="24"/>
          <w:szCs w:val="24"/>
        </w:rPr>
        <w:t xml:space="preserve"> (2011):</w:t>
      </w:r>
    </w:p>
    <w:p w:rsidR="000E760D" w:rsidRDefault="000E760D" w:rsidP="00BD4190">
      <w:pPr>
        <w:spacing w:after="0" w:line="240" w:lineRule="auto"/>
        <w:ind w:left="2268"/>
        <w:jc w:val="both"/>
        <w:rPr>
          <w:rFonts w:ascii="Times New Roman" w:hAnsi="Times New Roman"/>
          <w:sz w:val="24"/>
          <w:szCs w:val="24"/>
        </w:rPr>
      </w:pPr>
    </w:p>
    <w:p w:rsidR="00147204" w:rsidRPr="00E71649" w:rsidRDefault="00147204" w:rsidP="00BD4190">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c) critério espacial: é o espaço físico em que a relação jurídica pode passar a existir. Diversamente, a vigência territorial reflete a repartição de competência tributária, e, logo, ao âmbito de validade da norma jurídica.</w:t>
      </w:r>
      <w:r>
        <w:rPr>
          <w:rFonts w:ascii="Times New Roman" w:eastAsia="Times New Roman" w:hAnsi="Times New Roman"/>
          <w:sz w:val="20"/>
          <w:szCs w:val="20"/>
          <w:lang w:eastAsia="pt-BR"/>
        </w:rPr>
        <w:t xml:space="preserve"> (PAVANI, 2011).</w:t>
      </w:r>
    </w:p>
    <w:p w:rsidR="000E760D" w:rsidRDefault="000E760D" w:rsidP="00E13A40">
      <w:pPr>
        <w:spacing w:after="0" w:line="360" w:lineRule="auto"/>
        <w:jc w:val="both"/>
        <w:rPr>
          <w:rFonts w:ascii="Times New Roman" w:hAnsi="Times New Roman"/>
          <w:sz w:val="24"/>
          <w:szCs w:val="24"/>
        </w:rPr>
      </w:pPr>
    </w:p>
    <w:p w:rsidR="00DB750A" w:rsidRDefault="00147204" w:rsidP="00DB750A">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partir deste ponto da análise da equação que define a regra matriz de incidência tributária, segundo a doutrina de Paulo de Barros, a instituição desses três critérios </w:t>
      </w:r>
      <w:proofErr w:type="gramStart"/>
      <w:r>
        <w:rPr>
          <w:rFonts w:ascii="Times New Roman" w:hAnsi="Times New Roman"/>
          <w:sz w:val="24"/>
          <w:szCs w:val="24"/>
        </w:rPr>
        <w:t>supra mencionados</w:t>
      </w:r>
      <w:proofErr w:type="gramEnd"/>
      <w:r>
        <w:rPr>
          <w:rFonts w:ascii="Times New Roman" w:hAnsi="Times New Roman"/>
          <w:sz w:val="24"/>
          <w:szCs w:val="24"/>
        </w:rPr>
        <w:t xml:space="preserve"> se relacionam com a configura</w:t>
      </w:r>
      <w:r w:rsidR="00BD4190">
        <w:rPr>
          <w:rFonts w:ascii="Times New Roman" w:hAnsi="Times New Roman"/>
          <w:sz w:val="24"/>
          <w:szCs w:val="24"/>
        </w:rPr>
        <w:t>ção do fato jurídico tributável, indicando “o que”, “quando” e “onde” este irá ocorrer. E tendo por base essas considerações, pode-se chegar ao outro extremo da relação, onde serão designados os critérios pessoal e quantitativo, e ao todo, restará estabelecida a relação jurídica tributária que ensejará a exigência do tributo.</w:t>
      </w:r>
    </w:p>
    <w:p w:rsidR="00BD4190" w:rsidRDefault="00BD4190" w:rsidP="00DB750A">
      <w:pPr>
        <w:spacing w:after="0" w:line="360" w:lineRule="auto"/>
        <w:ind w:firstLine="1134"/>
        <w:jc w:val="both"/>
        <w:rPr>
          <w:rFonts w:ascii="Times New Roman" w:hAnsi="Times New Roman"/>
          <w:sz w:val="24"/>
          <w:szCs w:val="24"/>
        </w:rPr>
      </w:pPr>
      <w:r>
        <w:rPr>
          <w:rFonts w:ascii="Times New Roman" w:hAnsi="Times New Roman"/>
          <w:sz w:val="24"/>
          <w:szCs w:val="24"/>
        </w:rPr>
        <w:t xml:space="preserve">Sendo assim, cabe agora </w:t>
      </w:r>
      <w:proofErr w:type="gramStart"/>
      <w:r>
        <w:rPr>
          <w:rFonts w:ascii="Times New Roman" w:hAnsi="Times New Roman"/>
          <w:sz w:val="24"/>
          <w:szCs w:val="24"/>
        </w:rPr>
        <w:t>a</w:t>
      </w:r>
      <w:proofErr w:type="gramEnd"/>
      <w:r>
        <w:rPr>
          <w:rFonts w:ascii="Times New Roman" w:hAnsi="Times New Roman"/>
          <w:sz w:val="24"/>
          <w:szCs w:val="24"/>
        </w:rPr>
        <w:t xml:space="preserve"> análise do critério pessoal, que basicamente, indica </w:t>
      </w:r>
      <w:r w:rsidR="00DB750A">
        <w:rPr>
          <w:rFonts w:ascii="Times New Roman" w:hAnsi="Times New Roman"/>
          <w:sz w:val="24"/>
          <w:szCs w:val="24"/>
        </w:rPr>
        <w:t>os personagens que irão compor a relação jurídica, em outras palavras, é o elemento que interliga o sujeito ativo e o sujeito passivo da obrigação tributária, como segue:</w:t>
      </w:r>
    </w:p>
    <w:p w:rsidR="000E760D" w:rsidRDefault="000E760D" w:rsidP="00DB750A">
      <w:pPr>
        <w:spacing w:after="0" w:line="240" w:lineRule="auto"/>
        <w:ind w:left="2268"/>
        <w:jc w:val="both"/>
        <w:rPr>
          <w:rFonts w:ascii="Times New Roman" w:hAnsi="Times New Roman"/>
          <w:sz w:val="24"/>
          <w:szCs w:val="24"/>
        </w:rPr>
      </w:pPr>
    </w:p>
    <w:p w:rsidR="00DB750A" w:rsidRPr="00D37C52" w:rsidRDefault="00DB750A" w:rsidP="00DB750A">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a)</w:t>
      </w:r>
      <w:r w:rsidRPr="00E71649">
        <w:rPr>
          <w:rFonts w:ascii="Times New Roman" w:eastAsia="Times New Roman" w:hAnsi="Times New Roman"/>
          <w:sz w:val="20"/>
          <w:szCs w:val="20"/>
          <w:lang w:eastAsia="pt-BR"/>
        </w:rPr>
        <w:t xml:space="preserve"> </w:t>
      </w:r>
      <w:r w:rsidRPr="00D37C52">
        <w:rPr>
          <w:rFonts w:ascii="Times New Roman" w:eastAsia="Times New Roman" w:hAnsi="Times New Roman"/>
          <w:sz w:val="20"/>
          <w:szCs w:val="20"/>
          <w:lang w:eastAsia="pt-BR"/>
        </w:rPr>
        <w:t xml:space="preserve">critério pessoal: relaciona o sujeito passivo e o ativo da obrigação tributária, considerando o primeiro como o realizador do fato imponível, ou que tenha alguma ligação, e o segundo sendo aquele apto juridicamente a figurar como </w:t>
      </w:r>
      <w:proofErr w:type="spellStart"/>
      <w:r>
        <w:rPr>
          <w:rFonts w:ascii="Times New Roman" w:eastAsia="Times New Roman" w:hAnsi="Times New Roman"/>
          <w:sz w:val="20"/>
          <w:szCs w:val="20"/>
          <w:lang w:eastAsia="pt-BR"/>
        </w:rPr>
        <w:t>pretensor</w:t>
      </w:r>
      <w:proofErr w:type="spellEnd"/>
      <w:r>
        <w:rPr>
          <w:rFonts w:ascii="Times New Roman" w:eastAsia="Times New Roman" w:hAnsi="Times New Roman"/>
          <w:sz w:val="20"/>
          <w:szCs w:val="20"/>
          <w:lang w:eastAsia="pt-BR"/>
        </w:rPr>
        <w:t xml:space="preserve"> do crédito tributário. (PAVANI, 2011).</w:t>
      </w:r>
    </w:p>
    <w:p w:rsidR="00DB750A" w:rsidRDefault="00DB750A" w:rsidP="00E13A40">
      <w:pPr>
        <w:spacing w:after="0" w:line="360" w:lineRule="auto"/>
        <w:jc w:val="both"/>
        <w:rPr>
          <w:rFonts w:ascii="Times New Roman" w:hAnsi="Times New Roman"/>
          <w:sz w:val="24"/>
          <w:szCs w:val="24"/>
        </w:rPr>
      </w:pPr>
    </w:p>
    <w:p w:rsidR="00ED71F3" w:rsidRDefault="00DB750A" w:rsidP="00A33F97">
      <w:pPr>
        <w:spacing w:after="0" w:line="360" w:lineRule="auto"/>
        <w:ind w:firstLine="1134"/>
        <w:jc w:val="both"/>
        <w:rPr>
          <w:rFonts w:ascii="Times New Roman" w:hAnsi="Times New Roman"/>
          <w:sz w:val="24"/>
          <w:szCs w:val="24"/>
        </w:rPr>
      </w:pPr>
      <w:r>
        <w:rPr>
          <w:rFonts w:ascii="Times New Roman" w:hAnsi="Times New Roman"/>
          <w:sz w:val="24"/>
          <w:szCs w:val="24"/>
        </w:rPr>
        <w:t>E por fim, no que toca ao critério quantitativo, conforme o nome sugere,</w:t>
      </w:r>
      <w:r w:rsidR="00ED71F3">
        <w:rPr>
          <w:rFonts w:ascii="Times New Roman" w:hAnsi="Times New Roman"/>
          <w:sz w:val="24"/>
          <w:szCs w:val="24"/>
        </w:rPr>
        <w:t xml:space="preserve"> este</w:t>
      </w:r>
      <w:r>
        <w:rPr>
          <w:rFonts w:ascii="Times New Roman" w:hAnsi="Times New Roman"/>
          <w:sz w:val="24"/>
          <w:szCs w:val="24"/>
        </w:rPr>
        <w:t xml:space="preserve"> </w:t>
      </w:r>
      <w:r w:rsidR="00ED71F3">
        <w:rPr>
          <w:rFonts w:ascii="Times New Roman" w:hAnsi="Times New Roman"/>
          <w:sz w:val="24"/>
          <w:szCs w:val="24"/>
        </w:rPr>
        <w:t xml:space="preserve">é responsável por traduzir a regra matriz, a partir de seus critérios anteriores, para </w:t>
      </w:r>
      <w:r w:rsidR="00ED71F3">
        <w:rPr>
          <w:rFonts w:ascii="Times New Roman" w:hAnsi="Times New Roman"/>
          <w:sz w:val="24"/>
          <w:szCs w:val="24"/>
        </w:rPr>
        <w:lastRenderedPageBreak/>
        <w:t>quantificar o valor correspondente ao tributo que será exigido. Para tanto, tal critério se ramifica entre base de cálculo e alíquota, que são elementos necessários para calcular o valor que deverá ser cobrado.</w:t>
      </w:r>
      <w:r w:rsidR="00C279DB">
        <w:rPr>
          <w:rFonts w:ascii="Times New Roman" w:hAnsi="Times New Roman"/>
          <w:sz w:val="24"/>
          <w:szCs w:val="24"/>
        </w:rPr>
        <w:t xml:space="preserve"> Quanto a isso, vale a leitura:</w:t>
      </w:r>
    </w:p>
    <w:p w:rsidR="000E760D" w:rsidRPr="000E0811" w:rsidRDefault="000E760D" w:rsidP="00C279DB">
      <w:pPr>
        <w:spacing w:after="0" w:line="240" w:lineRule="auto"/>
        <w:ind w:left="2268"/>
        <w:jc w:val="both"/>
        <w:rPr>
          <w:rFonts w:ascii="Times New Roman" w:hAnsi="Times New Roman"/>
          <w:sz w:val="24"/>
          <w:szCs w:val="24"/>
        </w:rPr>
      </w:pPr>
    </w:p>
    <w:p w:rsidR="003740A3" w:rsidRPr="000E0811" w:rsidRDefault="008A294D" w:rsidP="00C279DB">
      <w:pPr>
        <w:shd w:val="clear" w:color="auto" w:fill="FFFFFF"/>
        <w:spacing w:after="0" w:line="240" w:lineRule="auto"/>
        <w:ind w:left="2268"/>
        <w:jc w:val="both"/>
        <w:rPr>
          <w:rFonts w:ascii="Times New Roman" w:eastAsia="Times New Roman" w:hAnsi="Times New Roman"/>
          <w:sz w:val="24"/>
          <w:szCs w:val="24"/>
          <w:lang w:eastAsia="pt-BR"/>
        </w:rPr>
      </w:pPr>
      <w:r w:rsidRPr="00D37C52">
        <w:rPr>
          <w:rFonts w:ascii="Times New Roman" w:eastAsia="Times New Roman" w:hAnsi="Times New Roman"/>
          <w:sz w:val="20"/>
          <w:szCs w:val="20"/>
          <w:lang w:eastAsia="pt-BR"/>
        </w:rPr>
        <w:t>b)</w:t>
      </w:r>
      <w:r w:rsidRPr="00E71649">
        <w:rPr>
          <w:rFonts w:ascii="Times New Roman" w:eastAsia="Times New Roman" w:hAnsi="Times New Roman"/>
          <w:sz w:val="20"/>
          <w:szCs w:val="20"/>
          <w:lang w:eastAsia="pt-BR"/>
        </w:rPr>
        <w:t xml:space="preserve"> </w:t>
      </w:r>
      <w:r w:rsidRPr="00D37C52">
        <w:rPr>
          <w:rFonts w:ascii="Times New Roman" w:eastAsia="Times New Roman" w:hAnsi="Times New Roman"/>
          <w:sz w:val="20"/>
          <w:szCs w:val="20"/>
          <w:lang w:eastAsia="pt-BR"/>
        </w:rPr>
        <w:t xml:space="preserve">critério quantitativo: manifestação do artigo 3º do CTN, asseverando que a norma jurídica tributária deve, além de prever o verbo e o complemento (ou seja, a materialidade da hipótese), o momento que surge a obrigação, o local, e os sujeitos, expressar os parâmetros necessários para a aferição do valor que refletirá o conteúdo da prestação pecuniária, quais sejam, a base de cálculo e a alíquota. </w:t>
      </w:r>
      <w:r w:rsidRPr="00D37C52">
        <w:rPr>
          <w:rFonts w:ascii="Times New Roman" w:eastAsia="Times New Roman" w:hAnsi="Times New Roman"/>
          <w:b/>
          <w:sz w:val="20"/>
          <w:szCs w:val="20"/>
          <w:lang w:eastAsia="pt-BR"/>
        </w:rPr>
        <w:t>A base de calculo</w:t>
      </w:r>
      <w:r w:rsidRPr="00D37C52">
        <w:rPr>
          <w:rFonts w:ascii="Times New Roman" w:eastAsia="Times New Roman" w:hAnsi="Times New Roman"/>
          <w:sz w:val="20"/>
          <w:szCs w:val="20"/>
          <w:lang w:eastAsia="pt-BR"/>
        </w:rPr>
        <w:t xml:space="preserve"> é a grandeza utilizada para mensurar a materialidade. Já,</w:t>
      </w:r>
      <w:r w:rsidRPr="00D37C52">
        <w:rPr>
          <w:rFonts w:ascii="Times New Roman" w:eastAsia="Times New Roman" w:hAnsi="Times New Roman"/>
          <w:b/>
          <w:sz w:val="20"/>
          <w:szCs w:val="20"/>
          <w:lang w:eastAsia="pt-BR"/>
        </w:rPr>
        <w:t xml:space="preserve"> a alíquota</w:t>
      </w:r>
      <w:r w:rsidRPr="00D37C52">
        <w:rPr>
          <w:rFonts w:ascii="Times New Roman" w:eastAsia="Times New Roman" w:hAnsi="Times New Roman"/>
          <w:sz w:val="20"/>
          <w:szCs w:val="20"/>
          <w:lang w:eastAsia="pt-BR"/>
        </w:rPr>
        <w:t xml:space="preserve">, é um fator complementar aplicável sobre </w:t>
      </w:r>
      <w:proofErr w:type="gramStart"/>
      <w:r w:rsidRPr="00D37C52">
        <w:rPr>
          <w:rFonts w:ascii="Times New Roman" w:eastAsia="Times New Roman" w:hAnsi="Times New Roman"/>
          <w:sz w:val="20"/>
          <w:szCs w:val="20"/>
          <w:lang w:eastAsia="pt-BR"/>
        </w:rPr>
        <w:t>àquela</w:t>
      </w:r>
      <w:proofErr w:type="gramEnd"/>
      <w:r w:rsidRPr="00D37C52">
        <w:rPr>
          <w:rFonts w:ascii="Times New Roman" w:eastAsia="Times New Roman" w:hAnsi="Times New Roman"/>
          <w:sz w:val="20"/>
          <w:szCs w:val="20"/>
          <w:lang w:eastAsia="pt-BR"/>
        </w:rPr>
        <w:t xml:space="preserve"> para determinar precisamente o valor da prestação pecuniária, pode ser fracionada, percentual, ou não, desde que representada monetariamente.</w:t>
      </w:r>
      <w:r w:rsidR="00E71649">
        <w:rPr>
          <w:rFonts w:ascii="Times New Roman" w:eastAsia="Times New Roman" w:hAnsi="Times New Roman"/>
          <w:sz w:val="20"/>
          <w:szCs w:val="20"/>
          <w:lang w:eastAsia="pt-BR"/>
        </w:rPr>
        <w:t xml:space="preserve"> (PAVANI, 2011</w:t>
      </w:r>
      <w:r w:rsidR="00DB750A">
        <w:rPr>
          <w:rFonts w:ascii="Times New Roman" w:eastAsia="Times New Roman" w:hAnsi="Times New Roman"/>
          <w:sz w:val="20"/>
          <w:szCs w:val="20"/>
          <w:lang w:eastAsia="pt-BR"/>
        </w:rPr>
        <w:t xml:space="preserve">, </w:t>
      </w:r>
      <w:r w:rsidR="00ED71F3">
        <w:rPr>
          <w:rFonts w:ascii="Times New Roman" w:eastAsia="Times New Roman" w:hAnsi="Times New Roman"/>
          <w:sz w:val="20"/>
          <w:szCs w:val="20"/>
          <w:lang w:eastAsia="pt-BR"/>
        </w:rPr>
        <w:t>grifou-se</w:t>
      </w:r>
      <w:r w:rsidR="00E71649">
        <w:rPr>
          <w:rFonts w:ascii="Times New Roman" w:eastAsia="Times New Roman" w:hAnsi="Times New Roman"/>
          <w:sz w:val="20"/>
          <w:szCs w:val="20"/>
          <w:lang w:eastAsia="pt-BR"/>
        </w:rPr>
        <w:t>).</w:t>
      </w:r>
    </w:p>
    <w:p w:rsidR="003740A3" w:rsidRDefault="003740A3" w:rsidP="00E13A40">
      <w:pPr>
        <w:spacing w:after="0" w:line="360" w:lineRule="auto"/>
        <w:jc w:val="both"/>
        <w:rPr>
          <w:rFonts w:ascii="Times New Roman" w:hAnsi="Times New Roman"/>
          <w:sz w:val="24"/>
          <w:szCs w:val="24"/>
        </w:rPr>
      </w:pPr>
    </w:p>
    <w:p w:rsidR="00A33F97" w:rsidRDefault="00E928A1" w:rsidP="00A33F97">
      <w:pPr>
        <w:spacing w:after="0" w:line="360" w:lineRule="auto"/>
        <w:ind w:firstLine="1134"/>
        <w:jc w:val="both"/>
        <w:rPr>
          <w:rFonts w:ascii="Times New Roman" w:hAnsi="Times New Roman"/>
          <w:sz w:val="24"/>
          <w:szCs w:val="24"/>
        </w:rPr>
      </w:pPr>
      <w:r>
        <w:rPr>
          <w:rFonts w:ascii="Times New Roman" w:hAnsi="Times New Roman"/>
          <w:sz w:val="24"/>
          <w:szCs w:val="24"/>
        </w:rPr>
        <w:t xml:space="preserve">Desta forma, é possível verificar que, no que tange ao estabelecimento do critério quantitativo, os elementos de base de cálculo e de alíquota são fundamentais para identificar a expressão econômica embutida em cada modalidade tributária, </w:t>
      </w:r>
      <w:proofErr w:type="gramStart"/>
      <w:r>
        <w:rPr>
          <w:rFonts w:ascii="Times New Roman" w:hAnsi="Times New Roman"/>
          <w:sz w:val="24"/>
          <w:szCs w:val="24"/>
        </w:rPr>
        <w:t>na medida que</w:t>
      </w:r>
      <w:proofErr w:type="gramEnd"/>
      <w:r>
        <w:rPr>
          <w:rFonts w:ascii="Times New Roman" w:hAnsi="Times New Roman"/>
          <w:sz w:val="24"/>
          <w:szCs w:val="24"/>
        </w:rPr>
        <w:t xml:space="preserve"> revelam </w:t>
      </w:r>
      <w:r w:rsidR="00A33F97">
        <w:rPr>
          <w:rFonts w:ascii="Times New Roman" w:hAnsi="Times New Roman"/>
          <w:sz w:val="24"/>
          <w:szCs w:val="24"/>
        </w:rPr>
        <w:t>o pressuposto que será levado em consideração para fixação do valor a ser cobrado e em que medida esse irá incidir.</w:t>
      </w:r>
    </w:p>
    <w:p w:rsidR="00A33F97" w:rsidRDefault="00A33F97" w:rsidP="00A33F97">
      <w:pPr>
        <w:spacing w:after="0" w:line="360" w:lineRule="auto"/>
        <w:ind w:firstLine="1134"/>
        <w:jc w:val="both"/>
        <w:rPr>
          <w:rFonts w:ascii="Times New Roman" w:hAnsi="Times New Roman"/>
          <w:sz w:val="24"/>
          <w:szCs w:val="24"/>
        </w:rPr>
      </w:pPr>
      <w:r>
        <w:rPr>
          <w:rFonts w:ascii="Times New Roman" w:hAnsi="Times New Roman"/>
          <w:sz w:val="24"/>
          <w:szCs w:val="24"/>
        </w:rPr>
        <w:t xml:space="preserve">Restam, portanto, demonstrados e esclarecidos os critérios constituintes da regra matriz de incidência tributária, sob a interpretação de Vanessa </w:t>
      </w:r>
      <w:proofErr w:type="spellStart"/>
      <w:r>
        <w:rPr>
          <w:rFonts w:ascii="Times New Roman" w:hAnsi="Times New Roman"/>
          <w:sz w:val="24"/>
          <w:szCs w:val="24"/>
        </w:rPr>
        <w:t>Pavani</w:t>
      </w:r>
      <w:proofErr w:type="spellEnd"/>
      <w:r>
        <w:rPr>
          <w:rFonts w:ascii="Times New Roman" w:hAnsi="Times New Roman"/>
          <w:sz w:val="24"/>
          <w:szCs w:val="24"/>
        </w:rPr>
        <w:t xml:space="preserve"> (2011) a partir da obra doutrinária do professor Paulo de Barros.</w:t>
      </w:r>
    </w:p>
    <w:p w:rsidR="00E928A1" w:rsidRPr="000E0811" w:rsidRDefault="00E928A1" w:rsidP="00C279DB">
      <w:pPr>
        <w:spacing w:after="0" w:line="360" w:lineRule="auto"/>
        <w:jc w:val="both"/>
        <w:rPr>
          <w:rFonts w:ascii="Times New Roman" w:hAnsi="Times New Roman"/>
          <w:sz w:val="24"/>
          <w:szCs w:val="24"/>
        </w:rPr>
      </w:pPr>
    </w:p>
    <w:p w:rsidR="002C7B4A" w:rsidRPr="000E0811" w:rsidRDefault="002C7B4A" w:rsidP="002C7B4A">
      <w:pPr>
        <w:spacing w:after="0" w:line="360" w:lineRule="auto"/>
        <w:jc w:val="both"/>
        <w:rPr>
          <w:rFonts w:ascii="Times New Roman" w:hAnsi="Times New Roman"/>
          <w:b/>
          <w:sz w:val="24"/>
          <w:szCs w:val="24"/>
        </w:rPr>
      </w:pPr>
      <w:r w:rsidRPr="000E0811">
        <w:rPr>
          <w:rFonts w:ascii="Times New Roman" w:hAnsi="Times New Roman"/>
          <w:b/>
          <w:sz w:val="24"/>
          <w:szCs w:val="24"/>
        </w:rPr>
        <w:t>2.</w:t>
      </w:r>
      <w:r w:rsidR="00E13A40" w:rsidRPr="000E0811">
        <w:rPr>
          <w:rFonts w:ascii="Times New Roman" w:hAnsi="Times New Roman"/>
          <w:b/>
          <w:sz w:val="24"/>
          <w:szCs w:val="24"/>
        </w:rPr>
        <w:t xml:space="preserve"> </w:t>
      </w:r>
      <w:r w:rsidR="00C12544" w:rsidRPr="000E0811">
        <w:rPr>
          <w:rFonts w:ascii="Times New Roman" w:hAnsi="Times New Roman"/>
          <w:b/>
          <w:sz w:val="24"/>
          <w:szCs w:val="24"/>
        </w:rPr>
        <w:t>APLICABILIDADE</w:t>
      </w:r>
      <w:r w:rsidR="00ED71F3">
        <w:rPr>
          <w:rFonts w:ascii="Times New Roman" w:hAnsi="Times New Roman"/>
          <w:b/>
          <w:sz w:val="24"/>
          <w:szCs w:val="24"/>
        </w:rPr>
        <w:t xml:space="preserve"> DA REGRA MATRIZ DE INCIDÊNCIA N</w:t>
      </w:r>
      <w:r w:rsidR="00C12544" w:rsidRPr="000E0811">
        <w:rPr>
          <w:rFonts w:ascii="Times New Roman" w:hAnsi="Times New Roman"/>
          <w:b/>
          <w:sz w:val="24"/>
          <w:szCs w:val="24"/>
        </w:rPr>
        <w:t>O IPTU</w:t>
      </w:r>
    </w:p>
    <w:p w:rsidR="00E13A40" w:rsidRPr="000E0811" w:rsidRDefault="00E13A40" w:rsidP="00E13A40">
      <w:pPr>
        <w:spacing w:after="0" w:line="360" w:lineRule="auto"/>
        <w:jc w:val="both"/>
        <w:rPr>
          <w:rFonts w:ascii="Times New Roman" w:hAnsi="Times New Roman"/>
          <w:sz w:val="24"/>
          <w:szCs w:val="24"/>
        </w:rPr>
      </w:pPr>
    </w:p>
    <w:p w:rsidR="00A81362" w:rsidRDefault="00470261" w:rsidP="00A81362">
      <w:pPr>
        <w:spacing w:after="0" w:line="360" w:lineRule="auto"/>
        <w:ind w:firstLine="1134"/>
        <w:jc w:val="both"/>
        <w:rPr>
          <w:rFonts w:ascii="Times New Roman" w:hAnsi="Times New Roman"/>
          <w:sz w:val="24"/>
          <w:szCs w:val="24"/>
        </w:rPr>
      </w:pPr>
      <w:r>
        <w:rPr>
          <w:rFonts w:ascii="Times New Roman" w:hAnsi="Times New Roman"/>
          <w:sz w:val="24"/>
          <w:szCs w:val="24"/>
        </w:rPr>
        <w:t xml:space="preserve">Ultrapassada a análise pormenorizada </w:t>
      </w:r>
      <w:r w:rsidR="00E13A40" w:rsidRPr="000E0811">
        <w:rPr>
          <w:rFonts w:ascii="Times New Roman" w:hAnsi="Times New Roman"/>
          <w:sz w:val="24"/>
          <w:szCs w:val="24"/>
        </w:rPr>
        <w:t xml:space="preserve">dos critérios gerais que constituem a regra matriz de incidência tributária, cumpre agora analisar de que modo tal </w:t>
      </w:r>
      <w:r>
        <w:rPr>
          <w:rFonts w:ascii="Times New Roman" w:hAnsi="Times New Roman"/>
          <w:sz w:val="24"/>
          <w:szCs w:val="24"/>
        </w:rPr>
        <w:t xml:space="preserve">instituto </w:t>
      </w:r>
      <w:r w:rsidR="00EF61AC">
        <w:rPr>
          <w:rFonts w:ascii="Times New Roman" w:hAnsi="Times New Roman"/>
          <w:sz w:val="24"/>
          <w:szCs w:val="24"/>
        </w:rPr>
        <w:t>se manifesta quando aplicado no caso concreto diante de uma espécie tributária, que no caso que ora se apresenta, será verificado a partir do Imposto Predial e Territorial Urbano – IPTU.</w:t>
      </w:r>
    </w:p>
    <w:p w:rsidR="00EF61AC" w:rsidRDefault="00EF61AC" w:rsidP="00A81362">
      <w:pPr>
        <w:spacing w:after="0" w:line="360" w:lineRule="auto"/>
        <w:ind w:firstLine="1134"/>
        <w:jc w:val="both"/>
        <w:rPr>
          <w:rFonts w:ascii="Times New Roman" w:hAnsi="Times New Roman"/>
          <w:sz w:val="24"/>
          <w:szCs w:val="24"/>
        </w:rPr>
      </w:pPr>
      <w:r>
        <w:rPr>
          <w:rFonts w:ascii="Times New Roman" w:hAnsi="Times New Roman"/>
          <w:sz w:val="24"/>
          <w:szCs w:val="24"/>
        </w:rPr>
        <w:t>Inicialmente, cumpre dizer que o IPTU é um imposto que tem base legal, uma vez que sua instituição tem previsão tanto no Código Tributário Nacional quanto na Constituição Federal, sendo ele de competência municipal e incide sobre os imóveis localizados em áreas urbanas. (ALEXANDRE, p.</w:t>
      </w:r>
      <w:r w:rsidR="00A81362">
        <w:rPr>
          <w:rFonts w:ascii="Times New Roman" w:hAnsi="Times New Roman"/>
          <w:sz w:val="24"/>
          <w:szCs w:val="24"/>
        </w:rPr>
        <w:t xml:space="preserve">617, 2013). É o que se pode abstrair do conceito legal apresentado no art. 32, </w:t>
      </w:r>
      <w:r w:rsidR="00A81362" w:rsidRPr="00A81362">
        <w:rPr>
          <w:rFonts w:ascii="Times New Roman" w:hAnsi="Times New Roman"/>
          <w:i/>
          <w:sz w:val="24"/>
          <w:szCs w:val="24"/>
        </w:rPr>
        <w:t>caput</w:t>
      </w:r>
      <w:r w:rsidR="00A81362">
        <w:rPr>
          <w:rFonts w:ascii="Times New Roman" w:hAnsi="Times New Roman"/>
          <w:sz w:val="24"/>
          <w:szCs w:val="24"/>
        </w:rPr>
        <w:t xml:space="preserve"> do CTN, </w:t>
      </w:r>
      <w:r w:rsidR="00A81362" w:rsidRPr="00A81362">
        <w:rPr>
          <w:rFonts w:ascii="Times New Roman" w:hAnsi="Times New Roman"/>
          <w:i/>
          <w:sz w:val="24"/>
          <w:szCs w:val="24"/>
        </w:rPr>
        <w:t xml:space="preserve">in </w:t>
      </w:r>
      <w:proofErr w:type="spellStart"/>
      <w:r w:rsidR="00A81362" w:rsidRPr="00A81362">
        <w:rPr>
          <w:rFonts w:ascii="Times New Roman" w:hAnsi="Times New Roman"/>
          <w:i/>
          <w:sz w:val="24"/>
          <w:szCs w:val="24"/>
        </w:rPr>
        <w:t>verbis</w:t>
      </w:r>
      <w:proofErr w:type="spellEnd"/>
      <w:r w:rsidR="00A81362">
        <w:rPr>
          <w:rFonts w:ascii="Times New Roman" w:hAnsi="Times New Roman"/>
          <w:sz w:val="24"/>
          <w:szCs w:val="24"/>
        </w:rPr>
        <w:t>:</w:t>
      </w:r>
    </w:p>
    <w:p w:rsidR="00A81362" w:rsidRDefault="00A81362" w:rsidP="00A81362">
      <w:pPr>
        <w:spacing w:after="0" w:line="240" w:lineRule="auto"/>
        <w:jc w:val="both"/>
        <w:rPr>
          <w:rFonts w:ascii="Times New Roman" w:hAnsi="Times New Roman"/>
          <w:sz w:val="24"/>
          <w:szCs w:val="24"/>
        </w:rPr>
      </w:pPr>
    </w:p>
    <w:p w:rsidR="00A81362" w:rsidRPr="00A81362" w:rsidRDefault="00A81362" w:rsidP="00A81362">
      <w:pPr>
        <w:spacing w:after="0" w:line="240" w:lineRule="auto"/>
        <w:ind w:left="2268"/>
        <w:jc w:val="both"/>
        <w:rPr>
          <w:rFonts w:ascii="Times New Roman" w:hAnsi="Times New Roman"/>
          <w:sz w:val="20"/>
          <w:szCs w:val="20"/>
        </w:rPr>
      </w:pPr>
      <w:r w:rsidRPr="00A81362">
        <w:rPr>
          <w:rFonts w:ascii="Times New Roman" w:hAnsi="Times New Roman"/>
          <w:sz w:val="20"/>
          <w:szCs w:val="20"/>
        </w:rPr>
        <w:t xml:space="preserve">Art. 32. O imposto, de competência dos Municípios, sobre a propriedade predial e territorial urbana tem como fato gerador a propriedade, o domínio </w:t>
      </w:r>
      <w:r w:rsidRPr="00A81362">
        <w:rPr>
          <w:rFonts w:ascii="Times New Roman" w:hAnsi="Times New Roman"/>
          <w:sz w:val="20"/>
          <w:szCs w:val="20"/>
        </w:rPr>
        <w:lastRenderedPageBreak/>
        <w:t>útil ou a posse de bem imóvel por natureza ou por acessão física, como definido na lei civil, localizado na zona do Município.</w:t>
      </w:r>
    </w:p>
    <w:p w:rsidR="00A81362" w:rsidRDefault="00A81362" w:rsidP="00E13A40">
      <w:pPr>
        <w:spacing w:after="0" w:line="360" w:lineRule="auto"/>
        <w:jc w:val="both"/>
        <w:rPr>
          <w:rFonts w:ascii="Times New Roman" w:hAnsi="Times New Roman"/>
          <w:sz w:val="24"/>
          <w:szCs w:val="24"/>
        </w:rPr>
      </w:pPr>
    </w:p>
    <w:p w:rsidR="00345158" w:rsidRDefault="00A81362" w:rsidP="00345158">
      <w:pPr>
        <w:spacing w:after="0" w:line="360" w:lineRule="auto"/>
        <w:ind w:firstLine="1134"/>
        <w:jc w:val="both"/>
        <w:rPr>
          <w:rFonts w:ascii="Times New Roman" w:hAnsi="Times New Roman"/>
          <w:sz w:val="24"/>
          <w:szCs w:val="24"/>
        </w:rPr>
      </w:pPr>
      <w:r>
        <w:rPr>
          <w:rFonts w:ascii="Times New Roman" w:hAnsi="Times New Roman"/>
          <w:sz w:val="24"/>
          <w:szCs w:val="24"/>
        </w:rPr>
        <w:t xml:space="preserve">Restando conceituado tal tributo, passa-se agora </w:t>
      </w:r>
      <w:proofErr w:type="gramStart"/>
      <w:r>
        <w:rPr>
          <w:rFonts w:ascii="Times New Roman" w:hAnsi="Times New Roman"/>
          <w:sz w:val="24"/>
          <w:szCs w:val="24"/>
        </w:rPr>
        <w:t>à</w:t>
      </w:r>
      <w:proofErr w:type="gramEnd"/>
      <w:r>
        <w:rPr>
          <w:rFonts w:ascii="Times New Roman" w:hAnsi="Times New Roman"/>
          <w:sz w:val="24"/>
          <w:szCs w:val="24"/>
        </w:rPr>
        <w:t xml:space="preserve"> analise de seus critérios sob a ótica da regra matriz de incidência tributária.</w:t>
      </w:r>
    </w:p>
    <w:p w:rsidR="003C2CF7" w:rsidRDefault="00A81362" w:rsidP="00345158">
      <w:pPr>
        <w:spacing w:after="0" w:line="360" w:lineRule="auto"/>
        <w:ind w:firstLine="1134"/>
        <w:jc w:val="both"/>
        <w:rPr>
          <w:rFonts w:ascii="Times New Roman" w:hAnsi="Times New Roman"/>
          <w:sz w:val="24"/>
          <w:szCs w:val="24"/>
        </w:rPr>
      </w:pPr>
      <w:r>
        <w:rPr>
          <w:rFonts w:ascii="Times New Roman" w:hAnsi="Times New Roman"/>
          <w:sz w:val="24"/>
          <w:szCs w:val="24"/>
        </w:rPr>
        <w:t xml:space="preserve">Desta feita, no que toca ao critério material do IPTU, é possível identificar que este se consubstancia no fato de o </w:t>
      </w:r>
      <w:r w:rsidR="00E812D7">
        <w:rPr>
          <w:rFonts w:ascii="Times New Roman" w:hAnsi="Times New Roman"/>
          <w:sz w:val="24"/>
          <w:szCs w:val="24"/>
        </w:rPr>
        <w:t>contribuinte ter “a propriedade, o domínio útil ou a posse de bem imóvel”, sendo este “localizado na zona do Município”.</w:t>
      </w:r>
      <w:r w:rsidR="003C2CF7">
        <w:rPr>
          <w:rFonts w:ascii="Times New Roman" w:hAnsi="Times New Roman"/>
          <w:sz w:val="24"/>
          <w:szCs w:val="24"/>
        </w:rPr>
        <w:t xml:space="preserve"> Percebe-se ai a necessidade de interação entre o critério material com o espacial, haja vista que se o imóvel não preencher o requisito de estar localizado em área urbana, ele não poderá sofrer a incidência deste tributo, devendo ser regulado por outro. Para deixar mais evidente a definição deste critério no IPTU, vale invocar o posicionamento de Camila Marcondes, conforme segue:</w:t>
      </w:r>
    </w:p>
    <w:p w:rsidR="00345158" w:rsidRDefault="00345158" w:rsidP="00345158">
      <w:pPr>
        <w:spacing w:after="0" w:line="240" w:lineRule="auto"/>
        <w:ind w:left="2268"/>
        <w:jc w:val="both"/>
        <w:rPr>
          <w:rFonts w:ascii="Times New Roman" w:hAnsi="Times New Roman"/>
          <w:sz w:val="24"/>
          <w:szCs w:val="24"/>
        </w:rPr>
      </w:pPr>
    </w:p>
    <w:p w:rsidR="003C2CF7" w:rsidRPr="00D37C52" w:rsidRDefault="003C2CF7" w:rsidP="00345158">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Critério Material</w:t>
      </w:r>
    </w:p>
    <w:p w:rsidR="003C2CF7" w:rsidRDefault="003C2CF7" w:rsidP="00345158">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O IPTU é imposto de competência Municipal, previsto no artigo 156, I da Constituição Federal e artigo 32 do Código Tributário Nacional.</w:t>
      </w:r>
      <w:r>
        <w:rPr>
          <w:rFonts w:ascii="Times New Roman" w:eastAsia="Times New Roman" w:hAnsi="Times New Roman"/>
          <w:sz w:val="20"/>
          <w:szCs w:val="20"/>
          <w:lang w:eastAsia="pt-BR"/>
        </w:rPr>
        <w:t xml:space="preserve"> [...] </w:t>
      </w:r>
      <w:r w:rsidRPr="00D37C52">
        <w:rPr>
          <w:rFonts w:ascii="Times New Roman" w:eastAsia="Times New Roman" w:hAnsi="Times New Roman"/>
          <w:sz w:val="20"/>
          <w:szCs w:val="20"/>
          <w:lang w:eastAsia="pt-BR"/>
        </w:rPr>
        <w:t xml:space="preserve">O critério material </w:t>
      </w:r>
      <w:r>
        <w:rPr>
          <w:rFonts w:ascii="Times New Roman" w:eastAsia="Times New Roman" w:hAnsi="Times New Roman"/>
          <w:sz w:val="20"/>
          <w:szCs w:val="20"/>
          <w:lang w:eastAsia="pt-BR"/>
        </w:rPr>
        <w:t xml:space="preserve">[...] </w:t>
      </w:r>
      <w:r w:rsidRPr="00D37C52">
        <w:rPr>
          <w:rFonts w:ascii="Times New Roman" w:eastAsia="Times New Roman" w:hAnsi="Times New Roman"/>
          <w:sz w:val="20"/>
          <w:szCs w:val="20"/>
          <w:lang w:eastAsia="pt-BR"/>
        </w:rPr>
        <w:t>é: "ser proprietário, detentor do domínio útil ou da posse de bem imóvel".</w:t>
      </w:r>
      <w:r>
        <w:rPr>
          <w:rFonts w:ascii="Times New Roman" w:eastAsia="Times New Roman" w:hAnsi="Times New Roman"/>
          <w:sz w:val="20"/>
          <w:szCs w:val="20"/>
          <w:lang w:eastAsia="pt-BR"/>
        </w:rPr>
        <w:t xml:space="preserve"> (MARCONDES, 2014).</w:t>
      </w:r>
    </w:p>
    <w:p w:rsidR="00A81362" w:rsidRPr="000E0811" w:rsidRDefault="00A81362" w:rsidP="00E13A40">
      <w:pPr>
        <w:spacing w:after="0" w:line="360" w:lineRule="auto"/>
        <w:jc w:val="both"/>
        <w:rPr>
          <w:rFonts w:ascii="Times New Roman" w:hAnsi="Times New Roman"/>
          <w:sz w:val="24"/>
          <w:szCs w:val="24"/>
        </w:rPr>
      </w:pPr>
    </w:p>
    <w:p w:rsidR="002C7B4A" w:rsidRDefault="003C2CF7" w:rsidP="00345158">
      <w:pPr>
        <w:spacing w:after="0" w:line="360" w:lineRule="auto"/>
        <w:ind w:firstLine="1134"/>
        <w:jc w:val="both"/>
        <w:rPr>
          <w:rFonts w:ascii="Times New Roman" w:hAnsi="Times New Roman"/>
          <w:sz w:val="24"/>
          <w:szCs w:val="24"/>
        </w:rPr>
      </w:pPr>
      <w:r>
        <w:rPr>
          <w:rFonts w:ascii="Times New Roman" w:hAnsi="Times New Roman"/>
          <w:sz w:val="24"/>
          <w:szCs w:val="24"/>
        </w:rPr>
        <w:t xml:space="preserve">Já no que diz respeito ao critério temporal, este se revela de forma mais clara, não havendo </w:t>
      </w:r>
      <w:proofErr w:type="gramStart"/>
      <w:r>
        <w:rPr>
          <w:rFonts w:ascii="Times New Roman" w:hAnsi="Times New Roman"/>
          <w:sz w:val="24"/>
          <w:szCs w:val="24"/>
        </w:rPr>
        <w:t>muito o que</w:t>
      </w:r>
      <w:proofErr w:type="gramEnd"/>
      <w:r>
        <w:rPr>
          <w:rFonts w:ascii="Times New Roman" w:hAnsi="Times New Roman"/>
          <w:sz w:val="24"/>
          <w:szCs w:val="24"/>
        </w:rPr>
        <w:t xml:space="preserve"> se falar quando da sua instituição. Sendo assim, cabe dize que este critério, no âmbito do IPTU, </w:t>
      </w:r>
      <w:r w:rsidR="00345158">
        <w:rPr>
          <w:rFonts w:ascii="Times New Roman" w:hAnsi="Times New Roman"/>
          <w:sz w:val="24"/>
          <w:szCs w:val="24"/>
        </w:rPr>
        <w:t>se dará no início de cada ano, conforme também indica Marcondes (2014):</w:t>
      </w:r>
    </w:p>
    <w:p w:rsidR="00345158" w:rsidRPr="00E71649" w:rsidRDefault="00345158" w:rsidP="00345158">
      <w:pPr>
        <w:spacing w:after="0" w:line="240" w:lineRule="auto"/>
        <w:ind w:left="2268"/>
        <w:jc w:val="both"/>
        <w:rPr>
          <w:rFonts w:ascii="Times New Roman" w:hAnsi="Times New Roman"/>
          <w:sz w:val="20"/>
          <w:szCs w:val="20"/>
        </w:rPr>
      </w:pPr>
    </w:p>
    <w:p w:rsidR="00345158" w:rsidRPr="00D37C52" w:rsidRDefault="00345158" w:rsidP="00345158">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Critério temporal</w:t>
      </w:r>
    </w:p>
    <w:p w:rsidR="00345158" w:rsidRPr="00D37C52" w:rsidRDefault="00345158" w:rsidP="00345158">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 xml:space="preserve">Para o critério temporal não há questões polêmicas, </w:t>
      </w:r>
      <w:r>
        <w:rPr>
          <w:rFonts w:ascii="Times New Roman" w:eastAsia="Times New Roman" w:hAnsi="Times New Roman"/>
          <w:sz w:val="20"/>
          <w:szCs w:val="20"/>
          <w:lang w:eastAsia="pt-BR"/>
        </w:rPr>
        <w:t>[...]</w:t>
      </w:r>
      <w:r w:rsidRPr="00D37C52">
        <w:rPr>
          <w:rFonts w:ascii="Times New Roman" w:eastAsia="Times New Roman" w:hAnsi="Times New Roman"/>
          <w:sz w:val="20"/>
          <w:szCs w:val="20"/>
          <w:lang w:eastAsia="pt-BR"/>
        </w:rPr>
        <w:t>, terá ocorrido o critério temporal no dia 1º de janeiro de cada ano.</w:t>
      </w:r>
    </w:p>
    <w:p w:rsidR="00345158" w:rsidRPr="00D37C52" w:rsidRDefault="00345158" w:rsidP="00345158">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Observe-se, no entanto, que não há impedimentos para que os municípios fixem outra data, em razão da autonomia tributária.</w:t>
      </w:r>
      <w:r>
        <w:rPr>
          <w:rFonts w:ascii="Times New Roman" w:eastAsia="Times New Roman" w:hAnsi="Times New Roman"/>
          <w:sz w:val="20"/>
          <w:szCs w:val="20"/>
          <w:lang w:eastAsia="pt-BR"/>
        </w:rPr>
        <w:t xml:space="preserve"> (MARCONDES, 2014).</w:t>
      </w:r>
    </w:p>
    <w:p w:rsidR="00345158" w:rsidRDefault="00345158" w:rsidP="002C7B4A">
      <w:pPr>
        <w:spacing w:after="0" w:line="360" w:lineRule="auto"/>
        <w:jc w:val="both"/>
        <w:rPr>
          <w:rFonts w:ascii="Times New Roman" w:hAnsi="Times New Roman"/>
          <w:sz w:val="24"/>
          <w:szCs w:val="24"/>
        </w:rPr>
      </w:pPr>
    </w:p>
    <w:p w:rsidR="001563BF" w:rsidRDefault="00345158" w:rsidP="001563BF">
      <w:pPr>
        <w:spacing w:after="0" w:line="360" w:lineRule="auto"/>
        <w:ind w:firstLine="1134"/>
        <w:jc w:val="both"/>
        <w:rPr>
          <w:rFonts w:ascii="Times New Roman" w:hAnsi="Times New Roman"/>
          <w:sz w:val="24"/>
          <w:szCs w:val="24"/>
        </w:rPr>
      </w:pPr>
      <w:r>
        <w:rPr>
          <w:rFonts w:ascii="Times New Roman" w:hAnsi="Times New Roman"/>
          <w:sz w:val="24"/>
          <w:szCs w:val="24"/>
        </w:rPr>
        <w:t xml:space="preserve">No que toca ao critério espacial, conforme a dicção do dispositivo legal que estabelece o IPTU, é possível dizer que este imposto recairá sobre imóveis urbanos localizados na zona do Município. </w:t>
      </w:r>
      <w:r w:rsidR="001563BF">
        <w:rPr>
          <w:rFonts w:ascii="Times New Roman" w:hAnsi="Times New Roman"/>
          <w:sz w:val="24"/>
          <w:szCs w:val="24"/>
        </w:rPr>
        <w:t>Contudo, há divergências doutrinárias quanto o que deve realmente ser levado em consideração na configuração desse critério no IPTU, se seria efetivamente a localização ou as atividades realizadas naquele ambiente, se elas seriam genuinamente urbanas.</w:t>
      </w:r>
    </w:p>
    <w:p w:rsidR="00345158" w:rsidRDefault="001563BF" w:rsidP="001563BF">
      <w:pPr>
        <w:spacing w:after="0" w:line="360" w:lineRule="auto"/>
        <w:ind w:firstLine="1134"/>
        <w:jc w:val="both"/>
        <w:rPr>
          <w:rFonts w:ascii="Times New Roman" w:hAnsi="Times New Roman"/>
          <w:sz w:val="24"/>
          <w:szCs w:val="24"/>
        </w:rPr>
      </w:pPr>
      <w:r>
        <w:rPr>
          <w:rFonts w:ascii="Times New Roman" w:hAnsi="Times New Roman"/>
          <w:sz w:val="24"/>
          <w:szCs w:val="24"/>
        </w:rPr>
        <w:t xml:space="preserve">Esse debate será tratado posteriormente em momento oportuno (tópico específico), por ora, cumpre elucidar os elementos apresentados para se considerar esse </w:t>
      </w:r>
      <w:r>
        <w:rPr>
          <w:rFonts w:ascii="Times New Roman" w:hAnsi="Times New Roman"/>
          <w:sz w:val="24"/>
          <w:szCs w:val="24"/>
        </w:rPr>
        <w:lastRenderedPageBreak/>
        <w:t xml:space="preserve">critério no âmbito do IPTU. Para isso, </w:t>
      </w:r>
      <w:proofErr w:type="gramStart"/>
      <w:r>
        <w:rPr>
          <w:rFonts w:ascii="Times New Roman" w:hAnsi="Times New Roman"/>
          <w:sz w:val="24"/>
          <w:szCs w:val="24"/>
        </w:rPr>
        <w:t>vale</w:t>
      </w:r>
      <w:proofErr w:type="gramEnd"/>
      <w:r>
        <w:rPr>
          <w:rFonts w:ascii="Times New Roman" w:hAnsi="Times New Roman"/>
          <w:sz w:val="24"/>
          <w:szCs w:val="24"/>
        </w:rPr>
        <w:t xml:space="preserve"> transcrever novamente os ensinamentos apontados por Camila Marcondes (2014) em seu artigo, quais sejam:</w:t>
      </w:r>
    </w:p>
    <w:p w:rsidR="00345158" w:rsidRDefault="00345158" w:rsidP="001563BF">
      <w:pPr>
        <w:spacing w:after="0" w:line="240" w:lineRule="auto"/>
        <w:ind w:left="2268"/>
        <w:jc w:val="both"/>
        <w:rPr>
          <w:rFonts w:ascii="Times New Roman" w:hAnsi="Times New Roman"/>
          <w:sz w:val="24"/>
          <w:szCs w:val="24"/>
        </w:rPr>
      </w:pPr>
    </w:p>
    <w:p w:rsidR="001563BF" w:rsidRPr="00D37C52" w:rsidRDefault="001563BF" w:rsidP="001563BF">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Critério espacial</w:t>
      </w:r>
    </w:p>
    <w:p w:rsidR="001563BF" w:rsidRPr="00D37C52" w:rsidRDefault="001563BF" w:rsidP="001563BF">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IPTU: "localizado na zona urbana do município"</w:t>
      </w:r>
    </w:p>
    <w:p w:rsidR="001563BF" w:rsidRPr="00D37C52" w:rsidRDefault="001563BF" w:rsidP="001563BF">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 xml:space="preserve">Questões polêmicas: O que </w:t>
      </w:r>
      <w:proofErr w:type="gramStart"/>
      <w:r w:rsidRPr="00D37C52">
        <w:rPr>
          <w:rFonts w:ascii="Times New Roman" w:eastAsia="Times New Roman" w:hAnsi="Times New Roman"/>
          <w:sz w:val="20"/>
          <w:szCs w:val="20"/>
          <w:lang w:eastAsia="pt-BR"/>
        </w:rPr>
        <w:t>é,</w:t>
      </w:r>
      <w:proofErr w:type="gramEnd"/>
      <w:r w:rsidRPr="00D37C52">
        <w:rPr>
          <w:rFonts w:ascii="Times New Roman" w:eastAsia="Times New Roman" w:hAnsi="Times New Roman"/>
          <w:sz w:val="20"/>
          <w:szCs w:val="20"/>
          <w:lang w:eastAsia="pt-BR"/>
        </w:rPr>
        <w:t xml:space="preserve"> critérios utilizados para diferenciar zona urbana e zona rural e quem pode realizar referida diferenciação?</w:t>
      </w:r>
    </w:p>
    <w:p w:rsidR="001563BF" w:rsidRPr="00D37C52" w:rsidRDefault="001563BF" w:rsidP="001563BF">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Quanto à competência, existe entendimento sumulado no STJ (súmula 399) dispondo que cabe à legislação municipal estabelecer o sujeito passivo do IPTU.</w:t>
      </w:r>
    </w:p>
    <w:p w:rsidR="001563BF" w:rsidRPr="00D37C52" w:rsidRDefault="001563BF" w:rsidP="001563BF">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Quanto aos critérios para delimitação de zona urbana e zona rural, novamente existem duas correntes.</w:t>
      </w:r>
    </w:p>
    <w:p w:rsidR="001563BF" w:rsidRPr="00D37C52" w:rsidRDefault="001563BF" w:rsidP="001563BF">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A primeira considera relevante a destinação do imóvel, ou seja, será considerado urbano o imóvel que cumprir funções tipicamente urbanas, sendo estas funções: indústria, comércio, moradia e etc. Da mesma forma, será rural se for destinado à agricultura, pecuária, extração vegetal e etc.</w:t>
      </w:r>
    </w:p>
    <w:p w:rsidR="001563BF" w:rsidRDefault="001563BF" w:rsidP="001563BF">
      <w:pPr>
        <w:spacing w:after="0" w:line="240" w:lineRule="auto"/>
        <w:ind w:left="2268"/>
        <w:jc w:val="both"/>
        <w:rPr>
          <w:rFonts w:ascii="Times New Roman" w:hAnsi="Times New Roman"/>
          <w:sz w:val="24"/>
          <w:szCs w:val="24"/>
        </w:rPr>
      </w:pPr>
      <w:r w:rsidRPr="00D37C52">
        <w:rPr>
          <w:rFonts w:ascii="Times New Roman" w:eastAsia="Times New Roman" w:hAnsi="Times New Roman"/>
          <w:sz w:val="20"/>
          <w:szCs w:val="20"/>
          <w:lang w:eastAsia="pt-BR"/>
        </w:rPr>
        <w:t>Há ainda, a corrente que considera ser relevante a localização do imóvel, sendo que será urbano se estiver dentro da zona urbana do Município e rural se dela estiver fora.</w:t>
      </w:r>
      <w:r w:rsidRPr="001563BF">
        <w:rPr>
          <w:rFonts w:ascii="Times New Roman" w:eastAsia="Times New Roman" w:hAnsi="Times New Roman"/>
          <w:sz w:val="20"/>
          <w:szCs w:val="20"/>
          <w:lang w:eastAsia="pt-BR"/>
        </w:rPr>
        <w:t xml:space="preserve"> </w:t>
      </w:r>
      <w:r>
        <w:rPr>
          <w:rFonts w:ascii="Times New Roman" w:eastAsia="Times New Roman" w:hAnsi="Times New Roman"/>
          <w:sz w:val="20"/>
          <w:szCs w:val="20"/>
          <w:lang w:eastAsia="pt-BR"/>
        </w:rPr>
        <w:t>(MARCONDES, 2014).</w:t>
      </w:r>
    </w:p>
    <w:p w:rsidR="001563BF" w:rsidRDefault="001563BF" w:rsidP="002C7B4A">
      <w:pPr>
        <w:spacing w:after="0" w:line="360" w:lineRule="auto"/>
        <w:jc w:val="both"/>
        <w:rPr>
          <w:rFonts w:ascii="Times New Roman" w:hAnsi="Times New Roman"/>
          <w:sz w:val="24"/>
          <w:szCs w:val="24"/>
        </w:rPr>
      </w:pPr>
    </w:p>
    <w:p w:rsidR="00C76939" w:rsidRDefault="001563BF" w:rsidP="00C76939">
      <w:pPr>
        <w:spacing w:after="0" w:line="360" w:lineRule="auto"/>
        <w:ind w:firstLine="1134"/>
        <w:jc w:val="both"/>
        <w:rPr>
          <w:rFonts w:ascii="Times New Roman" w:hAnsi="Times New Roman"/>
          <w:sz w:val="24"/>
          <w:szCs w:val="24"/>
        </w:rPr>
      </w:pPr>
      <w:r>
        <w:rPr>
          <w:rFonts w:ascii="Times New Roman" w:hAnsi="Times New Roman"/>
          <w:sz w:val="24"/>
          <w:szCs w:val="24"/>
        </w:rPr>
        <w:t xml:space="preserve">Quanto </w:t>
      </w:r>
      <w:r w:rsidR="00961AF0">
        <w:rPr>
          <w:rFonts w:ascii="Times New Roman" w:hAnsi="Times New Roman"/>
          <w:sz w:val="24"/>
          <w:szCs w:val="24"/>
        </w:rPr>
        <w:t xml:space="preserve">ao critério pessoal atribuído ao IPTU, também não há </w:t>
      </w:r>
      <w:proofErr w:type="gramStart"/>
      <w:r w:rsidR="00961AF0">
        <w:rPr>
          <w:rFonts w:ascii="Times New Roman" w:hAnsi="Times New Roman"/>
          <w:sz w:val="24"/>
          <w:szCs w:val="24"/>
        </w:rPr>
        <w:t>muito o que</w:t>
      </w:r>
      <w:proofErr w:type="gramEnd"/>
      <w:r w:rsidR="00961AF0">
        <w:rPr>
          <w:rFonts w:ascii="Times New Roman" w:hAnsi="Times New Roman"/>
          <w:sz w:val="24"/>
          <w:szCs w:val="24"/>
        </w:rPr>
        <w:t xml:space="preserve"> discutir, haja vista que o sujeito ativo se dará na figura do Município e o sujeito passivo se revela na figura do contribuinte que é “proprietário do imóvel, o titular do seu domínio ou seu possuidor a qualquer título” (MARCONDES, 2014), conforme preleciona o art. 34 do CTN de forma explícita.</w:t>
      </w:r>
    </w:p>
    <w:p w:rsidR="00C76939" w:rsidRDefault="00961AF0" w:rsidP="00C76939">
      <w:pPr>
        <w:spacing w:after="0" w:line="360" w:lineRule="auto"/>
        <w:ind w:firstLine="1134"/>
        <w:jc w:val="both"/>
        <w:rPr>
          <w:rFonts w:ascii="Times New Roman" w:hAnsi="Times New Roman"/>
          <w:sz w:val="24"/>
          <w:szCs w:val="24"/>
        </w:rPr>
      </w:pPr>
      <w:r>
        <w:rPr>
          <w:rFonts w:ascii="Times New Roman" w:hAnsi="Times New Roman"/>
          <w:sz w:val="24"/>
          <w:szCs w:val="24"/>
        </w:rPr>
        <w:t xml:space="preserve">E por fim, para designar o critério quantitativo incidente no IPTU, é importante atentar para o que estabelece o art. 33 do CTN, o qual indica que “a base de cálculo do imposto é o valor venal do imóvel”, sendo este valor venal compreendido como </w:t>
      </w:r>
      <w:r w:rsidR="00C76939">
        <w:rPr>
          <w:rFonts w:ascii="Times New Roman" w:hAnsi="Times New Roman"/>
          <w:sz w:val="24"/>
          <w:szCs w:val="24"/>
        </w:rPr>
        <w:t>a expressão financeira que o imóvel dispõe no mercado, em outras palavras, seria o preço que o mercado reconhece como aplicável a este determinado imóvel urbano.</w:t>
      </w:r>
    </w:p>
    <w:p w:rsidR="00EB2555" w:rsidRDefault="00C76939" w:rsidP="00EB2555">
      <w:pPr>
        <w:spacing w:after="0" w:line="360" w:lineRule="auto"/>
        <w:ind w:firstLine="1134"/>
        <w:jc w:val="both"/>
        <w:rPr>
          <w:rFonts w:ascii="Times New Roman" w:hAnsi="Times New Roman"/>
          <w:sz w:val="24"/>
          <w:szCs w:val="24"/>
        </w:rPr>
      </w:pPr>
      <w:r>
        <w:rPr>
          <w:rFonts w:ascii="Times New Roman" w:hAnsi="Times New Roman"/>
          <w:sz w:val="24"/>
          <w:szCs w:val="24"/>
        </w:rPr>
        <w:t xml:space="preserve">Além disso, conforme já dito anteriormente, o critério quantitativo é formado pela base de cálculo e pela alíquota, e tendo o próprio CTN definido </w:t>
      </w:r>
      <w:proofErr w:type="gramStart"/>
      <w:r>
        <w:rPr>
          <w:rFonts w:ascii="Times New Roman" w:hAnsi="Times New Roman"/>
          <w:sz w:val="24"/>
          <w:szCs w:val="24"/>
        </w:rPr>
        <w:t>a</w:t>
      </w:r>
      <w:proofErr w:type="gramEnd"/>
      <w:r>
        <w:rPr>
          <w:rFonts w:ascii="Times New Roman" w:hAnsi="Times New Roman"/>
          <w:sz w:val="24"/>
          <w:szCs w:val="24"/>
        </w:rPr>
        <w:t xml:space="preserve"> base de cálculo, a alíquota, neste presente imposto, vai estar umbilicalmente relacionada à Função Social da Propriedade, tal como reza o mandamento constitucional, fato esse que indicará seu caráter fiscal ou extrafiscal.</w:t>
      </w:r>
    </w:p>
    <w:p w:rsidR="00C76939" w:rsidRPr="000E0811" w:rsidRDefault="00C76939" w:rsidP="00EB2555">
      <w:pPr>
        <w:spacing w:after="0" w:line="360" w:lineRule="auto"/>
        <w:ind w:firstLine="1134"/>
        <w:jc w:val="both"/>
        <w:rPr>
          <w:rFonts w:ascii="Times New Roman" w:hAnsi="Times New Roman"/>
          <w:sz w:val="24"/>
          <w:szCs w:val="24"/>
        </w:rPr>
      </w:pPr>
      <w:r>
        <w:rPr>
          <w:rFonts w:ascii="Times New Roman" w:hAnsi="Times New Roman"/>
          <w:sz w:val="24"/>
          <w:szCs w:val="24"/>
        </w:rPr>
        <w:t>Assim sendo, pode-se dizer que a alíquota irá variar conforme o tratamento dado ao imóvel urbano, devendo este atender aos preceitos constitucionais que determinam a observância da Função Social da Propriedade.</w:t>
      </w:r>
      <w:r w:rsidR="00EB2555">
        <w:rPr>
          <w:rFonts w:ascii="Times New Roman" w:hAnsi="Times New Roman"/>
          <w:sz w:val="24"/>
          <w:szCs w:val="24"/>
        </w:rPr>
        <w:t xml:space="preserve"> Para corroborar tal entendimento, </w:t>
      </w:r>
      <w:proofErr w:type="gramStart"/>
      <w:r w:rsidR="00EB2555">
        <w:rPr>
          <w:rFonts w:ascii="Times New Roman" w:hAnsi="Times New Roman"/>
          <w:sz w:val="24"/>
          <w:szCs w:val="24"/>
        </w:rPr>
        <w:t>cumpre</w:t>
      </w:r>
      <w:proofErr w:type="gramEnd"/>
      <w:r w:rsidR="00EB2555">
        <w:rPr>
          <w:rFonts w:ascii="Times New Roman" w:hAnsi="Times New Roman"/>
          <w:sz w:val="24"/>
          <w:szCs w:val="24"/>
        </w:rPr>
        <w:t xml:space="preserve"> trazer a baila as considerações de Camila Marcondes (2014) que também se expressa nesse sentido afirmando que:</w:t>
      </w:r>
    </w:p>
    <w:p w:rsidR="00E71649" w:rsidRPr="00E71649" w:rsidRDefault="00E71649" w:rsidP="00EB2555">
      <w:pPr>
        <w:shd w:val="clear" w:color="auto" w:fill="FFFFFF"/>
        <w:spacing w:after="0" w:line="240" w:lineRule="auto"/>
        <w:ind w:left="2268"/>
        <w:jc w:val="both"/>
        <w:rPr>
          <w:rFonts w:ascii="Times New Roman" w:eastAsia="Times New Roman" w:hAnsi="Times New Roman"/>
          <w:sz w:val="20"/>
          <w:szCs w:val="20"/>
          <w:lang w:eastAsia="pt-BR"/>
        </w:rPr>
      </w:pPr>
    </w:p>
    <w:p w:rsidR="00E71649" w:rsidRPr="00D37C52" w:rsidRDefault="00E71649" w:rsidP="00EB2555">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Critério Quantitativo:</w:t>
      </w:r>
    </w:p>
    <w:p w:rsidR="00E71649" w:rsidRPr="00D37C52" w:rsidRDefault="00E71649" w:rsidP="00EB2555">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lastRenderedPageBreak/>
        <w:t>Base de Cálculo</w:t>
      </w:r>
    </w:p>
    <w:p w:rsidR="00E71649" w:rsidRPr="00D37C52" w:rsidRDefault="00E71649" w:rsidP="00EB2555">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IPTU (art. 33 do CTN): Valor venal do imóvel</w:t>
      </w:r>
    </w:p>
    <w:p w:rsidR="00E71649" w:rsidRPr="00D37C52" w:rsidRDefault="00E71649" w:rsidP="00EB2555">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Por valor venal do imóvel podemos entender como sendo o valor de mercado, valor máximo que o imóvel pode atingir em uma transação comercial. O valor venal será calculado individualmente, tendo por base os valores mínimos da planta genérica de cada município.</w:t>
      </w:r>
    </w:p>
    <w:p w:rsidR="00E71649" w:rsidRPr="00D37C52" w:rsidRDefault="00E71649" w:rsidP="00EB2555">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Alíquota</w:t>
      </w:r>
    </w:p>
    <w:p w:rsidR="00E71649" w:rsidRPr="00D37C52" w:rsidRDefault="00E71649" w:rsidP="00EB2555">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 xml:space="preserve">No que se </w:t>
      </w:r>
      <w:proofErr w:type="gramStart"/>
      <w:r w:rsidRPr="00D37C52">
        <w:rPr>
          <w:rFonts w:ascii="Times New Roman" w:eastAsia="Times New Roman" w:hAnsi="Times New Roman"/>
          <w:sz w:val="20"/>
          <w:szCs w:val="20"/>
          <w:lang w:eastAsia="pt-BR"/>
        </w:rPr>
        <w:t>refere</w:t>
      </w:r>
      <w:proofErr w:type="gramEnd"/>
      <w:r w:rsidRPr="00D37C52">
        <w:rPr>
          <w:rFonts w:ascii="Times New Roman" w:eastAsia="Times New Roman" w:hAnsi="Times New Roman"/>
          <w:sz w:val="20"/>
          <w:szCs w:val="20"/>
          <w:lang w:eastAsia="pt-BR"/>
        </w:rPr>
        <w:t xml:space="preserve"> à alíquota, os Impostos sobre a Propriedade foram eleitos como instrumentais de cumprimento da função social da propriedade.</w:t>
      </w:r>
    </w:p>
    <w:p w:rsidR="00E71649" w:rsidRPr="00D37C52" w:rsidRDefault="00E71649" w:rsidP="00EB2555">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Nesta esteira, existem 02 tipos de alíquota, quais sejam:</w:t>
      </w:r>
    </w:p>
    <w:p w:rsidR="00E71649" w:rsidRPr="00D37C52" w:rsidRDefault="00E71649" w:rsidP="00EB2555">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 xml:space="preserve">Fiscal: está é a alíquota cabível em todos os demais tributos, pois tem caráter unicamente </w:t>
      </w:r>
      <w:proofErr w:type="spellStart"/>
      <w:r w:rsidRPr="00D37C52">
        <w:rPr>
          <w:rFonts w:ascii="Times New Roman" w:eastAsia="Times New Roman" w:hAnsi="Times New Roman"/>
          <w:sz w:val="20"/>
          <w:szCs w:val="20"/>
          <w:lang w:eastAsia="pt-BR"/>
        </w:rPr>
        <w:t>arrecadatório</w:t>
      </w:r>
      <w:proofErr w:type="spellEnd"/>
      <w:r w:rsidRPr="00D37C52">
        <w:rPr>
          <w:rFonts w:ascii="Times New Roman" w:eastAsia="Times New Roman" w:hAnsi="Times New Roman"/>
          <w:sz w:val="20"/>
          <w:szCs w:val="20"/>
          <w:lang w:eastAsia="pt-BR"/>
        </w:rPr>
        <w:t>.</w:t>
      </w:r>
    </w:p>
    <w:p w:rsidR="00E71649" w:rsidRPr="00D37C52" w:rsidRDefault="00E71649" w:rsidP="00EB2555">
      <w:pPr>
        <w:shd w:val="clear" w:color="auto" w:fill="FFFFFF"/>
        <w:spacing w:after="0" w:line="240" w:lineRule="auto"/>
        <w:ind w:left="2268"/>
        <w:jc w:val="both"/>
        <w:rPr>
          <w:rFonts w:ascii="Times New Roman" w:eastAsia="Times New Roman" w:hAnsi="Times New Roman"/>
          <w:sz w:val="20"/>
          <w:szCs w:val="20"/>
          <w:lang w:eastAsia="pt-BR"/>
        </w:rPr>
      </w:pPr>
      <w:r w:rsidRPr="00D37C52">
        <w:rPr>
          <w:rFonts w:ascii="Times New Roman" w:eastAsia="Times New Roman" w:hAnsi="Times New Roman"/>
          <w:sz w:val="20"/>
          <w:szCs w:val="20"/>
          <w:lang w:eastAsia="pt-BR"/>
        </w:rPr>
        <w:t xml:space="preserve">Extrafiscal: através de aumento ou redução de seus percentuais, visa estimular ou desestimular certas condutas. Em se tratando de impostos sobre a propriedade, a </w:t>
      </w:r>
      <w:proofErr w:type="spellStart"/>
      <w:r w:rsidRPr="00D37C52">
        <w:rPr>
          <w:rFonts w:ascii="Times New Roman" w:eastAsia="Times New Roman" w:hAnsi="Times New Roman"/>
          <w:sz w:val="20"/>
          <w:szCs w:val="20"/>
          <w:lang w:eastAsia="pt-BR"/>
        </w:rPr>
        <w:t>extrafiscalidade</w:t>
      </w:r>
      <w:proofErr w:type="spellEnd"/>
      <w:r w:rsidRPr="00D37C52">
        <w:rPr>
          <w:rFonts w:ascii="Times New Roman" w:eastAsia="Times New Roman" w:hAnsi="Times New Roman"/>
          <w:sz w:val="20"/>
          <w:szCs w:val="20"/>
          <w:lang w:eastAsia="pt-BR"/>
        </w:rPr>
        <w:t xml:space="preserve"> está diretamente relacionada ao principio constitucional da Função Social da Propriedade, elencado no art. 5º XXIII da CF.</w:t>
      </w:r>
      <w:r w:rsidR="00EB2555">
        <w:rPr>
          <w:rFonts w:ascii="Times New Roman" w:eastAsia="Times New Roman" w:hAnsi="Times New Roman"/>
          <w:sz w:val="20"/>
          <w:szCs w:val="20"/>
          <w:lang w:eastAsia="pt-BR"/>
        </w:rPr>
        <w:t xml:space="preserve"> (MARCONDES, 2014).</w:t>
      </w:r>
    </w:p>
    <w:p w:rsidR="00EB2555" w:rsidRDefault="00EB2555" w:rsidP="002C7B4A">
      <w:pPr>
        <w:spacing w:after="0" w:line="360" w:lineRule="auto"/>
        <w:jc w:val="both"/>
        <w:rPr>
          <w:rFonts w:ascii="Times New Roman" w:hAnsi="Times New Roman"/>
          <w:sz w:val="24"/>
          <w:szCs w:val="24"/>
        </w:rPr>
      </w:pPr>
    </w:p>
    <w:p w:rsidR="00E71649" w:rsidRDefault="00C76939" w:rsidP="00EB2555">
      <w:pPr>
        <w:spacing w:after="0" w:line="360" w:lineRule="auto"/>
        <w:ind w:firstLine="1134"/>
        <w:jc w:val="both"/>
        <w:rPr>
          <w:rFonts w:ascii="Times New Roman" w:hAnsi="Times New Roman"/>
          <w:sz w:val="24"/>
          <w:szCs w:val="24"/>
        </w:rPr>
      </w:pPr>
      <w:proofErr w:type="gramStart"/>
      <w:r>
        <w:rPr>
          <w:rFonts w:ascii="Times New Roman" w:hAnsi="Times New Roman"/>
          <w:sz w:val="24"/>
          <w:szCs w:val="24"/>
        </w:rPr>
        <w:t>Isto posto</w:t>
      </w:r>
      <w:proofErr w:type="gramEnd"/>
      <w:r>
        <w:rPr>
          <w:rFonts w:ascii="Times New Roman" w:hAnsi="Times New Roman"/>
          <w:sz w:val="24"/>
          <w:szCs w:val="24"/>
        </w:rPr>
        <w:t>, cabe agora esclarecer os pontos controvertidos q</w:t>
      </w:r>
      <w:r w:rsidR="00EB2555">
        <w:rPr>
          <w:rFonts w:ascii="Times New Roman" w:hAnsi="Times New Roman"/>
          <w:sz w:val="24"/>
          <w:szCs w:val="24"/>
        </w:rPr>
        <w:t>ue surgiram no que diz respeito à</w:t>
      </w:r>
      <w:r>
        <w:rPr>
          <w:rFonts w:ascii="Times New Roman" w:hAnsi="Times New Roman"/>
          <w:sz w:val="24"/>
          <w:szCs w:val="24"/>
        </w:rPr>
        <w:t xml:space="preserve"> instituição </w:t>
      </w:r>
      <w:r w:rsidR="00EB2555">
        <w:rPr>
          <w:rFonts w:ascii="Times New Roman" w:hAnsi="Times New Roman"/>
          <w:sz w:val="24"/>
          <w:szCs w:val="24"/>
        </w:rPr>
        <w:t>do critério espacial do IPTU, que foi ventilado neste capítulo e será melhor abordado no seguinte.</w:t>
      </w:r>
    </w:p>
    <w:p w:rsidR="00C76939" w:rsidRPr="000E0811" w:rsidRDefault="00C76939" w:rsidP="002C7B4A">
      <w:pPr>
        <w:spacing w:after="0" w:line="360" w:lineRule="auto"/>
        <w:jc w:val="both"/>
        <w:rPr>
          <w:rFonts w:ascii="Times New Roman" w:hAnsi="Times New Roman"/>
          <w:sz w:val="24"/>
          <w:szCs w:val="24"/>
        </w:rPr>
      </w:pPr>
    </w:p>
    <w:p w:rsidR="002C7B4A" w:rsidRPr="000E0811" w:rsidRDefault="002C7B4A" w:rsidP="002C7B4A">
      <w:pPr>
        <w:spacing w:after="0" w:line="360" w:lineRule="auto"/>
        <w:jc w:val="both"/>
        <w:rPr>
          <w:rFonts w:ascii="Times New Roman" w:hAnsi="Times New Roman"/>
          <w:b/>
          <w:sz w:val="24"/>
          <w:szCs w:val="24"/>
        </w:rPr>
      </w:pPr>
      <w:r w:rsidRPr="000E0811">
        <w:rPr>
          <w:rFonts w:ascii="Times New Roman" w:hAnsi="Times New Roman"/>
          <w:b/>
          <w:sz w:val="24"/>
          <w:szCs w:val="24"/>
        </w:rPr>
        <w:t>3</w:t>
      </w:r>
      <w:r w:rsidR="008A294D" w:rsidRPr="000E0811">
        <w:rPr>
          <w:rFonts w:ascii="Times New Roman" w:hAnsi="Times New Roman"/>
          <w:b/>
          <w:sz w:val="24"/>
          <w:szCs w:val="24"/>
        </w:rPr>
        <w:t>.</w:t>
      </w:r>
      <w:r w:rsidR="00E13A40" w:rsidRPr="000E0811">
        <w:rPr>
          <w:rFonts w:ascii="Times New Roman" w:hAnsi="Times New Roman"/>
          <w:b/>
          <w:sz w:val="24"/>
          <w:szCs w:val="24"/>
        </w:rPr>
        <w:t xml:space="preserve"> </w:t>
      </w:r>
      <w:r w:rsidR="00E85EA3" w:rsidRPr="000E0811">
        <w:rPr>
          <w:rFonts w:ascii="Times New Roman" w:hAnsi="Times New Roman"/>
          <w:b/>
          <w:sz w:val="24"/>
          <w:szCs w:val="24"/>
        </w:rPr>
        <w:t>CONSIDERAÇÕES SOBRE O CRITÉRIO ESPACIAL DO IPTU</w:t>
      </w:r>
    </w:p>
    <w:p w:rsidR="002C7B4A" w:rsidRPr="000E0811" w:rsidRDefault="002C7B4A" w:rsidP="002C7B4A">
      <w:pPr>
        <w:spacing w:after="0" w:line="360" w:lineRule="auto"/>
        <w:ind w:firstLine="1134"/>
        <w:jc w:val="both"/>
        <w:rPr>
          <w:rFonts w:ascii="Times New Roman" w:hAnsi="Times New Roman"/>
          <w:sz w:val="24"/>
          <w:szCs w:val="24"/>
        </w:rPr>
      </w:pPr>
    </w:p>
    <w:p w:rsidR="00E85EA3" w:rsidRPr="000E0811" w:rsidRDefault="00E85EA3" w:rsidP="00E85EA3">
      <w:pPr>
        <w:spacing w:after="0" w:line="360" w:lineRule="auto"/>
        <w:ind w:firstLine="1134"/>
        <w:jc w:val="both"/>
        <w:rPr>
          <w:rFonts w:ascii="Times New Roman" w:hAnsi="Times New Roman"/>
          <w:sz w:val="24"/>
          <w:szCs w:val="24"/>
        </w:rPr>
      </w:pPr>
      <w:r w:rsidRPr="000E0811">
        <w:rPr>
          <w:rFonts w:ascii="Times New Roman" w:hAnsi="Times New Roman"/>
          <w:sz w:val="24"/>
          <w:szCs w:val="24"/>
        </w:rPr>
        <w:t>Com o exame dos artigos 32, 33 e 34 do CTN, ratifica-se que o critério material, pessoal e espacial</w:t>
      </w:r>
      <w:r w:rsidR="00C54F94" w:rsidRPr="000E0811">
        <w:rPr>
          <w:rFonts w:ascii="Times New Roman" w:hAnsi="Times New Roman"/>
          <w:sz w:val="24"/>
          <w:szCs w:val="24"/>
        </w:rPr>
        <w:t>,</w:t>
      </w:r>
      <w:r w:rsidRPr="000E0811">
        <w:rPr>
          <w:rFonts w:ascii="Times New Roman" w:hAnsi="Times New Roman"/>
          <w:sz w:val="24"/>
          <w:szCs w:val="24"/>
        </w:rPr>
        <w:t xml:space="preserve"> os quais compõem a </w:t>
      </w:r>
      <w:proofErr w:type="spellStart"/>
      <w:r w:rsidRPr="000E0811">
        <w:rPr>
          <w:rFonts w:ascii="Times New Roman" w:hAnsi="Times New Roman"/>
          <w:sz w:val="24"/>
          <w:szCs w:val="24"/>
        </w:rPr>
        <w:t>regra-matriz</w:t>
      </w:r>
      <w:proofErr w:type="spellEnd"/>
      <w:r w:rsidRPr="000E0811">
        <w:rPr>
          <w:rFonts w:ascii="Times New Roman" w:hAnsi="Times New Roman"/>
          <w:sz w:val="24"/>
          <w:szCs w:val="24"/>
        </w:rPr>
        <w:t xml:space="preserve"> de incidência do IPTU</w:t>
      </w:r>
      <w:r w:rsidR="00C54F94" w:rsidRPr="000E0811">
        <w:rPr>
          <w:rFonts w:ascii="Times New Roman" w:hAnsi="Times New Roman"/>
          <w:sz w:val="24"/>
          <w:szCs w:val="24"/>
        </w:rPr>
        <w:t>, se consubstanciam em</w:t>
      </w:r>
      <w:r w:rsidRPr="000E0811">
        <w:rPr>
          <w:rFonts w:ascii="Times New Roman" w:hAnsi="Times New Roman"/>
          <w:sz w:val="24"/>
          <w:szCs w:val="24"/>
        </w:rPr>
        <w:t xml:space="preserve"> </w:t>
      </w:r>
      <w:r w:rsidRPr="000E0811">
        <w:rPr>
          <w:rFonts w:ascii="Times New Roman" w:hAnsi="Times New Roman"/>
          <w:i/>
          <w:sz w:val="24"/>
          <w:szCs w:val="24"/>
        </w:rPr>
        <w:t>ser proprietário de imóvel predial ou territorial, ser titular de domínio útil, ser possuidor a qualquer título de tal imóvel</w:t>
      </w:r>
      <w:r w:rsidRPr="000E0811">
        <w:rPr>
          <w:rFonts w:ascii="Times New Roman" w:hAnsi="Times New Roman"/>
          <w:sz w:val="24"/>
          <w:szCs w:val="24"/>
        </w:rPr>
        <w:t>. Amplia-se, ainda, que o critério espacial está relacionado à localização do imóvel a ser tributado, assim seja, na zona urbana do município competente.</w:t>
      </w:r>
    </w:p>
    <w:p w:rsidR="00E85EA3" w:rsidRPr="000E0811" w:rsidRDefault="00E85EA3" w:rsidP="00E85EA3">
      <w:pPr>
        <w:spacing w:after="0" w:line="360" w:lineRule="auto"/>
        <w:ind w:firstLine="1134"/>
        <w:jc w:val="both"/>
        <w:rPr>
          <w:rFonts w:ascii="Times New Roman" w:hAnsi="Times New Roman"/>
          <w:sz w:val="24"/>
          <w:szCs w:val="24"/>
        </w:rPr>
      </w:pPr>
      <w:r w:rsidRPr="000E0811">
        <w:rPr>
          <w:rFonts w:ascii="Times New Roman" w:hAnsi="Times New Roman"/>
          <w:sz w:val="24"/>
          <w:szCs w:val="24"/>
        </w:rPr>
        <w:t xml:space="preserve">Inicialmente vale esclarecer a primeira controvérsia sobre a </w:t>
      </w:r>
      <w:proofErr w:type="spellStart"/>
      <w:r w:rsidRPr="000E0811">
        <w:rPr>
          <w:rFonts w:ascii="Times New Roman" w:hAnsi="Times New Roman"/>
          <w:sz w:val="24"/>
          <w:szCs w:val="24"/>
        </w:rPr>
        <w:t>regra-matriz</w:t>
      </w:r>
      <w:proofErr w:type="spellEnd"/>
      <w:r w:rsidRPr="000E0811">
        <w:rPr>
          <w:rFonts w:ascii="Times New Roman" w:hAnsi="Times New Roman"/>
          <w:sz w:val="24"/>
          <w:szCs w:val="24"/>
        </w:rPr>
        <w:t xml:space="preserve"> de incidência tributária quando se tratam de critérios antecedentes.</w:t>
      </w:r>
    </w:p>
    <w:p w:rsidR="00E85EA3" w:rsidRPr="000E0811" w:rsidRDefault="00E85EA3" w:rsidP="00E85EA3">
      <w:pPr>
        <w:spacing w:after="0" w:line="360" w:lineRule="auto"/>
        <w:ind w:firstLine="1134"/>
        <w:jc w:val="both"/>
        <w:rPr>
          <w:rFonts w:ascii="Times New Roman" w:hAnsi="Times New Roman"/>
          <w:sz w:val="24"/>
          <w:szCs w:val="24"/>
          <w:lang w:val="pt-PT"/>
        </w:rPr>
      </w:pPr>
      <w:r w:rsidRPr="000E0811">
        <w:rPr>
          <w:rFonts w:ascii="Times New Roman" w:hAnsi="Times New Roman"/>
          <w:sz w:val="24"/>
          <w:szCs w:val="24"/>
        </w:rPr>
        <w:t xml:space="preserve">O artigo </w:t>
      </w:r>
      <w:r w:rsidR="00C12544" w:rsidRPr="000E0811">
        <w:rPr>
          <w:rFonts w:ascii="Times New Roman" w:hAnsi="Times New Roman"/>
          <w:sz w:val="24"/>
          <w:szCs w:val="24"/>
          <w:lang w:val="pt-PT"/>
        </w:rPr>
        <w:t>34 do CTN</w:t>
      </w:r>
      <w:r w:rsidR="00C12544" w:rsidRPr="000E0811">
        <w:rPr>
          <w:rFonts w:ascii="Times New Roman" w:hAnsi="Times New Roman"/>
          <w:sz w:val="24"/>
          <w:szCs w:val="24"/>
        </w:rPr>
        <w:t xml:space="preserve"> define</w:t>
      </w:r>
      <w:r w:rsidRPr="000E0811">
        <w:rPr>
          <w:rFonts w:ascii="Times New Roman" w:hAnsi="Times New Roman"/>
          <w:sz w:val="24"/>
          <w:szCs w:val="24"/>
        </w:rPr>
        <w:t xml:space="preserve"> como sujeito passivo do IPTU </w:t>
      </w:r>
      <w:r w:rsidRPr="000E0811">
        <w:rPr>
          <w:rFonts w:ascii="Times New Roman" w:hAnsi="Times New Roman"/>
          <w:sz w:val="24"/>
          <w:szCs w:val="24"/>
          <w:lang w:val="pt-PT"/>
        </w:rPr>
        <w:t xml:space="preserve">o proprietário do imóvel, o titular do seu domínio útil ou o seu possuidor a qualquer título. Sendo assim, considera-se sujeito passivo do IPTU “aquele que puder, de alguma forma, vir a se mostrar com </w:t>
      </w:r>
      <w:r w:rsidRPr="000E0811">
        <w:rPr>
          <w:rFonts w:ascii="Times New Roman" w:hAnsi="Times New Roman"/>
          <w:i/>
          <w:sz w:val="24"/>
          <w:szCs w:val="24"/>
          <w:lang w:val="pt-PT"/>
        </w:rPr>
        <w:t>animus dominis</w:t>
      </w:r>
      <w:r w:rsidRPr="000E0811">
        <w:rPr>
          <w:rFonts w:ascii="Times New Roman" w:hAnsi="Times New Roman"/>
          <w:sz w:val="24"/>
          <w:szCs w:val="24"/>
          <w:lang w:val="pt-PT"/>
        </w:rPr>
        <w:t xml:space="preserve"> de um proprietário, tendo como sua a coisa possuída e exteriorizando a vontade de agir como habitualmente o faz o dono, sendo insuficiente a posse de </w:t>
      </w:r>
      <w:r w:rsidRPr="000E0811">
        <w:rPr>
          <w:rFonts w:ascii="Times New Roman" w:hAnsi="Times New Roman"/>
          <w:i/>
          <w:sz w:val="24"/>
          <w:szCs w:val="24"/>
          <w:lang w:val="pt-PT"/>
        </w:rPr>
        <w:t>per si</w:t>
      </w:r>
      <w:r w:rsidRPr="000E0811">
        <w:rPr>
          <w:rFonts w:ascii="Times New Roman" w:hAnsi="Times New Roman"/>
          <w:sz w:val="24"/>
          <w:szCs w:val="24"/>
          <w:lang w:val="pt-PT"/>
        </w:rPr>
        <w:t>”. (SABBAG, p.992, 2002).</w:t>
      </w:r>
    </w:p>
    <w:p w:rsidR="00E85EA3" w:rsidRPr="000E0811" w:rsidRDefault="00E85EA3" w:rsidP="00E85EA3">
      <w:pPr>
        <w:spacing w:after="0" w:line="360" w:lineRule="auto"/>
        <w:ind w:firstLine="1134"/>
        <w:jc w:val="both"/>
        <w:rPr>
          <w:rFonts w:ascii="Times New Roman" w:hAnsi="Times New Roman"/>
          <w:sz w:val="24"/>
          <w:szCs w:val="24"/>
          <w:lang w:val="pt-PT"/>
        </w:rPr>
      </w:pPr>
      <w:r w:rsidRPr="000E0811">
        <w:rPr>
          <w:rFonts w:ascii="Times New Roman" w:hAnsi="Times New Roman"/>
          <w:sz w:val="24"/>
          <w:szCs w:val="24"/>
          <w:lang w:val="pt-PT"/>
        </w:rPr>
        <w:t>Consoante o posicionamento do STJ, veja-se que:</w:t>
      </w:r>
    </w:p>
    <w:p w:rsidR="00336C70" w:rsidRPr="000E0811" w:rsidRDefault="00336C70" w:rsidP="00336C70">
      <w:pPr>
        <w:spacing w:after="0" w:line="240" w:lineRule="auto"/>
        <w:ind w:firstLine="1134"/>
        <w:jc w:val="both"/>
        <w:rPr>
          <w:rFonts w:ascii="Times New Roman" w:hAnsi="Times New Roman"/>
          <w:sz w:val="24"/>
          <w:szCs w:val="24"/>
          <w:lang w:val="pt-PT"/>
        </w:rPr>
      </w:pPr>
    </w:p>
    <w:p w:rsidR="00E85EA3" w:rsidRPr="000E0811" w:rsidRDefault="00E85EA3" w:rsidP="00336C70">
      <w:pPr>
        <w:spacing w:after="0" w:line="240" w:lineRule="auto"/>
        <w:ind w:left="2268"/>
        <w:jc w:val="both"/>
        <w:rPr>
          <w:rFonts w:ascii="Times New Roman" w:hAnsi="Times New Roman"/>
          <w:sz w:val="20"/>
          <w:szCs w:val="24"/>
          <w:lang w:val="pt-PT"/>
        </w:rPr>
      </w:pPr>
      <w:r w:rsidRPr="000E0811">
        <w:rPr>
          <w:rFonts w:ascii="Times New Roman" w:hAnsi="Times New Roman"/>
          <w:sz w:val="20"/>
          <w:szCs w:val="24"/>
          <w:lang w:val="pt-PT"/>
        </w:rPr>
        <w:t xml:space="preserve">TRIBUTÁRIO. AGRAVO REGIMENTAL EM AGRAVO EM RECURSO ESPECIAL. IPTU. SUJEITO PASSIVO. AUSÊNCIA DE ANIMUS DOMINI. PROPRIETÁRIO EM SENTIDO FORMAL. AGRAVO </w:t>
      </w:r>
      <w:r w:rsidRPr="000E0811">
        <w:rPr>
          <w:rFonts w:ascii="Times New Roman" w:hAnsi="Times New Roman"/>
          <w:sz w:val="20"/>
          <w:szCs w:val="24"/>
          <w:lang w:val="pt-PT"/>
        </w:rPr>
        <w:lastRenderedPageBreak/>
        <w:t>REGIMENTAL NÃO PROVIDO. 1.  A jurisprudência do STJ é pacífica no sentido de que somente a posse com animus domini é apta a gerar a exação predial urbana. 2. Agravo regimental não provido.</w:t>
      </w:r>
      <w:r w:rsidR="00336C70" w:rsidRPr="000E0811">
        <w:rPr>
          <w:rFonts w:ascii="Times New Roman" w:hAnsi="Times New Roman"/>
          <w:sz w:val="20"/>
          <w:szCs w:val="24"/>
          <w:lang w:val="pt-PT"/>
        </w:rPr>
        <w:t xml:space="preserve"> </w:t>
      </w:r>
      <w:r w:rsidR="00336C70" w:rsidRPr="000E0811">
        <w:rPr>
          <w:rFonts w:ascii="Times New Roman" w:hAnsi="Times New Roman"/>
          <w:sz w:val="20"/>
          <w:szCs w:val="20"/>
          <w:lang w:val="pt-PT"/>
        </w:rPr>
        <w:t>(</w:t>
      </w:r>
      <w:r w:rsidR="00336C70" w:rsidRPr="000E0811">
        <w:rPr>
          <w:rFonts w:ascii="Times New Roman" w:hAnsi="Times New Roman"/>
          <w:sz w:val="20"/>
          <w:szCs w:val="20"/>
        </w:rPr>
        <w:t xml:space="preserve">BRASIL. SUPERIOR Tribunal de Justiça. AGRAVO REGIMENTAL nº 544086/ RJ AGRAVO REGIMENTAL NO AGRAVO EM RECURSO ESPECIAL 2014/0166490-8. RELATOR: Ministro MAURO CAMPBELL MARQUES. Rio de Janeiro: 23 de setembro de 2014. </w:t>
      </w:r>
      <w:proofErr w:type="gramStart"/>
      <w:r w:rsidR="00336C70" w:rsidRPr="000E0811">
        <w:rPr>
          <w:rFonts w:ascii="Times New Roman" w:hAnsi="Times New Roman"/>
          <w:sz w:val="20"/>
          <w:szCs w:val="20"/>
        </w:rPr>
        <w:t>Diário da Justiça: 30 de setembro de 2014)</w:t>
      </w:r>
      <w:proofErr w:type="gramEnd"/>
      <w:r w:rsidR="00336C70" w:rsidRPr="000E0811">
        <w:rPr>
          <w:rFonts w:ascii="Times New Roman" w:hAnsi="Times New Roman"/>
          <w:sz w:val="20"/>
          <w:szCs w:val="24"/>
          <w:lang w:val="pt-PT"/>
        </w:rPr>
        <w:t>.</w:t>
      </w:r>
    </w:p>
    <w:p w:rsidR="00E85EA3" w:rsidRPr="000E0811" w:rsidRDefault="00E85EA3" w:rsidP="00E85EA3">
      <w:pPr>
        <w:spacing w:after="0" w:line="360" w:lineRule="auto"/>
        <w:ind w:firstLine="1134"/>
        <w:jc w:val="both"/>
        <w:rPr>
          <w:rFonts w:ascii="Times New Roman" w:hAnsi="Times New Roman"/>
          <w:sz w:val="24"/>
          <w:szCs w:val="24"/>
          <w:lang w:val="pt-PT"/>
        </w:rPr>
      </w:pPr>
    </w:p>
    <w:p w:rsidR="00E85EA3" w:rsidRPr="000E0811" w:rsidRDefault="00E85EA3" w:rsidP="00E85EA3">
      <w:pPr>
        <w:spacing w:after="0" w:line="360" w:lineRule="auto"/>
        <w:ind w:firstLine="1134"/>
        <w:jc w:val="both"/>
        <w:rPr>
          <w:rFonts w:ascii="Times New Roman" w:hAnsi="Times New Roman"/>
          <w:sz w:val="24"/>
          <w:szCs w:val="24"/>
          <w:lang w:val="pt-PT"/>
        </w:rPr>
      </w:pPr>
      <w:r w:rsidRPr="000E0811">
        <w:rPr>
          <w:rFonts w:ascii="Times New Roman" w:hAnsi="Times New Roman"/>
          <w:sz w:val="24"/>
          <w:szCs w:val="24"/>
          <w:lang w:val="pt-PT"/>
        </w:rPr>
        <w:t>A jurisprudência do STJ também se manifesta sobre a responsabilidade solidária entre o vendendor e o promitente comprador de determinado imóvel, assim ambos são contribuintes responsáveis pelo pagamento do IPTU e no caso de inadimplênciado imposto, os dois são sujeitos passivos legítimos numa eventual execução fiscal. Cabe ao legislador municipal eleger o sujeito passivo do tributo, contemplando qualquer das situações previstas no CTN.</w:t>
      </w:r>
    </w:p>
    <w:p w:rsidR="00E85EA3" w:rsidRPr="000E0811" w:rsidRDefault="00E85EA3" w:rsidP="00E85EA3">
      <w:pPr>
        <w:spacing w:after="0" w:line="360" w:lineRule="auto"/>
        <w:ind w:firstLine="1134"/>
        <w:jc w:val="both"/>
        <w:rPr>
          <w:rFonts w:ascii="Times New Roman" w:hAnsi="Times New Roman"/>
          <w:sz w:val="24"/>
          <w:szCs w:val="24"/>
        </w:rPr>
      </w:pPr>
      <w:r w:rsidRPr="000E0811">
        <w:rPr>
          <w:rFonts w:ascii="Times New Roman" w:hAnsi="Times New Roman"/>
          <w:sz w:val="24"/>
          <w:szCs w:val="24"/>
          <w:lang w:val="pt-PT"/>
        </w:rPr>
        <w:t xml:space="preserve">Além da controvérsia quanto posse do imóvel sobre o qual incidirá o fato gerador do imposto, o que revela a condição de riqueza do contibuinte. </w:t>
      </w:r>
      <w:r w:rsidRPr="000E0811">
        <w:rPr>
          <w:rFonts w:ascii="Times New Roman" w:hAnsi="Times New Roman"/>
          <w:sz w:val="24"/>
          <w:szCs w:val="24"/>
        </w:rPr>
        <w:t xml:space="preserve">É a partir do critério espacial que se invoca a discussão na jurisprudência e doutrina tributária, a ser considerada polêmica a definição para aplicação da </w:t>
      </w:r>
      <w:proofErr w:type="spellStart"/>
      <w:r w:rsidRPr="000E0811">
        <w:rPr>
          <w:rFonts w:ascii="Times New Roman" w:hAnsi="Times New Roman"/>
          <w:sz w:val="24"/>
          <w:szCs w:val="24"/>
        </w:rPr>
        <w:t>regra-matriz</w:t>
      </w:r>
      <w:proofErr w:type="spellEnd"/>
      <w:r w:rsidRPr="000E0811">
        <w:rPr>
          <w:rFonts w:ascii="Times New Roman" w:hAnsi="Times New Roman"/>
          <w:sz w:val="24"/>
          <w:szCs w:val="24"/>
        </w:rPr>
        <w:t xml:space="preserve"> de incidência tributária.</w:t>
      </w:r>
    </w:p>
    <w:p w:rsidR="00E85EA3" w:rsidRPr="000E0811" w:rsidRDefault="00E85EA3" w:rsidP="00E85EA3">
      <w:pPr>
        <w:spacing w:after="0" w:line="360" w:lineRule="auto"/>
        <w:ind w:firstLine="1134"/>
        <w:jc w:val="both"/>
        <w:rPr>
          <w:rFonts w:ascii="Times New Roman" w:hAnsi="Times New Roman"/>
          <w:sz w:val="24"/>
          <w:szCs w:val="24"/>
        </w:rPr>
      </w:pPr>
      <w:r w:rsidRPr="000E0811">
        <w:rPr>
          <w:rFonts w:ascii="Times New Roman" w:hAnsi="Times New Roman"/>
          <w:sz w:val="24"/>
          <w:szCs w:val="24"/>
        </w:rPr>
        <w:t>É importante esclarecer que imóvel urbano</w:t>
      </w:r>
      <w:r w:rsidR="00C12544" w:rsidRPr="000E0811">
        <w:rPr>
          <w:rFonts w:ascii="Times New Roman" w:hAnsi="Times New Roman"/>
          <w:sz w:val="24"/>
          <w:szCs w:val="24"/>
        </w:rPr>
        <w:t xml:space="preserve"> é aquele expressamente definido</w:t>
      </w:r>
      <w:r w:rsidRPr="000E0811">
        <w:rPr>
          <w:rFonts w:ascii="Times New Roman" w:hAnsi="Times New Roman"/>
          <w:sz w:val="24"/>
          <w:szCs w:val="24"/>
        </w:rPr>
        <w:t xml:space="preserve"> em lei local e cuja destinação está voltada à habitação, à indústria ou ao comércio, ou seja, observada a sua função social, bem como de outra vertente sob o critério geográfico, entende que urbano é o imóvel localizado na zona urbana, excluídos dos localizados da zona rural, de mesma forma o critério legal.</w:t>
      </w:r>
    </w:p>
    <w:p w:rsidR="00E85EA3" w:rsidRPr="000E0811" w:rsidRDefault="00E85EA3" w:rsidP="00E85EA3">
      <w:pPr>
        <w:spacing w:after="0" w:line="360" w:lineRule="auto"/>
        <w:ind w:firstLine="1134"/>
        <w:jc w:val="both"/>
        <w:rPr>
          <w:rFonts w:ascii="Times New Roman" w:hAnsi="Times New Roman"/>
          <w:sz w:val="24"/>
          <w:szCs w:val="24"/>
        </w:rPr>
      </w:pPr>
      <w:r w:rsidRPr="000E0811">
        <w:rPr>
          <w:rFonts w:ascii="Times New Roman" w:hAnsi="Times New Roman"/>
          <w:sz w:val="24"/>
          <w:szCs w:val="24"/>
        </w:rPr>
        <w:t>Dispõe também o art</w:t>
      </w:r>
      <w:r w:rsidR="00336C70" w:rsidRPr="000E0811">
        <w:rPr>
          <w:rFonts w:ascii="Times New Roman" w:hAnsi="Times New Roman"/>
          <w:sz w:val="24"/>
          <w:szCs w:val="24"/>
        </w:rPr>
        <w:t>. 32, do CTN sobre zona urbana:</w:t>
      </w:r>
    </w:p>
    <w:p w:rsidR="00336C70" w:rsidRPr="000E0811" w:rsidRDefault="00336C70" w:rsidP="00336C70">
      <w:pPr>
        <w:spacing w:after="0" w:line="240" w:lineRule="auto"/>
        <w:ind w:left="2268"/>
        <w:jc w:val="both"/>
        <w:rPr>
          <w:rFonts w:ascii="Times New Roman" w:hAnsi="Times New Roman"/>
          <w:sz w:val="20"/>
          <w:szCs w:val="24"/>
        </w:rPr>
      </w:pPr>
    </w:p>
    <w:p w:rsidR="00E85EA3" w:rsidRPr="000E0811" w:rsidRDefault="00E85EA3" w:rsidP="00336C70">
      <w:pPr>
        <w:spacing w:after="0" w:line="240" w:lineRule="auto"/>
        <w:ind w:left="2268"/>
        <w:jc w:val="both"/>
        <w:rPr>
          <w:rFonts w:ascii="Times New Roman" w:hAnsi="Times New Roman"/>
          <w:sz w:val="20"/>
          <w:szCs w:val="24"/>
        </w:rPr>
      </w:pPr>
      <w:r w:rsidRPr="000E0811">
        <w:rPr>
          <w:rFonts w:ascii="Times New Roman" w:hAnsi="Times New Roman"/>
          <w:sz w:val="20"/>
          <w:szCs w:val="24"/>
        </w:rPr>
        <w:t>§ 1º Para os efeitos deste imposto, entende-se como zona urbana a definida em lei municipal; observado o requisito mínimo da existência de melhoramentos indicados em pelo menos 2 (dois) dos incisos seguintes, construídos ou mantidos pelo Poder Público:</w:t>
      </w:r>
    </w:p>
    <w:p w:rsidR="00E85EA3" w:rsidRPr="000E0811" w:rsidRDefault="00E85EA3" w:rsidP="00336C70">
      <w:pPr>
        <w:spacing w:after="0" w:line="240" w:lineRule="auto"/>
        <w:ind w:left="2268"/>
        <w:jc w:val="both"/>
        <w:rPr>
          <w:rFonts w:ascii="Times New Roman" w:hAnsi="Times New Roman"/>
          <w:sz w:val="20"/>
          <w:szCs w:val="24"/>
        </w:rPr>
      </w:pPr>
      <w:r w:rsidRPr="000E0811">
        <w:rPr>
          <w:rFonts w:ascii="Times New Roman" w:hAnsi="Times New Roman"/>
          <w:sz w:val="20"/>
          <w:szCs w:val="24"/>
        </w:rPr>
        <w:t>I - meio-fio ou calçamento, com canalização de águas pluviais;</w:t>
      </w:r>
    </w:p>
    <w:p w:rsidR="00E85EA3" w:rsidRPr="000E0811" w:rsidRDefault="00E85EA3" w:rsidP="00336C70">
      <w:pPr>
        <w:spacing w:after="0" w:line="240" w:lineRule="auto"/>
        <w:ind w:left="2268"/>
        <w:jc w:val="both"/>
        <w:rPr>
          <w:rFonts w:ascii="Times New Roman" w:hAnsi="Times New Roman"/>
          <w:sz w:val="20"/>
          <w:szCs w:val="24"/>
        </w:rPr>
      </w:pPr>
      <w:r w:rsidRPr="000E0811">
        <w:rPr>
          <w:rFonts w:ascii="Times New Roman" w:hAnsi="Times New Roman"/>
          <w:sz w:val="20"/>
          <w:szCs w:val="24"/>
        </w:rPr>
        <w:t>II - abastecimento de água;</w:t>
      </w:r>
    </w:p>
    <w:p w:rsidR="00E85EA3" w:rsidRPr="000E0811" w:rsidRDefault="00E85EA3" w:rsidP="00336C70">
      <w:pPr>
        <w:spacing w:after="0" w:line="240" w:lineRule="auto"/>
        <w:ind w:left="2268"/>
        <w:jc w:val="both"/>
        <w:rPr>
          <w:rFonts w:ascii="Times New Roman" w:hAnsi="Times New Roman"/>
          <w:sz w:val="20"/>
          <w:szCs w:val="24"/>
        </w:rPr>
      </w:pPr>
      <w:r w:rsidRPr="000E0811">
        <w:rPr>
          <w:rFonts w:ascii="Times New Roman" w:hAnsi="Times New Roman"/>
          <w:sz w:val="20"/>
          <w:szCs w:val="24"/>
        </w:rPr>
        <w:t>III - sistema de esgotos sanitários;</w:t>
      </w:r>
    </w:p>
    <w:p w:rsidR="00E85EA3" w:rsidRPr="000E0811" w:rsidRDefault="00E85EA3" w:rsidP="00336C70">
      <w:pPr>
        <w:spacing w:after="0" w:line="240" w:lineRule="auto"/>
        <w:ind w:left="2268"/>
        <w:jc w:val="both"/>
        <w:rPr>
          <w:rFonts w:ascii="Times New Roman" w:hAnsi="Times New Roman"/>
          <w:sz w:val="20"/>
          <w:szCs w:val="24"/>
        </w:rPr>
      </w:pPr>
      <w:r w:rsidRPr="000E0811">
        <w:rPr>
          <w:rFonts w:ascii="Times New Roman" w:hAnsi="Times New Roman"/>
          <w:sz w:val="20"/>
          <w:szCs w:val="24"/>
        </w:rPr>
        <w:t xml:space="preserve">IV - rede de iluminação pública, com ou sem </w:t>
      </w:r>
      <w:proofErr w:type="spellStart"/>
      <w:r w:rsidRPr="000E0811">
        <w:rPr>
          <w:rFonts w:ascii="Times New Roman" w:hAnsi="Times New Roman"/>
          <w:sz w:val="20"/>
          <w:szCs w:val="24"/>
        </w:rPr>
        <w:t>posteamento</w:t>
      </w:r>
      <w:proofErr w:type="spellEnd"/>
      <w:r w:rsidRPr="000E0811">
        <w:rPr>
          <w:rFonts w:ascii="Times New Roman" w:hAnsi="Times New Roman"/>
          <w:sz w:val="20"/>
          <w:szCs w:val="24"/>
        </w:rPr>
        <w:t xml:space="preserve"> para distribuição domiciliar;</w:t>
      </w:r>
    </w:p>
    <w:p w:rsidR="00E85EA3" w:rsidRPr="000E0811" w:rsidRDefault="00E85EA3" w:rsidP="00336C70">
      <w:pPr>
        <w:spacing w:after="0" w:line="240" w:lineRule="auto"/>
        <w:ind w:left="2268"/>
        <w:jc w:val="both"/>
        <w:rPr>
          <w:rFonts w:ascii="Times New Roman" w:hAnsi="Times New Roman"/>
          <w:sz w:val="20"/>
          <w:szCs w:val="24"/>
        </w:rPr>
      </w:pPr>
      <w:r w:rsidRPr="000E0811">
        <w:rPr>
          <w:rFonts w:ascii="Times New Roman" w:hAnsi="Times New Roman"/>
          <w:sz w:val="20"/>
          <w:szCs w:val="24"/>
        </w:rPr>
        <w:t>V - escola primária ou posto de saúde a uma distância máxima de 3 (três) quilômetros do imóvel considerado.</w:t>
      </w:r>
    </w:p>
    <w:p w:rsidR="00E85EA3" w:rsidRPr="000E0811" w:rsidRDefault="00E85EA3" w:rsidP="00E85EA3">
      <w:pPr>
        <w:autoSpaceDE w:val="0"/>
        <w:autoSpaceDN w:val="0"/>
        <w:adjustRightInd w:val="0"/>
        <w:spacing w:after="0" w:line="360" w:lineRule="auto"/>
        <w:jc w:val="both"/>
        <w:rPr>
          <w:rFonts w:ascii="Times New Roman" w:hAnsi="Times New Roman"/>
          <w:sz w:val="24"/>
          <w:szCs w:val="24"/>
          <w:lang w:eastAsia="pt-BR"/>
        </w:rPr>
      </w:pP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Fraga faz alusão às áreas urbanizáveis, no sentido de que:</w:t>
      </w:r>
    </w:p>
    <w:p w:rsidR="00C279DB" w:rsidRDefault="00C279DB" w:rsidP="00E85EA3">
      <w:pPr>
        <w:autoSpaceDE w:val="0"/>
        <w:autoSpaceDN w:val="0"/>
        <w:adjustRightInd w:val="0"/>
        <w:spacing w:after="0" w:line="240" w:lineRule="auto"/>
        <w:ind w:left="2268"/>
        <w:jc w:val="both"/>
        <w:rPr>
          <w:rFonts w:ascii="Times New Roman" w:hAnsi="Times New Roman"/>
          <w:sz w:val="20"/>
          <w:szCs w:val="24"/>
          <w:lang w:eastAsia="pt-BR"/>
        </w:rPr>
      </w:pPr>
    </w:p>
    <w:p w:rsidR="00E85EA3" w:rsidRPr="000E0811" w:rsidRDefault="00E85EA3" w:rsidP="00E85EA3">
      <w:pPr>
        <w:autoSpaceDE w:val="0"/>
        <w:autoSpaceDN w:val="0"/>
        <w:adjustRightInd w:val="0"/>
        <w:spacing w:after="0" w:line="240" w:lineRule="auto"/>
        <w:ind w:left="2268"/>
        <w:jc w:val="both"/>
        <w:rPr>
          <w:rFonts w:ascii="Times New Roman" w:hAnsi="Times New Roman"/>
          <w:sz w:val="20"/>
          <w:szCs w:val="24"/>
          <w:lang w:eastAsia="pt-BR"/>
        </w:rPr>
      </w:pPr>
      <w:r w:rsidRPr="000E0811">
        <w:rPr>
          <w:rFonts w:ascii="Times New Roman" w:hAnsi="Times New Roman"/>
          <w:sz w:val="20"/>
          <w:szCs w:val="24"/>
          <w:lang w:eastAsia="pt-BR"/>
        </w:rPr>
        <w:t xml:space="preserve">Ainda nos termos do § 2.º do artigo 32, a lei municipal também pode considerar como áreas urbanas as áreas urbanizáveis, ou de expansão urbana, constantes de loteamentos aprovados pelos órgãos competentes, destinados à habitação, à indústria ou ao comércio, mesmo que localizados fora das zonas </w:t>
      </w:r>
      <w:r w:rsidRPr="000E0811">
        <w:rPr>
          <w:rFonts w:ascii="Times New Roman" w:hAnsi="Times New Roman"/>
          <w:sz w:val="20"/>
          <w:szCs w:val="24"/>
          <w:lang w:eastAsia="pt-BR"/>
        </w:rPr>
        <w:lastRenderedPageBreak/>
        <w:t xml:space="preserve">definidas taxativamente como urbanas. A </w:t>
      </w:r>
      <w:proofErr w:type="spellStart"/>
      <w:r w:rsidRPr="000E0811">
        <w:rPr>
          <w:rFonts w:ascii="Times New Roman" w:hAnsi="Times New Roman"/>
          <w:sz w:val="20"/>
          <w:szCs w:val="24"/>
          <w:lang w:eastAsia="pt-BR"/>
        </w:rPr>
        <w:t>idéia</w:t>
      </w:r>
      <w:proofErr w:type="spellEnd"/>
      <w:r w:rsidRPr="000E0811">
        <w:rPr>
          <w:rFonts w:ascii="Times New Roman" w:hAnsi="Times New Roman"/>
          <w:sz w:val="20"/>
          <w:szCs w:val="24"/>
          <w:lang w:eastAsia="pt-BR"/>
        </w:rPr>
        <w:t xml:space="preserve"> é permitir a cobrança do IPTU sobre aquelas áreas que estão sendo transformadas em zonas urbanas, mas que ainda não disponham, por motivo justificável, dos melhoramentos indicados no § 1.º do mesmo artigo.</w:t>
      </w:r>
      <w:r w:rsidR="00336C70" w:rsidRPr="000E0811">
        <w:rPr>
          <w:rFonts w:ascii="Times New Roman" w:hAnsi="Times New Roman"/>
          <w:sz w:val="20"/>
          <w:szCs w:val="24"/>
          <w:lang w:eastAsia="pt-BR"/>
        </w:rPr>
        <w:t xml:space="preserve"> (FRAGA, p. 07).</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Em sendo assim, compete ao município, partindo-se do princípio da autonomia política entre os entes federados, a definição de zona urbana para adequação da cobrança do IPTU. A partir da Emenda Constitucional n.º 18, de 1 de dezembro 1965, o âmbito de incidência do IPTU passou a limitar-se à propriedade predial e territorial urbana</w:t>
      </w:r>
      <w:r w:rsidRPr="000E0811">
        <w:rPr>
          <w:rStyle w:val="Refdenotaderodap"/>
          <w:rFonts w:ascii="Times New Roman" w:hAnsi="Times New Roman"/>
          <w:sz w:val="24"/>
          <w:szCs w:val="24"/>
          <w:lang w:eastAsia="pt-BR"/>
        </w:rPr>
        <w:footnoteReference w:id="1"/>
      </w:r>
      <w:r w:rsidRPr="000E0811">
        <w:rPr>
          <w:rFonts w:ascii="Times New Roman" w:hAnsi="Times New Roman"/>
          <w:sz w:val="24"/>
          <w:szCs w:val="24"/>
          <w:lang w:eastAsia="pt-BR"/>
        </w:rPr>
        <w:t xml:space="preserve">, o que não vem causar conflito de competência com a União, uma vez que a este ente </w:t>
      </w:r>
      <w:proofErr w:type="gramStart"/>
      <w:r w:rsidRPr="000E0811">
        <w:rPr>
          <w:rFonts w:ascii="Times New Roman" w:hAnsi="Times New Roman"/>
          <w:sz w:val="24"/>
          <w:szCs w:val="24"/>
          <w:lang w:eastAsia="pt-BR"/>
        </w:rPr>
        <w:t>esta vinculado</w:t>
      </w:r>
      <w:proofErr w:type="gramEnd"/>
      <w:r w:rsidRPr="000E0811">
        <w:rPr>
          <w:rFonts w:ascii="Times New Roman" w:hAnsi="Times New Roman"/>
          <w:sz w:val="24"/>
          <w:szCs w:val="24"/>
          <w:lang w:eastAsia="pt-BR"/>
        </w:rPr>
        <w:t xml:space="preserve"> a competência sobre o Imposto Territorial Rural – ITR.</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Como bem assevera Peixoto:</w:t>
      </w:r>
    </w:p>
    <w:p w:rsidR="00336C70" w:rsidRPr="000E0811" w:rsidRDefault="00336C70" w:rsidP="00E85EA3">
      <w:pPr>
        <w:autoSpaceDE w:val="0"/>
        <w:autoSpaceDN w:val="0"/>
        <w:adjustRightInd w:val="0"/>
        <w:spacing w:after="0" w:line="240" w:lineRule="auto"/>
        <w:ind w:left="2268"/>
        <w:jc w:val="both"/>
        <w:rPr>
          <w:rFonts w:ascii="Times New Roman" w:hAnsi="Times New Roman"/>
          <w:sz w:val="20"/>
          <w:szCs w:val="24"/>
          <w:lang w:eastAsia="pt-BR"/>
        </w:rPr>
      </w:pPr>
    </w:p>
    <w:p w:rsidR="00E85EA3" w:rsidRPr="000E0811" w:rsidRDefault="00E85EA3" w:rsidP="00E85EA3">
      <w:pPr>
        <w:autoSpaceDE w:val="0"/>
        <w:autoSpaceDN w:val="0"/>
        <w:adjustRightInd w:val="0"/>
        <w:spacing w:after="0" w:line="240" w:lineRule="auto"/>
        <w:ind w:left="2268"/>
        <w:jc w:val="both"/>
        <w:rPr>
          <w:rFonts w:ascii="Times New Roman" w:hAnsi="Times New Roman"/>
          <w:sz w:val="20"/>
          <w:szCs w:val="24"/>
          <w:lang w:eastAsia="pt-BR"/>
        </w:rPr>
      </w:pPr>
      <w:r w:rsidRPr="000E0811">
        <w:rPr>
          <w:rFonts w:ascii="Times New Roman" w:hAnsi="Times New Roman"/>
          <w:sz w:val="20"/>
          <w:szCs w:val="24"/>
          <w:lang w:eastAsia="pt-BR"/>
        </w:rPr>
        <w:t xml:space="preserve">Ora, se cabe à Lei Complementar dispor sobre os conflitos de competência, a </w:t>
      </w:r>
      <w:proofErr w:type="spellStart"/>
      <w:r w:rsidRPr="000E0811">
        <w:rPr>
          <w:rFonts w:ascii="Times New Roman" w:hAnsi="Times New Roman"/>
          <w:sz w:val="20"/>
          <w:szCs w:val="24"/>
          <w:lang w:eastAsia="pt-BR"/>
        </w:rPr>
        <w:t>nor</w:t>
      </w:r>
      <w:proofErr w:type="spellEnd"/>
      <w:r w:rsidRPr="000E0811">
        <w:rPr>
          <w:rFonts w:ascii="Times New Roman" w:hAnsi="Times New Roman"/>
          <w:sz w:val="20"/>
          <w:szCs w:val="24"/>
          <w:lang w:eastAsia="pt-BR"/>
        </w:rPr>
        <w:t>- ma do CTN deriva da Constituição Federal. O artigo 32 § 1º do CTN, o legislador complementar não extrapolou seus poderes, ao contrário, cumpriu um mandamento constitucional, preencheu a lacuna sobre esse tema. Note-se que, se assim não o fizesse, teria persistido o conflito de competência e a tributação da propriedade territorial, quer urbana, quer rural, careceria de segurança jurídica.</w:t>
      </w:r>
      <w:r w:rsidR="00336C70" w:rsidRPr="000E0811">
        <w:rPr>
          <w:rFonts w:ascii="Times New Roman" w:hAnsi="Times New Roman"/>
          <w:sz w:val="20"/>
          <w:szCs w:val="24"/>
          <w:lang w:eastAsia="pt-BR"/>
        </w:rPr>
        <w:t xml:space="preserve"> (PEIXOTO, p. </w:t>
      </w:r>
      <w:r w:rsidR="001778E5" w:rsidRPr="000E0811">
        <w:rPr>
          <w:rFonts w:ascii="Times New Roman" w:hAnsi="Times New Roman"/>
          <w:sz w:val="20"/>
          <w:szCs w:val="24"/>
          <w:lang w:eastAsia="pt-BR"/>
        </w:rPr>
        <w:t>426, 2002</w:t>
      </w:r>
      <w:r w:rsidR="00336C70" w:rsidRPr="000E0811">
        <w:rPr>
          <w:rFonts w:ascii="Times New Roman" w:hAnsi="Times New Roman"/>
          <w:sz w:val="20"/>
          <w:szCs w:val="24"/>
          <w:lang w:eastAsia="pt-BR"/>
        </w:rPr>
        <w:t>).</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16"/>
          <w:szCs w:val="16"/>
          <w:lang w:eastAsia="pt-BR"/>
        </w:rPr>
      </w:pP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Vale dizer que cabe ainda ao Município, segundo orientação do artigo 182 da CF, executar as políticas de desenvolvimento urbano, com</w:t>
      </w:r>
      <w:r w:rsidR="00C12544" w:rsidRPr="000E0811">
        <w:rPr>
          <w:rFonts w:ascii="Times New Roman" w:hAnsi="Times New Roman"/>
          <w:sz w:val="24"/>
          <w:szCs w:val="24"/>
          <w:lang w:eastAsia="pt-BR"/>
        </w:rPr>
        <w:t xml:space="preserve"> </w:t>
      </w:r>
      <w:r w:rsidRPr="000E0811">
        <w:rPr>
          <w:rFonts w:ascii="Times New Roman" w:hAnsi="Times New Roman"/>
          <w:sz w:val="24"/>
          <w:szCs w:val="24"/>
          <w:lang w:eastAsia="pt-BR"/>
        </w:rPr>
        <w:t xml:space="preserve">o escopo de </w:t>
      </w:r>
      <w:r w:rsidRPr="000E0811">
        <w:rPr>
          <w:rFonts w:ascii="Times New Roman" w:hAnsi="Times New Roman"/>
          <w:i/>
          <w:sz w:val="24"/>
          <w:szCs w:val="24"/>
          <w:lang w:eastAsia="pt-BR"/>
        </w:rPr>
        <w:t>ordenar o planejamento das políticas urbanas</w:t>
      </w:r>
      <w:r w:rsidRPr="000E0811">
        <w:rPr>
          <w:rFonts w:ascii="Times New Roman" w:hAnsi="Times New Roman"/>
          <w:sz w:val="24"/>
          <w:szCs w:val="24"/>
          <w:lang w:eastAsia="pt-BR"/>
        </w:rPr>
        <w:t xml:space="preserve">, as </w:t>
      </w:r>
      <w:r w:rsidRPr="000E0811">
        <w:rPr>
          <w:rFonts w:ascii="Times New Roman" w:hAnsi="Times New Roman"/>
          <w:i/>
          <w:sz w:val="24"/>
          <w:szCs w:val="24"/>
          <w:lang w:eastAsia="pt-BR"/>
        </w:rPr>
        <w:t>funções sociais da cidade</w:t>
      </w:r>
      <w:r w:rsidRPr="000E0811">
        <w:rPr>
          <w:rFonts w:ascii="Times New Roman" w:hAnsi="Times New Roman"/>
          <w:sz w:val="24"/>
          <w:szCs w:val="24"/>
          <w:lang w:eastAsia="pt-BR"/>
        </w:rPr>
        <w:t xml:space="preserve"> e </w:t>
      </w:r>
      <w:r w:rsidRPr="000E0811">
        <w:rPr>
          <w:rFonts w:ascii="Times New Roman" w:hAnsi="Times New Roman"/>
          <w:i/>
          <w:sz w:val="24"/>
          <w:szCs w:val="24"/>
          <w:lang w:eastAsia="pt-BR"/>
        </w:rPr>
        <w:t>garantir o bem- estar de seus habitantes</w:t>
      </w:r>
      <w:r w:rsidRPr="000E0811">
        <w:rPr>
          <w:rFonts w:ascii="Times New Roman" w:hAnsi="Times New Roman"/>
          <w:sz w:val="24"/>
          <w:szCs w:val="24"/>
          <w:lang w:eastAsia="pt-BR"/>
        </w:rPr>
        <w:t>.</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Parte da doutrina dispõe que há incons</w:t>
      </w:r>
      <w:r w:rsidR="00C12544" w:rsidRPr="000E0811">
        <w:rPr>
          <w:rFonts w:ascii="Times New Roman" w:hAnsi="Times New Roman"/>
          <w:sz w:val="24"/>
          <w:szCs w:val="24"/>
          <w:lang w:eastAsia="pt-BR"/>
        </w:rPr>
        <w:t>titucionalidade da lei quando da</w:t>
      </w:r>
      <w:r w:rsidRPr="000E0811">
        <w:rPr>
          <w:rFonts w:ascii="Times New Roman" w:hAnsi="Times New Roman"/>
          <w:sz w:val="24"/>
          <w:szCs w:val="24"/>
          <w:lang w:eastAsia="pt-BR"/>
        </w:rPr>
        <w:t xml:space="preserve"> competência ao Município para legislar sobre o IPTU, contudo Fraga atenta para o artigo 146, I da CF que delibera sobre a lei complementar para dirimir sobre conflitos de competência e ressalta que o “artigo 32, § 1.º, do CTN, recepcionado pela Constituição com força de lei complementar, cumpre exatamente o seu papel constitucional para evitar o conflito, de forma que pode e deve ser considerado constitucional”.</w:t>
      </w:r>
      <w:r w:rsidR="001778E5" w:rsidRPr="000E0811">
        <w:rPr>
          <w:rFonts w:ascii="Times New Roman" w:hAnsi="Times New Roman"/>
          <w:sz w:val="24"/>
          <w:szCs w:val="24"/>
          <w:lang w:eastAsia="pt-BR"/>
        </w:rPr>
        <w:t xml:space="preserve"> (FRAGA, p.08).</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 xml:space="preserve">No que pertine às divergências quanto </w:t>
      </w:r>
      <w:r w:rsidR="00C12544" w:rsidRPr="000E0811">
        <w:rPr>
          <w:rFonts w:ascii="Times New Roman" w:hAnsi="Times New Roman"/>
          <w:sz w:val="24"/>
          <w:szCs w:val="24"/>
          <w:lang w:eastAsia="pt-BR"/>
        </w:rPr>
        <w:t>à</w:t>
      </w:r>
      <w:r w:rsidRPr="000E0811">
        <w:rPr>
          <w:rFonts w:ascii="Times New Roman" w:hAnsi="Times New Roman"/>
          <w:sz w:val="24"/>
          <w:szCs w:val="24"/>
          <w:lang w:eastAsia="pt-BR"/>
        </w:rPr>
        <w:t xml:space="preserve"> finalidade do imóvel dentro da zona urbana definida ou mesmo a localização deste, a jurisprudência do STJ se manifesta no sentido de que:</w:t>
      </w:r>
    </w:p>
    <w:p w:rsidR="00CA0B51" w:rsidRPr="000E0811" w:rsidRDefault="00CA0B51" w:rsidP="00E85EA3">
      <w:pPr>
        <w:autoSpaceDE w:val="0"/>
        <w:autoSpaceDN w:val="0"/>
        <w:adjustRightInd w:val="0"/>
        <w:spacing w:after="0" w:line="240" w:lineRule="auto"/>
        <w:ind w:left="2268"/>
        <w:jc w:val="both"/>
        <w:rPr>
          <w:rFonts w:ascii="Times New Roman" w:hAnsi="Times New Roman"/>
          <w:sz w:val="20"/>
          <w:szCs w:val="24"/>
          <w:lang w:eastAsia="pt-BR"/>
        </w:rPr>
      </w:pPr>
    </w:p>
    <w:p w:rsidR="00E85EA3" w:rsidRPr="000E0811" w:rsidRDefault="00E85EA3" w:rsidP="00E85EA3">
      <w:pPr>
        <w:autoSpaceDE w:val="0"/>
        <w:autoSpaceDN w:val="0"/>
        <w:adjustRightInd w:val="0"/>
        <w:spacing w:after="0" w:line="240" w:lineRule="auto"/>
        <w:ind w:left="2268"/>
        <w:jc w:val="both"/>
        <w:rPr>
          <w:rFonts w:ascii="Times New Roman" w:hAnsi="Times New Roman"/>
          <w:sz w:val="20"/>
          <w:szCs w:val="24"/>
          <w:lang w:eastAsia="pt-BR"/>
        </w:rPr>
      </w:pPr>
      <w:r w:rsidRPr="000E0811">
        <w:rPr>
          <w:rFonts w:ascii="Times New Roman" w:hAnsi="Times New Roman"/>
          <w:sz w:val="20"/>
          <w:szCs w:val="24"/>
          <w:lang w:eastAsia="pt-BR"/>
        </w:rPr>
        <w:lastRenderedPageBreak/>
        <w:t xml:space="preserve">TRIBUTÁRIO. IMÓVEL NA ÁREA URBANA. DESTINAÇÃO RURAL. IPTU. </w:t>
      </w:r>
      <w:proofErr w:type="gramStart"/>
      <w:r w:rsidRPr="000E0811">
        <w:rPr>
          <w:rFonts w:ascii="Times New Roman" w:hAnsi="Times New Roman"/>
          <w:sz w:val="20"/>
          <w:szCs w:val="24"/>
          <w:lang w:eastAsia="pt-BR"/>
        </w:rPr>
        <w:t>NÃO-INCIDÊNCIA</w:t>
      </w:r>
      <w:proofErr w:type="gramEnd"/>
      <w:r w:rsidRPr="000E0811">
        <w:rPr>
          <w:rFonts w:ascii="Times New Roman" w:hAnsi="Times New Roman"/>
          <w:sz w:val="20"/>
          <w:szCs w:val="24"/>
          <w:lang w:eastAsia="pt-BR"/>
        </w:rPr>
        <w:t>. ART. 15 DO DL 57/1966. RECURSO REPETITIVO. ART. 543-C DO CPC. 1. Não incide IPTU, mas ITR, sobre imóvel localizado na área urbana do Município, desde que comprovadamente utilizado em exploração extrativa, vegetal, agrícola, pecuária ou agroindustrial (art. 15 do DL 57/1966). 2. Recurso Especial provido. Acórdão sujeito ao regime do art. 543-C do CPC e da Resolução 8/2008 do STJ.</w:t>
      </w:r>
      <w:r w:rsidR="001778E5" w:rsidRPr="000E0811">
        <w:rPr>
          <w:rFonts w:ascii="Times New Roman" w:hAnsi="Times New Roman"/>
          <w:sz w:val="20"/>
          <w:szCs w:val="24"/>
          <w:lang w:eastAsia="pt-BR"/>
        </w:rPr>
        <w:t xml:space="preserve"> </w:t>
      </w:r>
      <w:r w:rsidR="001778E5" w:rsidRPr="000E0811">
        <w:rPr>
          <w:rFonts w:ascii="Times New Roman" w:hAnsi="Times New Roman"/>
          <w:sz w:val="20"/>
          <w:szCs w:val="20"/>
          <w:lang w:eastAsia="pt-BR"/>
        </w:rPr>
        <w:t>(</w:t>
      </w:r>
      <w:r w:rsidR="001778E5" w:rsidRPr="000E0811">
        <w:rPr>
          <w:rFonts w:ascii="Times New Roman" w:hAnsi="Times New Roman"/>
          <w:sz w:val="20"/>
          <w:szCs w:val="20"/>
        </w:rPr>
        <w:t xml:space="preserve">BRASIL. Superior Tribunal de Justiça. RECURSO ESPECIAL nº. 1112646. RELATOR: Ministro </w:t>
      </w:r>
      <w:proofErr w:type="spellStart"/>
      <w:r w:rsidR="001778E5" w:rsidRPr="000E0811">
        <w:rPr>
          <w:rFonts w:ascii="Times New Roman" w:hAnsi="Times New Roman"/>
          <w:sz w:val="20"/>
          <w:szCs w:val="20"/>
        </w:rPr>
        <w:t>Herman</w:t>
      </w:r>
      <w:proofErr w:type="spellEnd"/>
      <w:r w:rsidR="001778E5" w:rsidRPr="000E0811">
        <w:rPr>
          <w:rFonts w:ascii="Times New Roman" w:hAnsi="Times New Roman"/>
          <w:sz w:val="20"/>
          <w:szCs w:val="20"/>
        </w:rPr>
        <w:t xml:space="preserve"> Benjamin. São Paulo: 26 de agosto de 2009. Diário da Justiça: 28 de agosto de 2009</w:t>
      </w:r>
      <w:r w:rsidR="001778E5" w:rsidRPr="000E0811">
        <w:rPr>
          <w:rFonts w:ascii="Times New Roman" w:hAnsi="Times New Roman"/>
          <w:sz w:val="20"/>
          <w:szCs w:val="24"/>
          <w:lang w:eastAsia="pt-BR"/>
        </w:rPr>
        <w:t>).</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 xml:space="preserve">De outra forma, há entendimento de que a localização geográfica é determinante para definir o critério antecedente de aplicação da </w:t>
      </w:r>
      <w:proofErr w:type="spellStart"/>
      <w:r w:rsidRPr="000E0811">
        <w:rPr>
          <w:rFonts w:ascii="Times New Roman" w:hAnsi="Times New Roman"/>
          <w:sz w:val="24"/>
          <w:szCs w:val="24"/>
          <w:lang w:eastAsia="pt-BR"/>
        </w:rPr>
        <w:t>regra-matriz</w:t>
      </w:r>
      <w:proofErr w:type="spellEnd"/>
      <w:r w:rsidRPr="000E0811">
        <w:rPr>
          <w:rFonts w:ascii="Times New Roman" w:hAnsi="Times New Roman"/>
          <w:sz w:val="24"/>
          <w:szCs w:val="24"/>
          <w:lang w:eastAsia="pt-BR"/>
        </w:rPr>
        <w:t xml:space="preserve"> de incidência tributária do IPTU, bem como defende </w:t>
      </w:r>
      <w:proofErr w:type="spellStart"/>
      <w:r w:rsidRPr="000E0811">
        <w:rPr>
          <w:rFonts w:ascii="Times New Roman" w:hAnsi="Times New Roman"/>
          <w:sz w:val="24"/>
          <w:szCs w:val="24"/>
          <w:lang w:eastAsia="pt-BR"/>
        </w:rPr>
        <w:t>Carraza</w:t>
      </w:r>
      <w:proofErr w:type="spellEnd"/>
      <w:r w:rsidRPr="000E0811">
        <w:rPr>
          <w:rFonts w:ascii="Times New Roman" w:hAnsi="Times New Roman"/>
          <w:sz w:val="24"/>
          <w:szCs w:val="24"/>
          <w:lang w:eastAsia="pt-BR"/>
        </w:rPr>
        <w:t xml:space="preserve"> quando assevera:</w:t>
      </w:r>
    </w:p>
    <w:p w:rsidR="001778E5" w:rsidRPr="000E0811" w:rsidRDefault="001778E5" w:rsidP="00E85EA3">
      <w:pPr>
        <w:autoSpaceDE w:val="0"/>
        <w:autoSpaceDN w:val="0"/>
        <w:adjustRightInd w:val="0"/>
        <w:spacing w:after="0" w:line="240" w:lineRule="auto"/>
        <w:ind w:left="2268"/>
        <w:jc w:val="both"/>
        <w:rPr>
          <w:rFonts w:ascii="Times New Roman" w:hAnsi="Times New Roman"/>
          <w:sz w:val="20"/>
          <w:szCs w:val="24"/>
          <w:lang w:eastAsia="pt-BR"/>
        </w:rPr>
      </w:pPr>
    </w:p>
    <w:p w:rsidR="00E85EA3" w:rsidRPr="000E0811" w:rsidRDefault="00E85EA3" w:rsidP="00E85EA3">
      <w:pPr>
        <w:autoSpaceDE w:val="0"/>
        <w:autoSpaceDN w:val="0"/>
        <w:adjustRightInd w:val="0"/>
        <w:spacing w:after="0" w:line="240" w:lineRule="auto"/>
        <w:ind w:left="2268"/>
        <w:jc w:val="both"/>
        <w:rPr>
          <w:rFonts w:ascii="Times New Roman" w:hAnsi="Times New Roman"/>
          <w:sz w:val="20"/>
          <w:szCs w:val="24"/>
          <w:lang w:eastAsia="pt-BR"/>
        </w:rPr>
      </w:pPr>
      <w:r w:rsidRPr="000E0811">
        <w:rPr>
          <w:rFonts w:ascii="Times New Roman" w:hAnsi="Times New Roman"/>
          <w:sz w:val="20"/>
          <w:szCs w:val="24"/>
          <w:lang w:eastAsia="pt-BR"/>
        </w:rPr>
        <w:t xml:space="preserve">Possivelmente sem se darem conta disso, </w:t>
      </w:r>
      <w:proofErr w:type="gramStart"/>
      <w:r w:rsidRPr="000E0811">
        <w:rPr>
          <w:rFonts w:ascii="Times New Roman" w:hAnsi="Times New Roman"/>
          <w:sz w:val="20"/>
          <w:szCs w:val="24"/>
          <w:lang w:eastAsia="pt-BR"/>
        </w:rPr>
        <w:t>sufragam</w:t>
      </w:r>
      <w:proofErr w:type="gramEnd"/>
      <w:r w:rsidRPr="000E0811">
        <w:rPr>
          <w:rFonts w:ascii="Times New Roman" w:hAnsi="Times New Roman"/>
          <w:sz w:val="20"/>
          <w:szCs w:val="24"/>
          <w:lang w:eastAsia="pt-BR"/>
        </w:rPr>
        <w:t xml:space="preserve"> a errônea </w:t>
      </w:r>
      <w:proofErr w:type="spellStart"/>
      <w:r w:rsidRPr="000E0811">
        <w:rPr>
          <w:rFonts w:ascii="Times New Roman" w:hAnsi="Times New Roman"/>
          <w:sz w:val="20"/>
          <w:szCs w:val="24"/>
          <w:lang w:eastAsia="pt-BR"/>
        </w:rPr>
        <w:t>idéia</w:t>
      </w:r>
      <w:proofErr w:type="spellEnd"/>
      <w:r w:rsidRPr="000E0811">
        <w:rPr>
          <w:rFonts w:ascii="Times New Roman" w:hAnsi="Times New Roman"/>
          <w:sz w:val="20"/>
          <w:szCs w:val="24"/>
          <w:lang w:eastAsia="pt-BR"/>
        </w:rPr>
        <w:t xml:space="preserve"> de que a vontade do contribuinte pode alterar competências tributárias os que entendem que é a “destinação” (rural ou urbana) do imóvel que determina a incidência do IPTU (imposto de competência municipal) ou do ITR (imposto de competência federal), não importando se o bem está localizado na zona urbana ou na zona rural do Município. A nosso juízo, se o imóvel está situado na zona urbana do Município, o imposto devido, por seu proprietário, é o IPTU; se na zona rural, o ITR, absolutamente não importando se sua destinação é urbana ou rural.</w:t>
      </w:r>
      <w:r w:rsidR="001778E5" w:rsidRPr="000E0811">
        <w:rPr>
          <w:rFonts w:ascii="Times New Roman" w:hAnsi="Times New Roman"/>
          <w:sz w:val="20"/>
          <w:szCs w:val="24"/>
          <w:lang w:eastAsia="pt-BR"/>
        </w:rPr>
        <w:t xml:space="preserve"> (CARRAZA, p. 655, 2008).</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O Estatuto da Terra ao definir propriedade rural, caracteriza por exclusão a propriedade urbana, e utiliza segundo a função da propriedade o critério de destinação do imóvel urbano ou rural, havendo possibilidade de existir um imóvel rural dentro da zona urbana de um município.  Dessa forma, o Decreto-lei n. 57 também utiliza os mesmos fundamentos e independentemente da localização do imóvel, a destinação da propriedade é que define a incidência do imposto sobre propriedade urbana (IPTU) ou rural (ITR).</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 xml:space="preserve">Em que pese os componentes utilizados para definir os critérios antecedentes da aplicação da </w:t>
      </w:r>
      <w:proofErr w:type="spellStart"/>
      <w:r w:rsidRPr="000E0811">
        <w:rPr>
          <w:rFonts w:ascii="Times New Roman" w:hAnsi="Times New Roman"/>
          <w:sz w:val="24"/>
          <w:szCs w:val="24"/>
          <w:lang w:eastAsia="pt-BR"/>
        </w:rPr>
        <w:t>regra-matriz</w:t>
      </w:r>
      <w:proofErr w:type="spellEnd"/>
      <w:r w:rsidRPr="000E0811">
        <w:rPr>
          <w:rFonts w:ascii="Times New Roman" w:hAnsi="Times New Roman"/>
          <w:sz w:val="24"/>
          <w:szCs w:val="24"/>
          <w:lang w:eastAsia="pt-BR"/>
        </w:rPr>
        <w:t xml:space="preserve"> de incidência do IPTU, a Constituição federal é regra geral para orientar o Código Tributário Nacional e demais leis complementares atinentes ao Imposto Territorial Urbano.</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p>
    <w:p w:rsidR="00E85EA3" w:rsidRPr="000E0811" w:rsidRDefault="00E85EA3" w:rsidP="00E85EA3">
      <w:pPr>
        <w:autoSpaceDE w:val="0"/>
        <w:autoSpaceDN w:val="0"/>
        <w:adjustRightInd w:val="0"/>
        <w:spacing w:after="0" w:line="360" w:lineRule="auto"/>
        <w:jc w:val="both"/>
        <w:rPr>
          <w:rFonts w:ascii="Times New Roman" w:hAnsi="Times New Roman"/>
          <w:b/>
          <w:sz w:val="24"/>
          <w:szCs w:val="24"/>
          <w:lang w:eastAsia="pt-BR"/>
        </w:rPr>
      </w:pPr>
      <w:r w:rsidRPr="000E0811">
        <w:rPr>
          <w:rFonts w:ascii="Times New Roman" w:hAnsi="Times New Roman"/>
          <w:b/>
          <w:sz w:val="24"/>
          <w:szCs w:val="24"/>
          <w:lang w:eastAsia="pt-BR"/>
        </w:rPr>
        <w:t>CONCLUSÃO</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 xml:space="preserve">Conforme as orientações de Paulo Barros de Carvalho, os conceitos relevantes de hipótese tributária e os critérios de incidência da regra sobre o Imposto </w:t>
      </w:r>
      <w:r w:rsidR="00C12544" w:rsidRPr="000E0811">
        <w:rPr>
          <w:rFonts w:ascii="Times New Roman" w:hAnsi="Times New Roman"/>
          <w:sz w:val="24"/>
          <w:szCs w:val="24"/>
          <w:lang w:eastAsia="pt-BR"/>
        </w:rPr>
        <w:t>Predial T</w:t>
      </w:r>
      <w:r w:rsidRPr="000E0811">
        <w:rPr>
          <w:rFonts w:ascii="Times New Roman" w:hAnsi="Times New Roman"/>
          <w:sz w:val="24"/>
          <w:szCs w:val="24"/>
          <w:lang w:eastAsia="pt-BR"/>
        </w:rPr>
        <w:t>err</w:t>
      </w:r>
      <w:r w:rsidR="00C12544" w:rsidRPr="000E0811">
        <w:rPr>
          <w:rFonts w:ascii="Times New Roman" w:hAnsi="Times New Roman"/>
          <w:sz w:val="24"/>
          <w:szCs w:val="24"/>
          <w:lang w:eastAsia="pt-BR"/>
        </w:rPr>
        <w:t>itorial U</w:t>
      </w:r>
      <w:r w:rsidRPr="000E0811">
        <w:rPr>
          <w:rFonts w:ascii="Times New Roman" w:hAnsi="Times New Roman"/>
          <w:sz w:val="24"/>
          <w:szCs w:val="24"/>
          <w:lang w:eastAsia="pt-BR"/>
        </w:rPr>
        <w:t>rbano</w:t>
      </w:r>
      <w:r w:rsidR="00C12544" w:rsidRPr="000E0811">
        <w:rPr>
          <w:rFonts w:ascii="Times New Roman" w:hAnsi="Times New Roman"/>
          <w:sz w:val="24"/>
          <w:szCs w:val="24"/>
          <w:lang w:eastAsia="pt-BR"/>
        </w:rPr>
        <w:t xml:space="preserve"> </w:t>
      </w:r>
      <w:r w:rsidR="00C14463" w:rsidRPr="000E0811">
        <w:rPr>
          <w:rFonts w:ascii="Times New Roman" w:hAnsi="Times New Roman"/>
          <w:sz w:val="24"/>
          <w:szCs w:val="24"/>
          <w:lang w:eastAsia="pt-BR"/>
        </w:rPr>
        <w:t>–</w:t>
      </w:r>
      <w:r w:rsidR="00C12544" w:rsidRPr="000E0811">
        <w:rPr>
          <w:rFonts w:ascii="Times New Roman" w:hAnsi="Times New Roman"/>
          <w:sz w:val="24"/>
          <w:szCs w:val="24"/>
          <w:lang w:eastAsia="pt-BR"/>
        </w:rPr>
        <w:t xml:space="preserve"> IPTU</w:t>
      </w:r>
      <w:proofErr w:type="gramStart"/>
      <w:r w:rsidR="00C14463" w:rsidRPr="000E0811">
        <w:rPr>
          <w:rFonts w:ascii="Times New Roman" w:hAnsi="Times New Roman"/>
          <w:sz w:val="24"/>
          <w:szCs w:val="24"/>
          <w:lang w:eastAsia="pt-BR"/>
        </w:rPr>
        <w:t>,</w:t>
      </w:r>
      <w:r w:rsidRPr="000E0811">
        <w:rPr>
          <w:rFonts w:ascii="Times New Roman" w:hAnsi="Times New Roman"/>
          <w:sz w:val="24"/>
          <w:szCs w:val="24"/>
          <w:lang w:eastAsia="pt-BR"/>
        </w:rPr>
        <w:t xml:space="preserve"> trazem</w:t>
      </w:r>
      <w:proofErr w:type="gramEnd"/>
      <w:r w:rsidRPr="000E0811">
        <w:rPr>
          <w:rFonts w:ascii="Times New Roman" w:hAnsi="Times New Roman"/>
          <w:sz w:val="24"/>
          <w:szCs w:val="24"/>
          <w:lang w:eastAsia="pt-BR"/>
        </w:rPr>
        <w:t xml:space="preserve"> com maior nitidez as regra</w:t>
      </w:r>
      <w:r w:rsidR="00C14463" w:rsidRPr="000E0811">
        <w:rPr>
          <w:rFonts w:ascii="Times New Roman" w:hAnsi="Times New Roman"/>
          <w:sz w:val="24"/>
          <w:szCs w:val="24"/>
          <w:lang w:eastAsia="pt-BR"/>
        </w:rPr>
        <w:t>s e</w:t>
      </w:r>
      <w:r w:rsidRPr="000E0811">
        <w:rPr>
          <w:rFonts w:ascii="Times New Roman" w:hAnsi="Times New Roman"/>
          <w:sz w:val="24"/>
          <w:szCs w:val="24"/>
          <w:lang w:eastAsia="pt-BR"/>
        </w:rPr>
        <w:t xml:space="preserve"> elementos </w:t>
      </w:r>
      <w:r w:rsidRPr="000E0811">
        <w:rPr>
          <w:rFonts w:ascii="Times New Roman" w:hAnsi="Times New Roman"/>
          <w:sz w:val="24"/>
          <w:szCs w:val="24"/>
          <w:lang w:eastAsia="pt-BR"/>
        </w:rPr>
        <w:lastRenderedPageBreak/>
        <w:t xml:space="preserve">essenciais para compreensão da aplicabilidade da norma de criação, competência para arrecadar e fiscalizar, </w:t>
      </w:r>
      <w:r w:rsidR="00C14463" w:rsidRPr="000E0811">
        <w:rPr>
          <w:rFonts w:ascii="Times New Roman" w:hAnsi="Times New Roman"/>
          <w:sz w:val="24"/>
          <w:szCs w:val="24"/>
          <w:lang w:eastAsia="pt-BR"/>
        </w:rPr>
        <w:t xml:space="preserve"> e por fim, a</w:t>
      </w:r>
      <w:r w:rsidRPr="000E0811">
        <w:rPr>
          <w:rFonts w:ascii="Times New Roman" w:hAnsi="Times New Roman"/>
          <w:sz w:val="24"/>
          <w:szCs w:val="24"/>
          <w:lang w:eastAsia="pt-BR"/>
        </w:rPr>
        <w:t xml:space="preserve"> aplicação do referido imposto territorial.</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O sujeito passivo se define pelo critério material, qual seja o proprietário de imóvel predial ou territorial urbano, em contrapartida tem-se o Município como sujeito ativo no recolhimento do tributo, conforme regra constitucional e tributária.</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Não obstante, há de se apontar o ano civil como critério temporal na cobranç</w:t>
      </w:r>
      <w:r w:rsidR="00C14463" w:rsidRPr="000E0811">
        <w:rPr>
          <w:rFonts w:ascii="Times New Roman" w:hAnsi="Times New Roman"/>
          <w:sz w:val="24"/>
          <w:szCs w:val="24"/>
          <w:lang w:eastAsia="pt-BR"/>
        </w:rPr>
        <w:t>a do IPTU, que normalmente se dá</w:t>
      </w:r>
      <w:r w:rsidRPr="000E0811">
        <w:rPr>
          <w:rFonts w:ascii="Times New Roman" w:hAnsi="Times New Roman"/>
          <w:sz w:val="24"/>
          <w:szCs w:val="24"/>
          <w:lang w:eastAsia="pt-BR"/>
        </w:rPr>
        <w:t xml:space="preserve"> a partir do dia 1º de cada ano, nos moldes do artigo 144, §2º do CTN e a lei municipal, tendo como base de cálculo o valor venal do imóvel.</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E assim se verific</w:t>
      </w:r>
      <w:r w:rsidR="00C14463" w:rsidRPr="000E0811">
        <w:rPr>
          <w:rFonts w:ascii="Times New Roman" w:hAnsi="Times New Roman"/>
          <w:sz w:val="24"/>
          <w:szCs w:val="24"/>
          <w:lang w:eastAsia="pt-BR"/>
        </w:rPr>
        <w:t>a que, diante das divergências</w:t>
      </w:r>
      <w:r w:rsidRPr="000E0811">
        <w:rPr>
          <w:rFonts w:ascii="Times New Roman" w:hAnsi="Times New Roman"/>
          <w:sz w:val="24"/>
          <w:szCs w:val="24"/>
          <w:lang w:eastAsia="pt-BR"/>
        </w:rPr>
        <w:t xml:space="preserve"> quanto ao critério espacial</w:t>
      </w:r>
      <w:r w:rsidR="00C14463" w:rsidRPr="000E0811">
        <w:rPr>
          <w:rFonts w:ascii="Times New Roman" w:hAnsi="Times New Roman"/>
          <w:sz w:val="24"/>
          <w:szCs w:val="24"/>
          <w:lang w:eastAsia="pt-BR"/>
        </w:rPr>
        <w:t>, que transitam em admitir</w:t>
      </w:r>
      <w:r w:rsidRPr="000E0811">
        <w:rPr>
          <w:rFonts w:ascii="Times New Roman" w:hAnsi="Times New Roman"/>
          <w:sz w:val="24"/>
          <w:szCs w:val="24"/>
          <w:lang w:eastAsia="pt-BR"/>
        </w:rPr>
        <w:t xml:space="preserve"> a localização ou a função do imóvel, e apesar de ter sido recepcionado pelos tribunais por meio de jurisprudências</w:t>
      </w:r>
      <w:r w:rsidR="00C14463" w:rsidRPr="000E0811">
        <w:rPr>
          <w:rFonts w:ascii="Times New Roman" w:hAnsi="Times New Roman"/>
          <w:sz w:val="24"/>
          <w:szCs w:val="24"/>
          <w:lang w:eastAsia="pt-BR"/>
        </w:rPr>
        <w:t>,</w:t>
      </w:r>
      <w:r w:rsidRPr="000E0811">
        <w:rPr>
          <w:rFonts w:ascii="Times New Roman" w:hAnsi="Times New Roman"/>
          <w:sz w:val="24"/>
          <w:szCs w:val="24"/>
          <w:lang w:eastAsia="pt-BR"/>
        </w:rPr>
        <w:t xml:space="preserve"> o fato de o imóvel estar localizado em zona urbana e atender </w:t>
      </w:r>
      <w:proofErr w:type="gramStart"/>
      <w:r w:rsidR="00961AF0">
        <w:rPr>
          <w:rFonts w:ascii="Times New Roman" w:hAnsi="Times New Roman"/>
          <w:sz w:val="24"/>
          <w:szCs w:val="24"/>
          <w:lang w:eastAsia="pt-BR"/>
        </w:rPr>
        <w:t>a pelo</w:t>
      </w:r>
      <w:proofErr w:type="gramEnd"/>
      <w:r w:rsidR="00961AF0">
        <w:rPr>
          <w:rFonts w:ascii="Times New Roman" w:hAnsi="Times New Roman"/>
          <w:sz w:val="24"/>
          <w:szCs w:val="24"/>
          <w:lang w:eastAsia="pt-BR"/>
        </w:rPr>
        <w:t xml:space="preserve"> menos dois dos incisos</w:t>
      </w:r>
      <w:r w:rsidR="00C14463" w:rsidRPr="000E0811">
        <w:rPr>
          <w:rFonts w:ascii="Times New Roman" w:hAnsi="Times New Roman"/>
          <w:sz w:val="24"/>
          <w:szCs w:val="24"/>
          <w:lang w:eastAsia="pt-BR"/>
        </w:rPr>
        <w:t xml:space="preserve"> d</w:t>
      </w:r>
      <w:r w:rsidRPr="000E0811">
        <w:rPr>
          <w:rFonts w:ascii="Times New Roman" w:hAnsi="Times New Roman"/>
          <w:sz w:val="24"/>
          <w:szCs w:val="24"/>
          <w:lang w:eastAsia="pt-BR"/>
        </w:rPr>
        <w:t>o artigo 32, §1º do CTN, a doutrina majoritária entende que a finalidade do imóvel não é fator relevante para compor a hipótese aplicada ao IPTU.</w:t>
      </w:r>
    </w:p>
    <w:p w:rsidR="00E85EA3" w:rsidRPr="000E0811" w:rsidRDefault="00E85EA3" w:rsidP="00E85EA3">
      <w:pPr>
        <w:autoSpaceDE w:val="0"/>
        <w:autoSpaceDN w:val="0"/>
        <w:adjustRightInd w:val="0"/>
        <w:spacing w:after="0" w:line="360" w:lineRule="auto"/>
        <w:ind w:firstLine="1134"/>
        <w:jc w:val="both"/>
        <w:rPr>
          <w:rFonts w:ascii="Times New Roman" w:hAnsi="Times New Roman"/>
          <w:sz w:val="24"/>
          <w:szCs w:val="24"/>
          <w:lang w:eastAsia="pt-BR"/>
        </w:rPr>
      </w:pPr>
      <w:r w:rsidRPr="000E0811">
        <w:rPr>
          <w:rFonts w:ascii="Times New Roman" w:hAnsi="Times New Roman"/>
          <w:sz w:val="24"/>
          <w:szCs w:val="24"/>
          <w:lang w:eastAsia="pt-BR"/>
        </w:rPr>
        <w:t>Assenta-se, portanto, no entendimento de que</w:t>
      </w:r>
      <w:r w:rsidR="00C14463" w:rsidRPr="000E0811">
        <w:rPr>
          <w:rFonts w:ascii="Times New Roman" w:hAnsi="Times New Roman"/>
          <w:sz w:val="24"/>
          <w:szCs w:val="24"/>
          <w:lang w:eastAsia="pt-BR"/>
        </w:rPr>
        <w:t>,</w:t>
      </w:r>
      <w:r w:rsidRPr="000E0811">
        <w:rPr>
          <w:rFonts w:ascii="Times New Roman" w:hAnsi="Times New Roman"/>
          <w:sz w:val="24"/>
          <w:szCs w:val="24"/>
          <w:lang w:eastAsia="pt-BR"/>
        </w:rPr>
        <w:t xml:space="preserve"> superando as questões controvertidas sobre a hipótese de incidência do IPTU e, de mesma forma aplicada ao ITR, aponta a localização urbana no imóvel, </w:t>
      </w:r>
      <w:proofErr w:type="gramStart"/>
      <w:r w:rsidRPr="000E0811">
        <w:rPr>
          <w:rFonts w:ascii="Times New Roman" w:hAnsi="Times New Roman"/>
          <w:sz w:val="24"/>
          <w:szCs w:val="24"/>
          <w:lang w:eastAsia="pt-BR"/>
        </w:rPr>
        <w:t>sob efeito</w:t>
      </w:r>
      <w:proofErr w:type="gramEnd"/>
      <w:r w:rsidRPr="000E0811">
        <w:rPr>
          <w:rFonts w:ascii="Times New Roman" w:hAnsi="Times New Roman"/>
          <w:sz w:val="24"/>
          <w:szCs w:val="24"/>
          <w:lang w:eastAsia="pt-BR"/>
        </w:rPr>
        <w:t xml:space="preserve"> do CTN e da lei tributária municipal, onerando apenas os imóveis inseridos no perímetro urbano, ou seja, a zona urbana do município. </w:t>
      </w:r>
    </w:p>
    <w:p w:rsidR="00E13A40" w:rsidRDefault="00E13A40" w:rsidP="00E13A40">
      <w:pPr>
        <w:spacing w:after="0" w:line="360" w:lineRule="auto"/>
        <w:rPr>
          <w:rFonts w:ascii="Times New Roman" w:hAnsi="Times New Roman"/>
          <w:b/>
          <w:sz w:val="24"/>
          <w:szCs w:val="24"/>
        </w:rPr>
      </w:pPr>
    </w:p>
    <w:p w:rsidR="00EB2555" w:rsidRDefault="00EB2555" w:rsidP="00E13A40">
      <w:pPr>
        <w:spacing w:after="0" w:line="360" w:lineRule="auto"/>
        <w:rPr>
          <w:rFonts w:ascii="Times New Roman" w:hAnsi="Times New Roman"/>
          <w:b/>
          <w:sz w:val="24"/>
          <w:szCs w:val="24"/>
        </w:rPr>
      </w:pPr>
    </w:p>
    <w:p w:rsidR="00EB2555" w:rsidRDefault="00EB2555" w:rsidP="00E13A40">
      <w:pPr>
        <w:spacing w:after="0" w:line="360" w:lineRule="auto"/>
        <w:rPr>
          <w:rFonts w:ascii="Times New Roman" w:hAnsi="Times New Roman"/>
          <w:b/>
          <w:sz w:val="24"/>
          <w:szCs w:val="24"/>
        </w:rPr>
      </w:pPr>
    </w:p>
    <w:p w:rsidR="00EB2555" w:rsidRDefault="00EB2555" w:rsidP="00E13A40">
      <w:pPr>
        <w:spacing w:after="0" w:line="360" w:lineRule="auto"/>
        <w:rPr>
          <w:rFonts w:ascii="Times New Roman" w:hAnsi="Times New Roman"/>
          <w:b/>
          <w:sz w:val="24"/>
          <w:szCs w:val="24"/>
        </w:rPr>
      </w:pPr>
    </w:p>
    <w:p w:rsidR="00EB2555" w:rsidRDefault="00EB2555" w:rsidP="00E13A40">
      <w:pPr>
        <w:spacing w:after="0" w:line="360" w:lineRule="auto"/>
        <w:rPr>
          <w:rFonts w:ascii="Times New Roman" w:hAnsi="Times New Roman"/>
          <w:b/>
          <w:sz w:val="24"/>
          <w:szCs w:val="24"/>
        </w:rPr>
      </w:pPr>
    </w:p>
    <w:p w:rsidR="00EB2555" w:rsidRDefault="00EB2555" w:rsidP="00E13A40">
      <w:pPr>
        <w:spacing w:after="0" w:line="360" w:lineRule="auto"/>
        <w:rPr>
          <w:rFonts w:ascii="Times New Roman" w:hAnsi="Times New Roman"/>
          <w:b/>
          <w:sz w:val="24"/>
          <w:szCs w:val="24"/>
        </w:rPr>
      </w:pPr>
    </w:p>
    <w:p w:rsidR="00EB2555" w:rsidRDefault="00EB2555" w:rsidP="00E13A40">
      <w:pPr>
        <w:spacing w:after="0" w:line="360" w:lineRule="auto"/>
        <w:rPr>
          <w:rFonts w:ascii="Times New Roman" w:hAnsi="Times New Roman"/>
          <w:b/>
          <w:sz w:val="24"/>
          <w:szCs w:val="24"/>
        </w:rPr>
      </w:pPr>
    </w:p>
    <w:p w:rsidR="00EB2555" w:rsidRDefault="00EB2555" w:rsidP="00E13A40">
      <w:pPr>
        <w:spacing w:after="0" w:line="360" w:lineRule="auto"/>
        <w:rPr>
          <w:rFonts w:ascii="Times New Roman" w:hAnsi="Times New Roman"/>
          <w:b/>
          <w:sz w:val="24"/>
          <w:szCs w:val="24"/>
        </w:rPr>
      </w:pPr>
    </w:p>
    <w:p w:rsidR="00EB2555" w:rsidRPr="000E0811" w:rsidRDefault="00EB2555" w:rsidP="00E13A40">
      <w:pPr>
        <w:spacing w:after="0" w:line="360" w:lineRule="auto"/>
        <w:rPr>
          <w:rFonts w:ascii="Times New Roman" w:hAnsi="Times New Roman"/>
          <w:b/>
          <w:sz w:val="24"/>
          <w:szCs w:val="24"/>
        </w:rPr>
      </w:pPr>
    </w:p>
    <w:p w:rsidR="00E13A40" w:rsidRPr="000E0811" w:rsidRDefault="00E13A40" w:rsidP="00E13A40">
      <w:pPr>
        <w:spacing w:after="0" w:line="360" w:lineRule="auto"/>
        <w:jc w:val="center"/>
        <w:rPr>
          <w:rFonts w:ascii="Times New Roman" w:hAnsi="Times New Roman"/>
          <w:b/>
          <w:sz w:val="24"/>
          <w:szCs w:val="24"/>
        </w:rPr>
      </w:pPr>
      <w:r w:rsidRPr="000E0811">
        <w:rPr>
          <w:rFonts w:ascii="Times New Roman" w:hAnsi="Times New Roman"/>
          <w:b/>
          <w:sz w:val="24"/>
          <w:szCs w:val="24"/>
        </w:rPr>
        <w:t>REFERÊNCIAS</w:t>
      </w:r>
    </w:p>
    <w:p w:rsidR="00E13A40" w:rsidRPr="000E0811" w:rsidRDefault="00E13A40" w:rsidP="00E13A40">
      <w:pPr>
        <w:spacing w:after="0" w:line="240" w:lineRule="auto"/>
        <w:jc w:val="both"/>
        <w:rPr>
          <w:rFonts w:ascii="Times New Roman" w:hAnsi="Times New Roman"/>
          <w:sz w:val="24"/>
          <w:szCs w:val="24"/>
        </w:rPr>
      </w:pPr>
    </w:p>
    <w:p w:rsidR="00E13A40" w:rsidRPr="000E0811" w:rsidRDefault="00E13A40" w:rsidP="00165D29">
      <w:pPr>
        <w:spacing w:after="0" w:line="240" w:lineRule="auto"/>
        <w:jc w:val="both"/>
        <w:rPr>
          <w:rFonts w:ascii="Times New Roman" w:hAnsi="Times New Roman"/>
          <w:sz w:val="24"/>
          <w:szCs w:val="24"/>
        </w:rPr>
      </w:pPr>
      <w:r w:rsidRPr="000E0811">
        <w:rPr>
          <w:rFonts w:ascii="Times New Roman" w:hAnsi="Times New Roman"/>
          <w:sz w:val="24"/>
          <w:szCs w:val="24"/>
        </w:rPr>
        <w:t xml:space="preserve">ALEXANDRE, Ricardo. </w:t>
      </w:r>
      <w:r w:rsidRPr="000E0811">
        <w:rPr>
          <w:rFonts w:ascii="Times New Roman" w:hAnsi="Times New Roman"/>
          <w:b/>
          <w:sz w:val="24"/>
          <w:szCs w:val="24"/>
        </w:rPr>
        <w:t>Direito Tributário.</w:t>
      </w:r>
      <w:r w:rsidRPr="000E0811">
        <w:rPr>
          <w:rFonts w:ascii="Times New Roman" w:hAnsi="Times New Roman"/>
          <w:sz w:val="24"/>
          <w:szCs w:val="24"/>
        </w:rPr>
        <w:t xml:space="preserve"> 7 ed. Rio de Janeiro: Forense; São Paulo: Método, 2013.</w:t>
      </w:r>
    </w:p>
    <w:p w:rsidR="00672B15" w:rsidRPr="000E0811" w:rsidRDefault="00672B15" w:rsidP="00165D29">
      <w:pPr>
        <w:spacing w:after="0" w:line="240" w:lineRule="auto"/>
        <w:jc w:val="both"/>
        <w:rPr>
          <w:rFonts w:ascii="Times New Roman" w:hAnsi="Times New Roman"/>
          <w:sz w:val="24"/>
          <w:szCs w:val="24"/>
        </w:rPr>
      </w:pPr>
    </w:p>
    <w:p w:rsidR="00E13A40" w:rsidRPr="000E0811" w:rsidRDefault="00672B15" w:rsidP="00165D29">
      <w:pPr>
        <w:spacing w:after="0" w:line="240" w:lineRule="auto"/>
        <w:jc w:val="both"/>
        <w:rPr>
          <w:rFonts w:ascii="Times New Roman" w:hAnsi="Times New Roman"/>
          <w:sz w:val="24"/>
          <w:szCs w:val="24"/>
        </w:rPr>
      </w:pPr>
      <w:r w:rsidRPr="000E0811">
        <w:rPr>
          <w:rFonts w:ascii="Times New Roman" w:hAnsi="Times New Roman"/>
          <w:sz w:val="24"/>
          <w:szCs w:val="24"/>
        </w:rPr>
        <w:lastRenderedPageBreak/>
        <w:t>BRASIL. SUPERIOR Tribunal de Justiça. AGRAVO REGIMENTAL nº 544086/ RJ AGRAVO REGIMENTAL NO AGRAVO EM RECURSO ESPECIAL 2014/0166490-8. RELATOR: Ministro MAURO CAMPBELL MARQUES. Rio de Janeiro: 23 de setembro de 2014. Diário da Justiça: 30 de setembro de 2014.</w:t>
      </w:r>
    </w:p>
    <w:p w:rsidR="00672B15" w:rsidRPr="000E0811" w:rsidRDefault="00672B15" w:rsidP="00165D29">
      <w:pPr>
        <w:autoSpaceDE w:val="0"/>
        <w:autoSpaceDN w:val="0"/>
        <w:adjustRightInd w:val="0"/>
        <w:spacing w:after="0" w:line="240" w:lineRule="auto"/>
        <w:jc w:val="both"/>
        <w:rPr>
          <w:rFonts w:ascii="Times New Roman" w:hAnsi="Times New Roman"/>
          <w:sz w:val="24"/>
          <w:szCs w:val="24"/>
          <w:lang w:eastAsia="pt-BR"/>
        </w:rPr>
      </w:pPr>
    </w:p>
    <w:p w:rsidR="00672B15" w:rsidRPr="000E0811" w:rsidRDefault="00672B15" w:rsidP="00165D29">
      <w:pPr>
        <w:autoSpaceDE w:val="0"/>
        <w:autoSpaceDN w:val="0"/>
        <w:adjustRightInd w:val="0"/>
        <w:spacing w:after="0" w:line="240" w:lineRule="auto"/>
        <w:jc w:val="both"/>
        <w:rPr>
          <w:rFonts w:ascii="Times New Roman" w:hAnsi="Times New Roman"/>
          <w:sz w:val="24"/>
          <w:szCs w:val="24"/>
        </w:rPr>
      </w:pPr>
      <w:r w:rsidRPr="000E0811">
        <w:rPr>
          <w:rFonts w:ascii="Times New Roman" w:hAnsi="Times New Roman"/>
          <w:sz w:val="24"/>
          <w:szCs w:val="24"/>
          <w:lang w:eastAsia="pt-BR"/>
        </w:rPr>
        <w:t xml:space="preserve">BRASIL. Emenda constitucional n.° 18, de 1 de dezembro de 1965. Emenda constitucional constituição federal de 1946. Sistema tributário nacional. </w:t>
      </w:r>
      <w:r w:rsidRPr="000E0811">
        <w:rPr>
          <w:rFonts w:ascii="Times New Roman" w:hAnsi="Times New Roman"/>
          <w:i/>
          <w:iCs/>
          <w:sz w:val="24"/>
          <w:szCs w:val="24"/>
          <w:lang w:eastAsia="pt-BR"/>
        </w:rPr>
        <w:t>Diário [da] República Federativa do</w:t>
      </w:r>
      <w:r w:rsidRPr="000E0811">
        <w:rPr>
          <w:rFonts w:ascii="Times New Roman" w:hAnsi="Times New Roman"/>
          <w:sz w:val="24"/>
          <w:szCs w:val="24"/>
          <w:lang w:eastAsia="pt-BR"/>
        </w:rPr>
        <w:t xml:space="preserve"> </w:t>
      </w:r>
      <w:r w:rsidRPr="000E0811">
        <w:rPr>
          <w:rFonts w:ascii="Times New Roman" w:hAnsi="Times New Roman"/>
          <w:i/>
          <w:iCs/>
          <w:sz w:val="24"/>
          <w:szCs w:val="24"/>
          <w:lang w:eastAsia="pt-BR"/>
        </w:rPr>
        <w:t>Brasil</w:t>
      </w:r>
      <w:r w:rsidRPr="000E0811">
        <w:rPr>
          <w:rFonts w:ascii="Times New Roman" w:hAnsi="Times New Roman"/>
          <w:sz w:val="24"/>
          <w:szCs w:val="24"/>
          <w:lang w:eastAsia="pt-BR"/>
        </w:rPr>
        <w:t xml:space="preserve">, Brasília, 6 dez. </w:t>
      </w:r>
      <w:proofErr w:type="gramStart"/>
      <w:r w:rsidRPr="000E0811">
        <w:rPr>
          <w:rFonts w:ascii="Times New Roman" w:hAnsi="Times New Roman"/>
          <w:sz w:val="24"/>
          <w:szCs w:val="24"/>
          <w:lang w:eastAsia="pt-BR"/>
        </w:rPr>
        <w:t>1965 .</w:t>
      </w:r>
      <w:proofErr w:type="gramEnd"/>
      <w:r w:rsidRPr="000E0811">
        <w:rPr>
          <w:rFonts w:ascii="Times New Roman" w:hAnsi="Times New Roman"/>
          <w:sz w:val="24"/>
          <w:szCs w:val="24"/>
          <w:lang w:eastAsia="pt-BR"/>
        </w:rPr>
        <w:t xml:space="preserve"> Disponível em: &lt;http://www.legislacao.senado.gov.br&gt;. Acesso em: </w:t>
      </w:r>
      <w:r w:rsidRPr="000E0811">
        <w:rPr>
          <w:rFonts w:ascii="Times New Roman" w:hAnsi="Times New Roman"/>
          <w:sz w:val="24"/>
          <w:szCs w:val="24"/>
        </w:rPr>
        <w:t>09 de out de 2014.</w:t>
      </w:r>
    </w:p>
    <w:p w:rsidR="00672B15" w:rsidRPr="000E0811" w:rsidRDefault="00672B15" w:rsidP="00165D29">
      <w:pPr>
        <w:pStyle w:val="Textodenotaderodap"/>
        <w:jc w:val="both"/>
        <w:rPr>
          <w:rFonts w:ascii="Times New Roman" w:hAnsi="Times New Roman"/>
          <w:sz w:val="24"/>
          <w:szCs w:val="24"/>
        </w:rPr>
      </w:pPr>
    </w:p>
    <w:p w:rsidR="00672B15" w:rsidRPr="000E0811" w:rsidRDefault="00672B15" w:rsidP="00165D29">
      <w:pPr>
        <w:pStyle w:val="Textodenotaderodap"/>
        <w:jc w:val="both"/>
        <w:rPr>
          <w:rFonts w:ascii="Times New Roman" w:hAnsi="Times New Roman"/>
          <w:sz w:val="24"/>
          <w:szCs w:val="24"/>
        </w:rPr>
      </w:pPr>
      <w:r w:rsidRPr="000E0811">
        <w:rPr>
          <w:rFonts w:ascii="Times New Roman" w:hAnsi="Times New Roman"/>
          <w:sz w:val="24"/>
          <w:szCs w:val="24"/>
        </w:rPr>
        <w:t xml:space="preserve">BRASIL. Superior Tribunal de Justiça. RECURSO ESPECIAL nº. 1112646. RELATOR: Ministro </w:t>
      </w:r>
      <w:proofErr w:type="spellStart"/>
      <w:r w:rsidRPr="000E0811">
        <w:rPr>
          <w:rFonts w:ascii="Times New Roman" w:hAnsi="Times New Roman"/>
          <w:sz w:val="24"/>
          <w:szCs w:val="24"/>
        </w:rPr>
        <w:t>Herman</w:t>
      </w:r>
      <w:proofErr w:type="spellEnd"/>
      <w:r w:rsidRPr="000E0811">
        <w:rPr>
          <w:rFonts w:ascii="Times New Roman" w:hAnsi="Times New Roman"/>
          <w:sz w:val="24"/>
          <w:szCs w:val="24"/>
        </w:rPr>
        <w:t xml:space="preserve"> Benjamin. São Paulo: 26 de agosto de 2009. </w:t>
      </w:r>
      <w:proofErr w:type="gramStart"/>
      <w:r w:rsidRPr="000E0811">
        <w:rPr>
          <w:rFonts w:ascii="Times New Roman" w:hAnsi="Times New Roman"/>
          <w:sz w:val="24"/>
          <w:szCs w:val="24"/>
        </w:rPr>
        <w:t>Diário da Justiça: 28 de agosto de 2009)</w:t>
      </w:r>
      <w:proofErr w:type="gramEnd"/>
      <w:r w:rsidRPr="000E0811">
        <w:rPr>
          <w:rFonts w:ascii="Times New Roman" w:hAnsi="Times New Roman"/>
          <w:sz w:val="24"/>
          <w:szCs w:val="24"/>
        </w:rPr>
        <w:t>.</w:t>
      </w:r>
    </w:p>
    <w:p w:rsidR="00672B15" w:rsidRPr="000E0811" w:rsidRDefault="00672B15" w:rsidP="00165D29">
      <w:pPr>
        <w:spacing w:after="0" w:line="240" w:lineRule="auto"/>
        <w:jc w:val="both"/>
        <w:rPr>
          <w:rFonts w:ascii="Times New Roman" w:hAnsi="Times New Roman"/>
          <w:sz w:val="24"/>
          <w:szCs w:val="24"/>
        </w:rPr>
      </w:pPr>
    </w:p>
    <w:p w:rsidR="00E13A40" w:rsidRPr="000E0811" w:rsidRDefault="00E13A40" w:rsidP="00165D29">
      <w:pPr>
        <w:spacing w:after="0" w:line="240" w:lineRule="auto"/>
        <w:jc w:val="both"/>
        <w:rPr>
          <w:rFonts w:ascii="Times New Roman" w:hAnsi="Times New Roman"/>
          <w:sz w:val="24"/>
          <w:szCs w:val="24"/>
        </w:rPr>
      </w:pPr>
      <w:r w:rsidRPr="000E0811">
        <w:rPr>
          <w:rFonts w:ascii="Times New Roman" w:hAnsi="Times New Roman"/>
          <w:sz w:val="24"/>
          <w:szCs w:val="24"/>
        </w:rPr>
        <w:t xml:space="preserve">CARVALHO, Paulo de Barros. </w:t>
      </w:r>
      <w:r w:rsidRPr="000E0811">
        <w:rPr>
          <w:rFonts w:ascii="Times New Roman" w:hAnsi="Times New Roman"/>
          <w:b/>
          <w:sz w:val="24"/>
          <w:szCs w:val="24"/>
        </w:rPr>
        <w:t>Curso de direito tributário.</w:t>
      </w:r>
      <w:r w:rsidRPr="000E0811">
        <w:rPr>
          <w:rFonts w:ascii="Times New Roman" w:hAnsi="Times New Roman"/>
          <w:sz w:val="24"/>
          <w:szCs w:val="24"/>
        </w:rPr>
        <w:t xml:space="preserve"> 17 ed. São Paulo: </w:t>
      </w:r>
      <w:proofErr w:type="gramStart"/>
      <w:r w:rsidRPr="000E0811">
        <w:rPr>
          <w:rFonts w:ascii="Times New Roman" w:hAnsi="Times New Roman"/>
          <w:sz w:val="24"/>
          <w:szCs w:val="24"/>
        </w:rPr>
        <w:t>Saraiva,</w:t>
      </w:r>
      <w:proofErr w:type="gramEnd"/>
      <w:r w:rsidRPr="000E0811">
        <w:rPr>
          <w:rFonts w:ascii="Times New Roman" w:hAnsi="Times New Roman"/>
          <w:sz w:val="24"/>
          <w:szCs w:val="24"/>
        </w:rPr>
        <w:t xml:space="preserve"> 2006.</w:t>
      </w:r>
    </w:p>
    <w:p w:rsidR="00672B15" w:rsidRPr="000E0811" w:rsidRDefault="00672B15" w:rsidP="00165D29">
      <w:pPr>
        <w:pStyle w:val="Textodenotaderodap"/>
        <w:jc w:val="both"/>
        <w:rPr>
          <w:rFonts w:ascii="Times New Roman" w:hAnsi="Times New Roman"/>
          <w:sz w:val="24"/>
          <w:szCs w:val="24"/>
        </w:rPr>
      </w:pPr>
    </w:p>
    <w:p w:rsidR="00672B15" w:rsidRPr="000E0811" w:rsidRDefault="00672B15" w:rsidP="00165D29">
      <w:pPr>
        <w:pStyle w:val="Textodenotaderodap"/>
        <w:jc w:val="both"/>
        <w:rPr>
          <w:rFonts w:ascii="Times New Roman" w:hAnsi="Times New Roman"/>
          <w:sz w:val="24"/>
          <w:szCs w:val="24"/>
        </w:rPr>
      </w:pPr>
      <w:r w:rsidRPr="000E0811">
        <w:rPr>
          <w:rFonts w:ascii="Times New Roman" w:hAnsi="Times New Roman"/>
          <w:sz w:val="24"/>
          <w:szCs w:val="24"/>
        </w:rPr>
        <w:t>CARRAZZA, Roque Antonio.</w:t>
      </w:r>
      <w:r w:rsidRPr="000E0811">
        <w:rPr>
          <w:rFonts w:ascii="Times New Roman" w:hAnsi="Times New Roman"/>
          <w:b/>
          <w:sz w:val="24"/>
          <w:szCs w:val="24"/>
        </w:rPr>
        <w:t xml:space="preserve"> Curso de direito constitucional tributário.</w:t>
      </w:r>
      <w:r w:rsidRPr="000E0811">
        <w:rPr>
          <w:rFonts w:ascii="Times New Roman" w:hAnsi="Times New Roman"/>
          <w:sz w:val="24"/>
          <w:szCs w:val="24"/>
        </w:rPr>
        <w:t xml:space="preserve"> 24. </w:t>
      </w:r>
      <w:proofErr w:type="gramStart"/>
      <w:r w:rsidRPr="000E0811">
        <w:rPr>
          <w:rFonts w:ascii="Times New Roman" w:hAnsi="Times New Roman"/>
          <w:sz w:val="24"/>
          <w:szCs w:val="24"/>
        </w:rPr>
        <w:t>ed.</w:t>
      </w:r>
      <w:proofErr w:type="gramEnd"/>
      <w:r w:rsidRPr="000E0811">
        <w:rPr>
          <w:rFonts w:ascii="Times New Roman" w:hAnsi="Times New Roman"/>
          <w:sz w:val="24"/>
          <w:szCs w:val="24"/>
        </w:rPr>
        <w:t xml:space="preserve"> São Paulo: Malheiros, 2008, p. 655.</w:t>
      </w:r>
    </w:p>
    <w:p w:rsidR="00672B15" w:rsidRPr="000E0811" w:rsidRDefault="00672B15" w:rsidP="00165D29">
      <w:pPr>
        <w:autoSpaceDE w:val="0"/>
        <w:autoSpaceDN w:val="0"/>
        <w:adjustRightInd w:val="0"/>
        <w:spacing w:after="0" w:line="240" w:lineRule="auto"/>
        <w:jc w:val="both"/>
        <w:rPr>
          <w:rFonts w:ascii="Times New Roman" w:hAnsi="Times New Roman"/>
          <w:sz w:val="24"/>
          <w:szCs w:val="24"/>
          <w:lang w:eastAsia="pt-BR"/>
        </w:rPr>
      </w:pPr>
    </w:p>
    <w:p w:rsidR="00672B15" w:rsidRPr="000E0811" w:rsidRDefault="00672B15" w:rsidP="00165D29">
      <w:pPr>
        <w:autoSpaceDE w:val="0"/>
        <w:autoSpaceDN w:val="0"/>
        <w:adjustRightInd w:val="0"/>
        <w:spacing w:after="0" w:line="240" w:lineRule="auto"/>
        <w:jc w:val="both"/>
        <w:rPr>
          <w:rFonts w:ascii="Times New Roman" w:hAnsi="Times New Roman"/>
          <w:sz w:val="24"/>
          <w:szCs w:val="24"/>
          <w:lang w:eastAsia="pt-BR"/>
        </w:rPr>
      </w:pPr>
      <w:r w:rsidRPr="000E0811">
        <w:rPr>
          <w:rFonts w:ascii="Times New Roman" w:hAnsi="Times New Roman"/>
          <w:sz w:val="24"/>
          <w:szCs w:val="24"/>
          <w:lang w:eastAsia="pt-BR"/>
        </w:rPr>
        <w:t xml:space="preserve">FRAGA, Henrique Rocha. </w:t>
      </w:r>
      <w:r w:rsidRPr="000E0811">
        <w:rPr>
          <w:rFonts w:ascii="Times New Roman" w:hAnsi="Times New Roman"/>
          <w:b/>
          <w:sz w:val="24"/>
          <w:szCs w:val="24"/>
          <w:lang w:eastAsia="pt-BR"/>
        </w:rPr>
        <w:t>O IPTU e suas principais características.</w:t>
      </w:r>
      <w:r w:rsidRPr="000E0811">
        <w:rPr>
          <w:rFonts w:ascii="Times New Roman" w:hAnsi="Times New Roman"/>
          <w:sz w:val="24"/>
          <w:szCs w:val="24"/>
          <w:lang w:eastAsia="pt-BR"/>
        </w:rPr>
        <w:t xml:space="preserve"> Disponível em: &lt;http://rochaefraga.com.br/publicacoes/o_iptu_e_suas_principais_caracteristicas.pdf&gt;. Acesso em: 20 de out de 2014. </w:t>
      </w:r>
      <w:proofErr w:type="gramStart"/>
      <w:r w:rsidRPr="000E0811">
        <w:rPr>
          <w:rFonts w:ascii="Times New Roman" w:hAnsi="Times New Roman"/>
          <w:sz w:val="24"/>
          <w:szCs w:val="24"/>
          <w:lang w:eastAsia="pt-BR"/>
        </w:rPr>
        <w:t>p.</w:t>
      </w:r>
      <w:proofErr w:type="gramEnd"/>
      <w:r w:rsidRPr="000E0811">
        <w:rPr>
          <w:rFonts w:ascii="Times New Roman" w:hAnsi="Times New Roman"/>
          <w:sz w:val="24"/>
          <w:szCs w:val="24"/>
          <w:lang w:eastAsia="pt-BR"/>
        </w:rPr>
        <w:t>07-08.</w:t>
      </w:r>
    </w:p>
    <w:p w:rsidR="00E13A40" w:rsidRDefault="00E13A40" w:rsidP="00165D29">
      <w:pPr>
        <w:spacing w:after="0" w:line="240" w:lineRule="auto"/>
        <w:jc w:val="both"/>
        <w:rPr>
          <w:rFonts w:ascii="Times New Roman" w:hAnsi="Times New Roman"/>
          <w:sz w:val="24"/>
          <w:szCs w:val="24"/>
        </w:rPr>
      </w:pPr>
    </w:p>
    <w:p w:rsidR="00165D29" w:rsidRDefault="00165D29" w:rsidP="00165D29">
      <w:pPr>
        <w:spacing w:after="0" w:line="240" w:lineRule="auto"/>
        <w:jc w:val="both"/>
        <w:rPr>
          <w:rFonts w:ascii="Times New Roman" w:hAnsi="Times New Roman"/>
          <w:sz w:val="24"/>
          <w:szCs w:val="24"/>
        </w:rPr>
      </w:pPr>
      <w:r>
        <w:rPr>
          <w:rFonts w:ascii="Times New Roman" w:hAnsi="Times New Roman"/>
          <w:sz w:val="24"/>
          <w:szCs w:val="24"/>
        </w:rPr>
        <w:t xml:space="preserve">MARCONDES, Camila. </w:t>
      </w:r>
      <w:r w:rsidRPr="00165D29">
        <w:rPr>
          <w:rFonts w:ascii="Times New Roman" w:hAnsi="Times New Roman"/>
          <w:b/>
          <w:sz w:val="24"/>
          <w:szCs w:val="24"/>
        </w:rPr>
        <w:t>IPTU e ITR: REGRA MATRIZ DE INCIDÊNCIA E PONTOS DE DISCUSSÃO</w:t>
      </w:r>
      <w:r>
        <w:rPr>
          <w:rFonts w:ascii="Times New Roman" w:hAnsi="Times New Roman"/>
          <w:sz w:val="24"/>
          <w:szCs w:val="24"/>
        </w:rPr>
        <w:t>. Disponível em: &lt;</w:t>
      </w:r>
      <w:r w:rsidRPr="00A20491">
        <w:rPr>
          <w:rFonts w:ascii="Times New Roman" w:hAnsi="Times New Roman"/>
          <w:sz w:val="24"/>
          <w:szCs w:val="24"/>
        </w:rPr>
        <w:t>http://www.cerqueiraleite.com.br/news/6278/26/IPTU-E-ITR-REGRA-MATRIZ-DE-INCIDeNCIA-E-PONTOS-DE-DISCUSSaO.html</w:t>
      </w:r>
      <w:r>
        <w:rPr>
          <w:rFonts w:ascii="Times New Roman" w:hAnsi="Times New Roman"/>
          <w:sz w:val="24"/>
          <w:szCs w:val="24"/>
        </w:rPr>
        <w:t>&gt;. Acesso em: 1 nov. 2014.</w:t>
      </w:r>
    </w:p>
    <w:p w:rsidR="00165D29" w:rsidRPr="000E0811" w:rsidRDefault="00165D29" w:rsidP="00165D29">
      <w:pPr>
        <w:spacing w:after="0" w:line="240" w:lineRule="auto"/>
        <w:jc w:val="both"/>
        <w:rPr>
          <w:rFonts w:ascii="Times New Roman" w:hAnsi="Times New Roman"/>
          <w:sz w:val="24"/>
          <w:szCs w:val="24"/>
        </w:rPr>
      </w:pPr>
    </w:p>
    <w:p w:rsidR="00E85EA3" w:rsidRPr="000E0811" w:rsidRDefault="00E13A40" w:rsidP="00165D29">
      <w:pPr>
        <w:spacing w:after="0" w:line="240" w:lineRule="auto"/>
        <w:jc w:val="both"/>
        <w:rPr>
          <w:rFonts w:ascii="Times New Roman" w:hAnsi="Times New Roman"/>
          <w:sz w:val="24"/>
          <w:szCs w:val="24"/>
        </w:rPr>
      </w:pPr>
      <w:r w:rsidRPr="000E0811">
        <w:rPr>
          <w:rFonts w:ascii="Times New Roman" w:hAnsi="Times New Roman"/>
          <w:sz w:val="24"/>
          <w:szCs w:val="24"/>
        </w:rPr>
        <w:t>PAVANI, Vanessa Roda. A regra matriz de incidência tributária. In:</w:t>
      </w:r>
      <w:r w:rsidRPr="000E0811">
        <w:rPr>
          <w:rStyle w:val="apple-converted-space"/>
          <w:rFonts w:ascii="Times New Roman" w:hAnsi="Times New Roman"/>
          <w:sz w:val="24"/>
          <w:szCs w:val="24"/>
        </w:rPr>
        <w:t> </w:t>
      </w:r>
      <w:r w:rsidRPr="000E0811">
        <w:rPr>
          <w:rStyle w:val="Forte"/>
          <w:rFonts w:ascii="Times New Roman" w:hAnsi="Times New Roman"/>
          <w:sz w:val="24"/>
          <w:szCs w:val="24"/>
        </w:rPr>
        <w:t>Âmbito Jurídico</w:t>
      </w:r>
      <w:r w:rsidRPr="000E0811">
        <w:rPr>
          <w:rFonts w:ascii="Times New Roman" w:hAnsi="Times New Roman"/>
          <w:sz w:val="24"/>
          <w:szCs w:val="24"/>
        </w:rPr>
        <w:t>, Rio Grande, XIV, n. 88, maio 2011. Disponível em: &lt;</w:t>
      </w:r>
      <w:hyperlink r:id="rId6" w:tooltip="Informações Bibliográficas" w:history="1">
        <w:r w:rsidRPr="000E0811">
          <w:rPr>
            <w:rStyle w:val="Hyperlink"/>
            <w:rFonts w:ascii="Times New Roman" w:hAnsi="Times New Roman"/>
            <w:color w:val="auto"/>
            <w:sz w:val="24"/>
            <w:szCs w:val="24"/>
            <w:u w:val="none"/>
          </w:rPr>
          <w:t>http://www.ambito-juridico.com.br/site/index.php?n_link=revista_artigos_leitura&amp;artigo_id=9490</w:t>
        </w:r>
      </w:hyperlink>
      <w:r w:rsidRPr="000E0811">
        <w:rPr>
          <w:rFonts w:ascii="Times New Roman" w:hAnsi="Times New Roman"/>
          <w:sz w:val="24"/>
          <w:szCs w:val="24"/>
        </w:rPr>
        <w:t>&gt;. Acesso em out 2014.</w:t>
      </w:r>
    </w:p>
    <w:p w:rsidR="00672B15" w:rsidRPr="000E0811" w:rsidRDefault="00672B15" w:rsidP="00165D29">
      <w:pPr>
        <w:autoSpaceDE w:val="0"/>
        <w:autoSpaceDN w:val="0"/>
        <w:adjustRightInd w:val="0"/>
        <w:spacing w:after="0" w:line="240" w:lineRule="auto"/>
        <w:jc w:val="both"/>
        <w:rPr>
          <w:rFonts w:ascii="Times New Roman" w:hAnsi="Times New Roman"/>
          <w:sz w:val="24"/>
          <w:szCs w:val="24"/>
          <w:lang w:eastAsia="pt-BR"/>
        </w:rPr>
      </w:pPr>
    </w:p>
    <w:p w:rsidR="00672B15" w:rsidRPr="000E0811" w:rsidRDefault="00672B15" w:rsidP="00165D29">
      <w:pPr>
        <w:autoSpaceDE w:val="0"/>
        <w:autoSpaceDN w:val="0"/>
        <w:adjustRightInd w:val="0"/>
        <w:spacing w:after="0" w:line="240" w:lineRule="auto"/>
        <w:jc w:val="both"/>
        <w:rPr>
          <w:rFonts w:ascii="Times New Roman" w:hAnsi="Times New Roman"/>
          <w:sz w:val="24"/>
          <w:szCs w:val="24"/>
        </w:rPr>
      </w:pPr>
      <w:r w:rsidRPr="000E0811">
        <w:rPr>
          <w:rFonts w:ascii="Times New Roman" w:hAnsi="Times New Roman"/>
          <w:sz w:val="24"/>
          <w:szCs w:val="24"/>
          <w:lang w:eastAsia="pt-BR"/>
        </w:rPr>
        <w:t xml:space="preserve">PEIXOTO, Marcelo Magalhães. </w:t>
      </w:r>
      <w:r w:rsidRPr="000E0811">
        <w:rPr>
          <w:rFonts w:ascii="Times New Roman" w:hAnsi="Times New Roman"/>
          <w:b/>
          <w:sz w:val="24"/>
          <w:szCs w:val="24"/>
          <w:lang w:eastAsia="pt-BR"/>
        </w:rPr>
        <w:t xml:space="preserve">A </w:t>
      </w:r>
      <w:proofErr w:type="spellStart"/>
      <w:r w:rsidRPr="000E0811">
        <w:rPr>
          <w:rFonts w:ascii="Times New Roman" w:hAnsi="Times New Roman"/>
          <w:b/>
          <w:sz w:val="24"/>
          <w:szCs w:val="24"/>
          <w:lang w:eastAsia="pt-BR"/>
        </w:rPr>
        <w:t>regra-matriz</w:t>
      </w:r>
      <w:proofErr w:type="spellEnd"/>
      <w:r w:rsidRPr="000E0811">
        <w:rPr>
          <w:rFonts w:ascii="Times New Roman" w:hAnsi="Times New Roman"/>
          <w:b/>
          <w:sz w:val="24"/>
          <w:szCs w:val="24"/>
          <w:lang w:eastAsia="pt-BR"/>
        </w:rPr>
        <w:t xml:space="preserve"> de incidência tributária do Imposto sobre Propriedade Predial e Territorial Urbana – IPTU.</w:t>
      </w:r>
      <w:r w:rsidRPr="000E0811">
        <w:rPr>
          <w:rFonts w:ascii="Times New Roman" w:hAnsi="Times New Roman"/>
          <w:sz w:val="24"/>
          <w:szCs w:val="24"/>
          <w:lang w:eastAsia="pt-BR"/>
        </w:rPr>
        <w:t xml:space="preserve"> In: PEIXOTO, Marcelo Magalhães (</w:t>
      </w:r>
      <w:proofErr w:type="spellStart"/>
      <w:r w:rsidRPr="000E0811">
        <w:rPr>
          <w:rFonts w:ascii="Times New Roman" w:hAnsi="Times New Roman"/>
          <w:sz w:val="24"/>
          <w:szCs w:val="24"/>
          <w:lang w:eastAsia="pt-BR"/>
        </w:rPr>
        <w:t>Coord</w:t>
      </w:r>
      <w:proofErr w:type="spellEnd"/>
      <w:r w:rsidRPr="000E0811">
        <w:rPr>
          <w:rFonts w:ascii="Times New Roman" w:hAnsi="Times New Roman"/>
          <w:sz w:val="24"/>
          <w:szCs w:val="24"/>
          <w:lang w:eastAsia="pt-BR"/>
        </w:rPr>
        <w:t xml:space="preserve">). IPTU: Aspectos jurídicos relevantes. São Paulo: </w:t>
      </w:r>
      <w:proofErr w:type="spellStart"/>
      <w:r w:rsidRPr="000E0811">
        <w:rPr>
          <w:rFonts w:ascii="Times New Roman" w:hAnsi="Times New Roman"/>
          <w:sz w:val="24"/>
          <w:szCs w:val="24"/>
          <w:lang w:eastAsia="pt-BR"/>
        </w:rPr>
        <w:t>Quartier</w:t>
      </w:r>
      <w:proofErr w:type="spellEnd"/>
      <w:r w:rsidRPr="000E0811">
        <w:rPr>
          <w:rFonts w:ascii="Times New Roman" w:hAnsi="Times New Roman"/>
          <w:sz w:val="24"/>
          <w:szCs w:val="24"/>
          <w:lang w:eastAsia="pt-BR"/>
        </w:rPr>
        <w:t xml:space="preserve"> </w:t>
      </w:r>
      <w:proofErr w:type="spellStart"/>
      <w:r w:rsidRPr="000E0811">
        <w:rPr>
          <w:rFonts w:ascii="Times New Roman" w:hAnsi="Times New Roman"/>
          <w:sz w:val="24"/>
          <w:szCs w:val="24"/>
          <w:lang w:eastAsia="pt-BR"/>
        </w:rPr>
        <w:t>Latin</w:t>
      </w:r>
      <w:proofErr w:type="spellEnd"/>
      <w:r w:rsidRPr="000E0811">
        <w:rPr>
          <w:rFonts w:ascii="Times New Roman" w:hAnsi="Times New Roman"/>
          <w:sz w:val="24"/>
          <w:szCs w:val="24"/>
          <w:lang w:eastAsia="pt-BR"/>
        </w:rPr>
        <w:t>, 2002, p. 426.</w:t>
      </w:r>
    </w:p>
    <w:p w:rsidR="00E85EA3" w:rsidRPr="000E0811" w:rsidRDefault="00E85EA3" w:rsidP="00165D29">
      <w:pPr>
        <w:spacing w:after="0" w:line="240" w:lineRule="auto"/>
        <w:jc w:val="both"/>
        <w:rPr>
          <w:rFonts w:ascii="Times New Roman" w:hAnsi="Times New Roman"/>
          <w:sz w:val="24"/>
          <w:szCs w:val="24"/>
        </w:rPr>
      </w:pPr>
    </w:p>
    <w:p w:rsidR="00E85EA3" w:rsidRPr="000E0811" w:rsidRDefault="00E85EA3" w:rsidP="00165D29">
      <w:pPr>
        <w:pStyle w:val="Textodenotaderodap"/>
        <w:jc w:val="both"/>
        <w:rPr>
          <w:rFonts w:ascii="Times New Roman" w:hAnsi="Times New Roman"/>
          <w:sz w:val="24"/>
          <w:szCs w:val="24"/>
        </w:rPr>
      </w:pPr>
      <w:r w:rsidRPr="000E0811">
        <w:rPr>
          <w:rFonts w:ascii="Times New Roman" w:hAnsi="Times New Roman"/>
          <w:sz w:val="24"/>
          <w:szCs w:val="24"/>
        </w:rPr>
        <w:t xml:space="preserve">SABBAG, Eduardo. </w:t>
      </w:r>
      <w:r w:rsidRPr="000E0811">
        <w:rPr>
          <w:rFonts w:ascii="Times New Roman" w:hAnsi="Times New Roman"/>
          <w:b/>
          <w:sz w:val="24"/>
          <w:szCs w:val="24"/>
        </w:rPr>
        <w:t>Manual de direito tributário.</w:t>
      </w:r>
      <w:r w:rsidRPr="000E0811">
        <w:rPr>
          <w:rFonts w:ascii="Times New Roman" w:hAnsi="Times New Roman"/>
          <w:sz w:val="24"/>
          <w:szCs w:val="24"/>
        </w:rPr>
        <w:t xml:space="preserve"> 4 ed. São Paulo: </w:t>
      </w:r>
      <w:proofErr w:type="gramStart"/>
      <w:r w:rsidRPr="000E0811">
        <w:rPr>
          <w:rFonts w:ascii="Times New Roman" w:hAnsi="Times New Roman"/>
          <w:sz w:val="24"/>
          <w:szCs w:val="24"/>
        </w:rPr>
        <w:t>Saraiva,</w:t>
      </w:r>
      <w:proofErr w:type="gramEnd"/>
      <w:r w:rsidRPr="000E0811">
        <w:rPr>
          <w:rFonts w:ascii="Times New Roman" w:hAnsi="Times New Roman"/>
          <w:sz w:val="24"/>
          <w:szCs w:val="24"/>
        </w:rPr>
        <w:t xml:space="preserve"> 2002, p. 992.</w:t>
      </w:r>
    </w:p>
    <w:sectPr w:rsidR="00E85EA3" w:rsidRPr="000E0811" w:rsidSect="009B57B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476" w:rsidRDefault="00D07476" w:rsidP="002C7B4A">
      <w:pPr>
        <w:spacing w:after="0" w:line="240" w:lineRule="auto"/>
      </w:pPr>
      <w:r>
        <w:separator/>
      </w:r>
    </w:p>
  </w:endnote>
  <w:endnote w:type="continuationSeparator" w:id="0">
    <w:p w:rsidR="00D07476" w:rsidRDefault="00D07476" w:rsidP="002C7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476" w:rsidRDefault="00D07476" w:rsidP="002C7B4A">
      <w:pPr>
        <w:spacing w:after="0" w:line="240" w:lineRule="auto"/>
      </w:pPr>
      <w:r>
        <w:separator/>
      </w:r>
    </w:p>
  </w:footnote>
  <w:footnote w:type="continuationSeparator" w:id="0">
    <w:p w:rsidR="00D07476" w:rsidRDefault="00D07476" w:rsidP="002C7B4A">
      <w:pPr>
        <w:spacing w:after="0" w:line="240" w:lineRule="auto"/>
      </w:pPr>
      <w:r>
        <w:continuationSeparator/>
      </w:r>
    </w:p>
  </w:footnote>
  <w:footnote w:id="1">
    <w:p w:rsidR="00E85EA3" w:rsidRDefault="00E85EA3" w:rsidP="001778E5">
      <w:pPr>
        <w:autoSpaceDE w:val="0"/>
        <w:autoSpaceDN w:val="0"/>
        <w:adjustRightInd w:val="0"/>
        <w:spacing w:after="0" w:line="240" w:lineRule="auto"/>
        <w:jc w:val="both"/>
        <w:rPr>
          <w:rFonts w:ascii="Times New Roman" w:hAnsi="Times New Roman"/>
          <w:color w:val="000000"/>
          <w:sz w:val="20"/>
          <w:szCs w:val="20"/>
          <w:lang w:eastAsia="pt-BR"/>
        </w:rPr>
      </w:pPr>
      <w:r w:rsidRPr="00DB248E">
        <w:rPr>
          <w:rFonts w:ascii="Times New Roman" w:hAnsi="Times New Roman"/>
          <w:color w:val="000000"/>
          <w:sz w:val="20"/>
          <w:szCs w:val="20"/>
          <w:vertAlign w:val="superscript"/>
          <w:lang w:eastAsia="pt-BR"/>
        </w:rPr>
        <w:footnoteRef/>
      </w:r>
      <w:r w:rsidRPr="00DB248E">
        <w:rPr>
          <w:rFonts w:ascii="Times New Roman" w:hAnsi="Times New Roman"/>
          <w:color w:val="000000"/>
          <w:sz w:val="20"/>
          <w:szCs w:val="20"/>
          <w:lang w:eastAsia="pt-BR"/>
        </w:rPr>
        <w:t xml:space="preserve"> </w:t>
      </w:r>
      <w:r>
        <w:rPr>
          <w:rFonts w:ascii="Times New Roman" w:hAnsi="Times New Roman"/>
          <w:color w:val="000000"/>
          <w:sz w:val="20"/>
          <w:szCs w:val="20"/>
          <w:lang w:eastAsia="pt-BR"/>
        </w:rPr>
        <w:t>BRASIL. Emenda constitucional n.° 18, de 1 de dezembro de 1965. Emenda constitucional</w:t>
      </w:r>
    </w:p>
    <w:p w:rsidR="00E85EA3" w:rsidRDefault="00E85EA3" w:rsidP="001778E5">
      <w:pPr>
        <w:autoSpaceDE w:val="0"/>
        <w:autoSpaceDN w:val="0"/>
        <w:adjustRightInd w:val="0"/>
        <w:spacing w:after="0" w:line="240" w:lineRule="auto"/>
        <w:jc w:val="both"/>
        <w:rPr>
          <w:rFonts w:ascii="Times New Roman" w:hAnsi="Times New Roman"/>
          <w:i/>
          <w:iCs/>
          <w:color w:val="000000"/>
          <w:sz w:val="20"/>
          <w:szCs w:val="20"/>
          <w:lang w:eastAsia="pt-BR"/>
        </w:rPr>
      </w:pPr>
      <w:proofErr w:type="gramStart"/>
      <w:r>
        <w:rPr>
          <w:rFonts w:ascii="Times New Roman" w:hAnsi="Times New Roman"/>
          <w:color w:val="000000"/>
          <w:sz w:val="20"/>
          <w:szCs w:val="20"/>
          <w:lang w:eastAsia="pt-BR"/>
        </w:rPr>
        <w:t>constituição</w:t>
      </w:r>
      <w:proofErr w:type="gramEnd"/>
      <w:r>
        <w:rPr>
          <w:rFonts w:ascii="Times New Roman" w:hAnsi="Times New Roman"/>
          <w:color w:val="000000"/>
          <w:sz w:val="20"/>
          <w:szCs w:val="20"/>
          <w:lang w:eastAsia="pt-BR"/>
        </w:rPr>
        <w:t xml:space="preserve"> federal de 1946. Sistema tributário nacional. </w:t>
      </w:r>
      <w:r>
        <w:rPr>
          <w:rFonts w:ascii="Times New Roman" w:hAnsi="Times New Roman"/>
          <w:i/>
          <w:iCs/>
          <w:color w:val="000000"/>
          <w:sz w:val="20"/>
          <w:szCs w:val="20"/>
          <w:lang w:eastAsia="pt-BR"/>
        </w:rPr>
        <w:t>Diário [da] República Federativa do</w:t>
      </w:r>
    </w:p>
    <w:p w:rsidR="00E85EA3" w:rsidRDefault="00E85EA3" w:rsidP="001778E5">
      <w:pPr>
        <w:autoSpaceDE w:val="0"/>
        <w:autoSpaceDN w:val="0"/>
        <w:adjustRightInd w:val="0"/>
        <w:spacing w:after="0" w:line="240" w:lineRule="auto"/>
        <w:jc w:val="both"/>
        <w:rPr>
          <w:rFonts w:ascii="Times New Roman" w:hAnsi="Times New Roman"/>
          <w:color w:val="000000"/>
          <w:sz w:val="20"/>
          <w:szCs w:val="20"/>
          <w:lang w:eastAsia="pt-BR"/>
        </w:rPr>
      </w:pPr>
      <w:r>
        <w:rPr>
          <w:rFonts w:ascii="Times New Roman" w:hAnsi="Times New Roman"/>
          <w:i/>
          <w:iCs/>
          <w:color w:val="000000"/>
          <w:sz w:val="20"/>
          <w:szCs w:val="20"/>
          <w:lang w:eastAsia="pt-BR"/>
        </w:rPr>
        <w:t>Brasil</w:t>
      </w:r>
      <w:r>
        <w:rPr>
          <w:rFonts w:ascii="Times New Roman" w:hAnsi="Times New Roman"/>
          <w:color w:val="000000"/>
          <w:sz w:val="20"/>
          <w:szCs w:val="20"/>
          <w:lang w:eastAsia="pt-BR"/>
        </w:rPr>
        <w:t xml:space="preserve">, Brasília, 6 dez. </w:t>
      </w:r>
      <w:proofErr w:type="gramStart"/>
      <w:r>
        <w:rPr>
          <w:rFonts w:ascii="Times New Roman" w:hAnsi="Times New Roman"/>
          <w:color w:val="000000"/>
          <w:sz w:val="20"/>
          <w:szCs w:val="20"/>
          <w:lang w:eastAsia="pt-BR"/>
        </w:rPr>
        <w:t>1965 .</w:t>
      </w:r>
      <w:proofErr w:type="gramEnd"/>
      <w:r>
        <w:rPr>
          <w:rFonts w:ascii="Times New Roman" w:hAnsi="Times New Roman"/>
          <w:color w:val="000000"/>
          <w:sz w:val="20"/>
          <w:szCs w:val="20"/>
          <w:lang w:eastAsia="pt-BR"/>
        </w:rPr>
        <w:t xml:space="preserve"> Disponível em: &lt;http://</w:t>
      </w:r>
      <w:r w:rsidRPr="001778E5">
        <w:rPr>
          <w:rFonts w:ascii="Times New Roman" w:hAnsi="Times New Roman"/>
          <w:sz w:val="20"/>
          <w:szCs w:val="20"/>
          <w:lang w:eastAsia="pt-BR"/>
        </w:rPr>
        <w:t>www.legislacao.senado.gov.br</w:t>
      </w:r>
      <w:r>
        <w:rPr>
          <w:rFonts w:ascii="Times New Roman" w:hAnsi="Times New Roman"/>
          <w:color w:val="000000"/>
          <w:sz w:val="20"/>
          <w:szCs w:val="20"/>
          <w:lang w:eastAsia="pt-BR"/>
        </w:rPr>
        <w:t>&gt;. Acesso em:</w:t>
      </w:r>
    </w:p>
    <w:p w:rsidR="00E85EA3" w:rsidRDefault="00E85EA3" w:rsidP="001778E5">
      <w:pPr>
        <w:pStyle w:val="Textodenotaderodap"/>
        <w:jc w:val="both"/>
      </w:pPr>
      <w:r>
        <w:rPr>
          <w:rFonts w:ascii="Times New Roman" w:hAnsi="Times New Roman"/>
          <w:color w:val="000000"/>
        </w:rPr>
        <w:t>09 de out de 2014.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C7B4A"/>
    <w:rsid w:val="00012557"/>
    <w:rsid w:val="000E0811"/>
    <w:rsid w:val="000E760D"/>
    <w:rsid w:val="000F74D8"/>
    <w:rsid w:val="0010596A"/>
    <w:rsid w:val="00147204"/>
    <w:rsid w:val="001563BF"/>
    <w:rsid w:val="00165D29"/>
    <w:rsid w:val="001778E5"/>
    <w:rsid w:val="002958C8"/>
    <w:rsid w:val="002C7B4A"/>
    <w:rsid w:val="002D2473"/>
    <w:rsid w:val="00336C70"/>
    <w:rsid w:val="00345158"/>
    <w:rsid w:val="003740A3"/>
    <w:rsid w:val="003C2CF7"/>
    <w:rsid w:val="004631D9"/>
    <w:rsid w:val="00470261"/>
    <w:rsid w:val="004C5006"/>
    <w:rsid w:val="004F341B"/>
    <w:rsid w:val="005739B6"/>
    <w:rsid w:val="00672B15"/>
    <w:rsid w:val="006B22C6"/>
    <w:rsid w:val="00707D8A"/>
    <w:rsid w:val="00723F9E"/>
    <w:rsid w:val="008A294D"/>
    <w:rsid w:val="008B68AA"/>
    <w:rsid w:val="008F2179"/>
    <w:rsid w:val="0090591E"/>
    <w:rsid w:val="00961AF0"/>
    <w:rsid w:val="00987435"/>
    <w:rsid w:val="009C2A64"/>
    <w:rsid w:val="00A33F97"/>
    <w:rsid w:val="00A81362"/>
    <w:rsid w:val="00AD5590"/>
    <w:rsid w:val="00B01ABF"/>
    <w:rsid w:val="00B76E5B"/>
    <w:rsid w:val="00BD4190"/>
    <w:rsid w:val="00C12544"/>
    <w:rsid w:val="00C14463"/>
    <w:rsid w:val="00C279DB"/>
    <w:rsid w:val="00C54F94"/>
    <w:rsid w:val="00C76939"/>
    <w:rsid w:val="00CA0B51"/>
    <w:rsid w:val="00CD1F33"/>
    <w:rsid w:val="00D07476"/>
    <w:rsid w:val="00D80D60"/>
    <w:rsid w:val="00DB750A"/>
    <w:rsid w:val="00E13A40"/>
    <w:rsid w:val="00E148ED"/>
    <w:rsid w:val="00E32893"/>
    <w:rsid w:val="00E71649"/>
    <w:rsid w:val="00E812D7"/>
    <w:rsid w:val="00E85EA3"/>
    <w:rsid w:val="00E91166"/>
    <w:rsid w:val="00E928A1"/>
    <w:rsid w:val="00EB2555"/>
    <w:rsid w:val="00ED71F3"/>
    <w:rsid w:val="00EF61AC"/>
    <w:rsid w:val="00FA70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B4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99"/>
    <w:qFormat/>
    <w:rsid w:val="002C7B4A"/>
    <w:pPr>
      <w:spacing w:after="0" w:line="240" w:lineRule="auto"/>
    </w:pPr>
    <w:rPr>
      <w:rFonts w:ascii="Calibri" w:eastAsia="Calibri" w:hAnsi="Calibri" w:cs="Times New Roman"/>
    </w:rPr>
  </w:style>
  <w:style w:type="paragraph" w:styleId="Textodenotaderodap">
    <w:name w:val="footnote text"/>
    <w:basedOn w:val="Normal"/>
    <w:link w:val="TextodenotaderodapChar"/>
    <w:uiPriority w:val="99"/>
    <w:semiHidden/>
    <w:rsid w:val="002C7B4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7B4A"/>
    <w:rPr>
      <w:rFonts w:ascii="Calibri" w:eastAsia="Calibri" w:hAnsi="Calibri" w:cs="Times New Roman"/>
      <w:sz w:val="20"/>
      <w:szCs w:val="20"/>
    </w:rPr>
  </w:style>
  <w:style w:type="character" w:styleId="Refdenotaderodap">
    <w:name w:val="footnote reference"/>
    <w:basedOn w:val="Fontepargpadro"/>
    <w:uiPriority w:val="99"/>
    <w:semiHidden/>
    <w:rsid w:val="002C7B4A"/>
    <w:rPr>
      <w:rFonts w:cs="Times New Roman"/>
      <w:vertAlign w:val="superscript"/>
    </w:rPr>
  </w:style>
  <w:style w:type="character" w:styleId="Hyperlink">
    <w:name w:val="Hyperlink"/>
    <w:basedOn w:val="Fontepargpadro"/>
    <w:uiPriority w:val="99"/>
    <w:unhideWhenUsed/>
    <w:rsid w:val="002C7B4A"/>
    <w:rPr>
      <w:color w:val="0000FF"/>
      <w:u w:val="single"/>
    </w:rPr>
  </w:style>
  <w:style w:type="character" w:styleId="Forte">
    <w:name w:val="Strong"/>
    <w:basedOn w:val="Fontepargpadro"/>
    <w:uiPriority w:val="22"/>
    <w:qFormat/>
    <w:rsid w:val="002C7B4A"/>
    <w:rPr>
      <w:b/>
      <w:bCs/>
    </w:rPr>
  </w:style>
  <w:style w:type="character" w:customStyle="1" w:styleId="url">
    <w:name w:val="url"/>
    <w:basedOn w:val="Fontepargpadro"/>
    <w:rsid w:val="002C7B4A"/>
  </w:style>
  <w:style w:type="character" w:customStyle="1" w:styleId="timeaccess">
    <w:name w:val="timeaccess"/>
    <w:basedOn w:val="Fontepargpadro"/>
    <w:rsid w:val="002C7B4A"/>
  </w:style>
  <w:style w:type="character" w:customStyle="1" w:styleId="apple-converted-space">
    <w:name w:val="apple-converted-space"/>
    <w:basedOn w:val="Fontepargpadro"/>
    <w:rsid w:val="002C7B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bito-juridico.com.br/site/index.php?n_link=revista_artigos_leitura&amp;artigo_id=94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4691</Words>
  <Characters>25333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Comarca</cp:lastModifiedBy>
  <cp:revision>3</cp:revision>
  <dcterms:created xsi:type="dcterms:W3CDTF">2015-05-12T22:44:00Z</dcterms:created>
  <dcterms:modified xsi:type="dcterms:W3CDTF">2015-11-30T13:00:00Z</dcterms:modified>
</cp:coreProperties>
</file>