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E7" w:rsidRDefault="00EE1CE7" w:rsidP="004876DB">
      <w:pPr>
        <w:tabs>
          <w:tab w:val="left" w:pos="3990"/>
        </w:tabs>
        <w:spacing w:after="0"/>
        <w:rPr>
          <w:rFonts w:ascii="Times New Roman" w:hAnsi="Times New Roman" w:cs="Times New Roman"/>
          <w:sz w:val="24"/>
          <w:szCs w:val="24"/>
        </w:rPr>
      </w:pPr>
    </w:p>
    <w:p w:rsidR="003F46D7" w:rsidRPr="004876DB" w:rsidRDefault="00B336C6" w:rsidP="00922A37">
      <w:pPr>
        <w:jc w:val="center"/>
        <w:rPr>
          <w:rFonts w:ascii="Times New Roman" w:hAnsi="Times New Roman" w:cs="Times New Roman"/>
          <w:b/>
          <w:sz w:val="24"/>
          <w:szCs w:val="24"/>
        </w:rPr>
      </w:pPr>
      <w:r w:rsidRPr="004876DB">
        <w:rPr>
          <w:rFonts w:ascii="Times New Roman" w:hAnsi="Times New Roman" w:cs="Times New Roman"/>
          <w:b/>
          <w:sz w:val="24"/>
          <w:szCs w:val="24"/>
        </w:rPr>
        <w:t>MOTIVAÇÃO:</w:t>
      </w:r>
    </w:p>
    <w:p w:rsidR="00B336C6" w:rsidRDefault="00B336C6" w:rsidP="004876DB">
      <w:pPr>
        <w:spacing w:after="0" w:line="360" w:lineRule="auto"/>
        <w:jc w:val="center"/>
        <w:rPr>
          <w:rFonts w:ascii="Times New Roman" w:hAnsi="Times New Roman" w:cs="Times New Roman"/>
          <w:bCs/>
          <w:sz w:val="24"/>
          <w:szCs w:val="24"/>
        </w:rPr>
      </w:pPr>
      <w:r w:rsidRPr="00B336C6">
        <w:rPr>
          <w:rFonts w:ascii="Times New Roman" w:hAnsi="Times New Roman" w:cs="Times New Roman"/>
          <w:sz w:val="24"/>
          <w:szCs w:val="24"/>
        </w:rPr>
        <w:t>Avanços e retrocessos do processo de conhecimento no projeto do novo código de processo civil:</w:t>
      </w:r>
      <w:r w:rsidRPr="00B336C6">
        <w:rPr>
          <w:rFonts w:ascii="Times New Roman" w:hAnsi="Times New Roman" w:cs="Times New Roman"/>
          <w:bCs/>
          <w:sz w:val="24"/>
          <w:szCs w:val="24"/>
        </w:rPr>
        <w:t xml:space="preserve"> </w:t>
      </w:r>
      <w:r>
        <w:rPr>
          <w:rFonts w:ascii="Times New Roman" w:hAnsi="Times New Roman" w:cs="Times New Roman"/>
          <w:bCs/>
          <w:sz w:val="24"/>
          <w:szCs w:val="24"/>
        </w:rPr>
        <w:t>da coisa julgada</w:t>
      </w:r>
      <w:r w:rsidRPr="00B336C6">
        <w:rPr>
          <w:rFonts w:ascii="Times New Roman" w:hAnsi="Times New Roman" w:cs="Times New Roman"/>
          <w:bCs/>
          <w:sz w:val="24"/>
          <w:szCs w:val="24"/>
        </w:rPr>
        <w:t xml:space="preserve"> uma abordagem crítica sobre os seus lim</w:t>
      </w:r>
      <w:r>
        <w:rPr>
          <w:rFonts w:ascii="Times New Roman" w:hAnsi="Times New Roman" w:cs="Times New Roman"/>
          <w:bCs/>
          <w:sz w:val="24"/>
          <w:szCs w:val="24"/>
        </w:rPr>
        <w:t>ites objetivos no novo código</w:t>
      </w:r>
      <w:r>
        <w:rPr>
          <w:rStyle w:val="Refdenotaderodap"/>
          <w:rFonts w:ascii="Times New Roman" w:hAnsi="Times New Roman" w:cs="Times New Roman"/>
          <w:bCs/>
          <w:sz w:val="24"/>
          <w:szCs w:val="24"/>
        </w:rPr>
        <w:footnoteReference w:id="1"/>
      </w:r>
    </w:p>
    <w:p w:rsidR="00B336C6" w:rsidRDefault="00B336C6" w:rsidP="00B336C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Natacha Aimeé Santana de Almeida;</w:t>
      </w:r>
    </w:p>
    <w:p w:rsidR="00B336C6" w:rsidRPr="00B336C6" w:rsidRDefault="00B336C6" w:rsidP="00B336C6">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Suellen Rodrigues Aguiar</w:t>
      </w:r>
      <w:r>
        <w:rPr>
          <w:rStyle w:val="Refdenotaderodap"/>
          <w:rFonts w:ascii="Times New Roman" w:hAnsi="Times New Roman" w:cs="Times New Roman"/>
          <w:bCs/>
          <w:sz w:val="24"/>
          <w:szCs w:val="24"/>
        </w:rPr>
        <w:footnoteReference w:id="2"/>
      </w:r>
    </w:p>
    <w:p w:rsidR="00B336C6" w:rsidRPr="004D5A10" w:rsidRDefault="00B336C6" w:rsidP="00B336C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Carlos Eduardo Cavalcanti</w:t>
      </w:r>
      <w:r>
        <w:rPr>
          <w:rStyle w:val="Refdenotaderodap"/>
          <w:rFonts w:ascii="Times New Roman" w:hAnsi="Times New Roman" w:cs="Times New Roman"/>
          <w:sz w:val="24"/>
          <w:szCs w:val="24"/>
        </w:rPr>
        <w:footnoteReference w:id="3"/>
      </w:r>
    </w:p>
    <w:p w:rsidR="00B336C6" w:rsidRDefault="00B336C6" w:rsidP="004876DB">
      <w:pPr>
        <w:spacing w:after="0"/>
        <w:jc w:val="center"/>
        <w:rPr>
          <w:rFonts w:ascii="Times New Roman" w:hAnsi="Times New Roman" w:cs="Times New Roman"/>
          <w:sz w:val="24"/>
          <w:szCs w:val="24"/>
        </w:rPr>
      </w:pPr>
    </w:p>
    <w:p w:rsidR="00092578" w:rsidRDefault="00092578" w:rsidP="00B336C6">
      <w:pPr>
        <w:jc w:val="center"/>
        <w:rPr>
          <w:rFonts w:ascii="Times New Roman" w:hAnsi="Times New Roman" w:cs="Times New Roman"/>
          <w:sz w:val="24"/>
          <w:szCs w:val="24"/>
        </w:rPr>
      </w:pPr>
      <w:r>
        <w:rPr>
          <w:rFonts w:ascii="Times New Roman" w:hAnsi="Times New Roman" w:cs="Times New Roman"/>
          <w:sz w:val="24"/>
          <w:szCs w:val="24"/>
        </w:rPr>
        <w:t>RESUMO</w:t>
      </w:r>
    </w:p>
    <w:p w:rsidR="00092578" w:rsidRDefault="00092578" w:rsidP="004876DB">
      <w:pPr>
        <w:spacing w:after="0" w:line="360" w:lineRule="auto"/>
        <w:jc w:val="both"/>
        <w:rPr>
          <w:rFonts w:ascii="Times New Roman" w:hAnsi="Times New Roman" w:cs="Times New Roman"/>
          <w:sz w:val="24"/>
          <w:szCs w:val="24"/>
        </w:rPr>
      </w:pPr>
      <w:r w:rsidRPr="004D5A10">
        <w:rPr>
          <w:rFonts w:ascii="Times New Roman" w:hAnsi="Times New Roman" w:cs="Times New Roman"/>
          <w:sz w:val="24"/>
          <w:szCs w:val="24"/>
        </w:rPr>
        <w:t>O P</w:t>
      </w:r>
      <w:r w:rsidR="00EE1CE7">
        <w:rPr>
          <w:rFonts w:ascii="Times New Roman" w:hAnsi="Times New Roman" w:cs="Times New Roman"/>
          <w:sz w:val="24"/>
          <w:szCs w:val="24"/>
        </w:rPr>
        <w:t>resente artigo pretende trazer</w:t>
      </w:r>
      <w:r w:rsidRPr="004D5A10">
        <w:rPr>
          <w:rFonts w:ascii="Times New Roman" w:hAnsi="Times New Roman" w:cs="Times New Roman"/>
          <w:sz w:val="24"/>
          <w:szCs w:val="24"/>
        </w:rPr>
        <w:t xml:space="preserve"> uma análise sobre as modificações que ocorreram referentes à coisa julgada</w:t>
      </w:r>
      <w:r w:rsidR="00EE1CE7">
        <w:rPr>
          <w:rFonts w:ascii="Times New Roman" w:hAnsi="Times New Roman" w:cs="Times New Roman"/>
          <w:sz w:val="24"/>
          <w:szCs w:val="24"/>
        </w:rPr>
        <w:t>, uma vez que o</w:t>
      </w:r>
      <w:r w:rsidRPr="004D5A10">
        <w:rPr>
          <w:rFonts w:ascii="Times New Roman" w:hAnsi="Times New Roman" w:cs="Times New Roman"/>
          <w:sz w:val="24"/>
          <w:szCs w:val="24"/>
        </w:rPr>
        <w:t xml:space="preserve"> novo C</w:t>
      </w:r>
      <w:r w:rsidR="00EE1CE7">
        <w:rPr>
          <w:rFonts w:ascii="Times New Roman" w:hAnsi="Times New Roman" w:cs="Times New Roman"/>
          <w:sz w:val="24"/>
          <w:szCs w:val="24"/>
        </w:rPr>
        <w:t xml:space="preserve">ódigo de </w:t>
      </w:r>
      <w:r w:rsidRPr="004D5A10">
        <w:rPr>
          <w:rFonts w:ascii="Times New Roman" w:hAnsi="Times New Roman" w:cs="Times New Roman"/>
          <w:sz w:val="24"/>
          <w:szCs w:val="24"/>
        </w:rPr>
        <w:t>P</w:t>
      </w:r>
      <w:r w:rsidR="00EE1CE7">
        <w:rPr>
          <w:rFonts w:ascii="Times New Roman" w:hAnsi="Times New Roman" w:cs="Times New Roman"/>
          <w:sz w:val="24"/>
          <w:szCs w:val="24"/>
        </w:rPr>
        <w:t xml:space="preserve">rocesso </w:t>
      </w:r>
      <w:r w:rsidRPr="004D5A10">
        <w:rPr>
          <w:rFonts w:ascii="Times New Roman" w:hAnsi="Times New Roman" w:cs="Times New Roman"/>
          <w:sz w:val="24"/>
          <w:szCs w:val="24"/>
        </w:rPr>
        <w:t>C</w:t>
      </w:r>
      <w:r w:rsidR="00EE1CE7">
        <w:rPr>
          <w:rFonts w:ascii="Times New Roman" w:hAnsi="Times New Roman" w:cs="Times New Roman"/>
          <w:sz w:val="24"/>
          <w:szCs w:val="24"/>
        </w:rPr>
        <w:t>ivil brasileiro ampliou os limites objetivos admitindo que a coisa julgada recaia sobre as questões prejudiciais</w:t>
      </w:r>
      <w:r w:rsidRPr="004D5A10">
        <w:rPr>
          <w:rFonts w:ascii="Times New Roman" w:hAnsi="Times New Roman" w:cs="Times New Roman"/>
          <w:sz w:val="24"/>
          <w:szCs w:val="24"/>
        </w:rPr>
        <w:t xml:space="preserve">, assim como, discutir se tais modificações podem ser vistas como um avanço ou um </w:t>
      </w:r>
      <w:r w:rsidR="002B1475">
        <w:rPr>
          <w:rFonts w:ascii="Times New Roman" w:hAnsi="Times New Roman" w:cs="Times New Roman"/>
          <w:sz w:val="24"/>
          <w:szCs w:val="24"/>
        </w:rPr>
        <w:t xml:space="preserve">retrocesso na esfera processual, bem como enumerar as </w:t>
      </w:r>
      <w:r w:rsidR="000110AD">
        <w:rPr>
          <w:rFonts w:ascii="Times New Roman" w:hAnsi="Times New Roman" w:cs="Times New Roman"/>
          <w:sz w:val="24"/>
          <w:szCs w:val="24"/>
        </w:rPr>
        <w:t xml:space="preserve">algumas outras </w:t>
      </w:r>
      <w:r w:rsidR="002B1475">
        <w:rPr>
          <w:rFonts w:ascii="Times New Roman" w:hAnsi="Times New Roman" w:cs="Times New Roman"/>
          <w:sz w:val="24"/>
          <w:szCs w:val="24"/>
        </w:rPr>
        <w:t xml:space="preserve">inovações </w:t>
      </w:r>
      <w:r w:rsidR="00D70402">
        <w:rPr>
          <w:rFonts w:ascii="Times New Roman" w:hAnsi="Times New Roman" w:cs="Times New Roman"/>
          <w:sz w:val="24"/>
          <w:szCs w:val="24"/>
        </w:rPr>
        <w:t>constantes no projeto do novo Código de Processo Civil.</w:t>
      </w:r>
    </w:p>
    <w:p w:rsidR="00EE1CE7" w:rsidRDefault="007567B4" w:rsidP="00EE1CE7">
      <w:pPr>
        <w:spacing w:line="360" w:lineRule="auto"/>
        <w:jc w:val="both"/>
        <w:rPr>
          <w:rFonts w:ascii="Times New Roman" w:hAnsi="Times New Roman" w:cs="Times New Roman"/>
          <w:sz w:val="24"/>
          <w:szCs w:val="24"/>
        </w:rPr>
      </w:pPr>
      <w:r>
        <w:rPr>
          <w:rFonts w:ascii="Times New Roman" w:hAnsi="Times New Roman" w:cs="Times New Roman"/>
          <w:sz w:val="24"/>
          <w:szCs w:val="24"/>
        </w:rPr>
        <w:t>Palavras-chave: Limites Objetivos</w:t>
      </w:r>
      <w:r w:rsidR="002B1475">
        <w:rPr>
          <w:rFonts w:ascii="Times New Roman" w:hAnsi="Times New Roman" w:cs="Times New Roman"/>
          <w:sz w:val="24"/>
          <w:szCs w:val="24"/>
        </w:rPr>
        <w:t>. Coisa Julgada. Novo CPC</w:t>
      </w:r>
    </w:p>
    <w:p w:rsidR="00EE1CE7" w:rsidRDefault="00EE1CE7" w:rsidP="004876DB">
      <w:pPr>
        <w:spacing w:after="0" w:line="360" w:lineRule="auto"/>
        <w:jc w:val="both"/>
        <w:rPr>
          <w:rFonts w:ascii="Times New Roman" w:hAnsi="Times New Roman" w:cs="Times New Roman"/>
          <w:b/>
          <w:sz w:val="24"/>
          <w:szCs w:val="24"/>
        </w:rPr>
      </w:pPr>
      <w:proofErr w:type="gramStart"/>
      <w:r w:rsidRPr="00EE1CE7">
        <w:rPr>
          <w:rFonts w:ascii="Times New Roman" w:hAnsi="Times New Roman" w:cs="Times New Roman"/>
          <w:b/>
          <w:sz w:val="24"/>
          <w:szCs w:val="24"/>
        </w:rPr>
        <w:t>1</w:t>
      </w:r>
      <w:proofErr w:type="gramEnd"/>
      <w:r w:rsidRPr="00EE1CE7">
        <w:rPr>
          <w:rFonts w:ascii="Times New Roman" w:hAnsi="Times New Roman" w:cs="Times New Roman"/>
          <w:b/>
          <w:sz w:val="24"/>
          <w:szCs w:val="24"/>
        </w:rPr>
        <w:t xml:space="preserve"> INTRODUÇÃO</w:t>
      </w:r>
    </w:p>
    <w:p w:rsidR="001F5C03" w:rsidRDefault="002B1475" w:rsidP="004876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atual Código de Processo Civil é datado de 1973, isto é, foi elaborando antes da promulgação da Constituição Federal de 1988, o atual código já completou os seus quarenta anos, e já não caminha</w:t>
      </w:r>
      <w:r w:rsidR="001F5C03">
        <w:rPr>
          <w:rFonts w:ascii="Times New Roman" w:hAnsi="Times New Roman" w:cs="Times New Roman"/>
          <w:sz w:val="24"/>
          <w:szCs w:val="24"/>
        </w:rPr>
        <w:t xml:space="preserve"> mais</w:t>
      </w:r>
      <w:r>
        <w:rPr>
          <w:rFonts w:ascii="Times New Roman" w:hAnsi="Times New Roman" w:cs="Times New Roman"/>
          <w:sz w:val="24"/>
          <w:szCs w:val="24"/>
        </w:rPr>
        <w:t xml:space="preserve"> junto a atual sociedade, esta é uma das principais razões de se querer obter um novo Código de Processo Civil, de responder os anseios</w:t>
      </w:r>
      <w:r w:rsidR="00C67D4F">
        <w:rPr>
          <w:rFonts w:ascii="Times New Roman" w:hAnsi="Times New Roman" w:cs="Times New Roman"/>
          <w:sz w:val="24"/>
          <w:szCs w:val="24"/>
        </w:rPr>
        <w:t xml:space="preserve"> da sociedade brasileira atual. </w:t>
      </w:r>
    </w:p>
    <w:p w:rsidR="002B1475" w:rsidRDefault="00DA3EF6" w:rsidP="004876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disso</w:t>
      </w:r>
      <w:r w:rsidR="00D70402">
        <w:rPr>
          <w:rFonts w:ascii="Times New Roman" w:hAnsi="Times New Roman" w:cs="Times New Roman"/>
          <w:sz w:val="24"/>
          <w:szCs w:val="24"/>
        </w:rPr>
        <w:t xml:space="preserve"> “</w:t>
      </w:r>
      <w:r w:rsidR="004918D7">
        <w:rPr>
          <w:rFonts w:ascii="Times New Roman" w:hAnsi="Times New Roman" w:cs="Times New Roman"/>
          <w:sz w:val="24"/>
          <w:szCs w:val="24"/>
        </w:rPr>
        <w:t>a</w:t>
      </w:r>
      <w:r w:rsidR="00D70402">
        <w:rPr>
          <w:rFonts w:ascii="Times New Roman" w:hAnsi="Times New Roman" w:cs="Times New Roman"/>
          <w:sz w:val="24"/>
          <w:szCs w:val="24"/>
        </w:rPr>
        <w:t xml:space="preserve"> elaboração de um novo modelo processual passa, necessariamente, pela análise dos principais obstáculos à melhoria da justiça” (</w:t>
      </w:r>
      <w:r>
        <w:rPr>
          <w:rFonts w:ascii="Times New Roman" w:hAnsi="Times New Roman" w:cs="Times New Roman"/>
          <w:sz w:val="24"/>
          <w:szCs w:val="24"/>
        </w:rPr>
        <w:t xml:space="preserve">VASCONCELOS, </w:t>
      </w:r>
      <w:r w:rsidR="00D70402">
        <w:rPr>
          <w:rFonts w:ascii="Times New Roman" w:hAnsi="Times New Roman" w:cs="Times New Roman"/>
          <w:sz w:val="24"/>
          <w:szCs w:val="24"/>
        </w:rPr>
        <w:t>2013, p. 212). Dessa maneira</w:t>
      </w:r>
      <w:r w:rsidR="001F5C03">
        <w:rPr>
          <w:rFonts w:ascii="Times New Roman" w:hAnsi="Times New Roman" w:cs="Times New Roman"/>
          <w:sz w:val="24"/>
          <w:szCs w:val="24"/>
        </w:rPr>
        <w:t>,</w:t>
      </w:r>
      <w:r w:rsidR="00D70402">
        <w:rPr>
          <w:rFonts w:ascii="Times New Roman" w:hAnsi="Times New Roman" w:cs="Times New Roman"/>
          <w:sz w:val="24"/>
          <w:szCs w:val="24"/>
        </w:rPr>
        <w:t xml:space="preserve"> pode-se dizer que</w:t>
      </w:r>
      <w:r>
        <w:rPr>
          <w:rFonts w:ascii="Times New Roman" w:hAnsi="Times New Roman" w:cs="Times New Roman"/>
          <w:sz w:val="24"/>
          <w:szCs w:val="24"/>
        </w:rPr>
        <w:t xml:space="preserve"> “</w:t>
      </w:r>
      <w:r w:rsidR="004918D7">
        <w:rPr>
          <w:rFonts w:ascii="Times New Roman" w:hAnsi="Times New Roman" w:cs="Times New Roman"/>
          <w:sz w:val="24"/>
          <w:szCs w:val="24"/>
        </w:rPr>
        <w:t>o</w:t>
      </w:r>
      <w:r>
        <w:rPr>
          <w:rFonts w:ascii="Times New Roman" w:hAnsi="Times New Roman" w:cs="Times New Roman"/>
          <w:sz w:val="24"/>
          <w:szCs w:val="24"/>
        </w:rPr>
        <w:t>s desafios da Comissão de Reforma do Código de Processo Civil foi não só resgatar a imagem do Judiciário, mas a satisfação dos jurisdicionados permitindo a entrega de uma prestação jurisdicional compatível com os novos direitos e u</w:t>
      </w:r>
      <w:r w:rsidR="007567B4">
        <w:rPr>
          <w:rFonts w:ascii="Times New Roman" w:hAnsi="Times New Roman" w:cs="Times New Roman"/>
          <w:sz w:val="24"/>
          <w:szCs w:val="24"/>
        </w:rPr>
        <w:t>tilizando meios mais eficientes” (VASCONCELOS, 2013, p. 212).</w:t>
      </w:r>
    </w:p>
    <w:p w:rsidR="00EE04B2" w:rsidRDefault="004918D7" w:rsidP="00EE04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Além disso, “a sociedade passou a exigir urgência na resposta estatal, o que evidentemente viria a transbordar no processo, pois muitos de seus mecanismos para solução de controvérsias ainda possuem formato milenar” (VASCONCELOS, 2013, p. 101). Isso porque, não é nenhuma novidade para a nossa sociedade quão demorado é a solução de um litígio, nestes termos “como dizia </w:t>
      </w:r>
      <w:proofErr w:type="spellStart"/>
      <w:r>
        <w:rPr>
          <w:rFonts w:ascii="Times New Roman" w:hAnsi="Times New Roman" w:cs="Times New Roman"/>
          <w:sz w:val="24"/>
          <w:szCs w:val="24"/>
        </w:rPr>
        <w:t>Carnelutti</w:t>
      </w:r>
      <w:proofErr w:type="spellEnd"/>
      <w:r>
        <w:rPr>
          <w:rFonts w:ascii="Times New Roman" w:hAnsi="Times New Roman" w:cs="Times New Roman"/>
          <w:sz w:val="24"/>
          <w:szCs w:val="24"/>
        </w:rPr>
        <w:t xml:space="preserve">, </w:t>
      </w:r>
      <w:r w:rsidR="001F5C03">
        <w:rPr>
          <w:rFonts w:ascii="Times New Roman" w:hAnsi="Times New Roman" w:cs="Times New Roman"/>
          <w:sz w:val="24"/>
          <w:szCs w:val="24"/>
        </w:rPr>
        <w:t>se a lide é uma doença social, tem que ser curada rapidamente. Quanto menos dura a doença, mais é vantajoso para a sociedade” (CARNELUTTI apud VASCONCELOS, 2013, p. 101).</w:t>
      </w:r>
      <w:r w:rsidR="00C67D4F">
        <w:rPr>
          <w:rFonts w:ascii="Times New Roman" w:hAnsi="Times New Roman" w:cs="Times New Roman"/>
          <w:sz w:val="24"/>
          <w:szCs w:val="24"/>
        </w:rPr>
        <w:t xml:space="preserve"> Porém, se faz</w:t>
      </w:r>
      <w:r w:rsidR="00EE04B2">
        <w:rPr>
          <w:rFonts w:ascii="Times New Roman" w:hAnsi="Times New Roman" w:cs="Times New Roman"/>
          <w:sz w:val="24"/>
          <w:szCs w:val="24"/>
        </w:rPr>
        <w:t xml:space="preserve"> </w:t>
      </w:r>
      <w:proofErr w:type="gramStart"/>
      <w:r w:rsidR="00EE04B2">
        <w:rPr>
          <w:rFonts w:ascii="Times New Roman" w:hAnsi="Times New Roman" w:cs="Times New Roman"/>
          <w:sz w:val="24"/>
          <w:szCs w:val="24"/>
        </w:rPr>
        <w:t>mister</w:t>
      </w:r>
      <w:proofErr w:type="gramEnd"/>
      <w:r w:rsidR="00EE04B2">
        <w:rPr>
          <w:rFonts w:ascii="Times New Roman" w:hAnsi="Times New Roman" w:cs="Times New Roman"/>
          <w:sz w:val="24"/>
          <w:szCs w:val="24"/>
        </w:rPr>
        <w:t xml:space="preserve"> salientar que, não se pode atropelar fases importantes do processo em busca da</w:t>
      </w:r>
      <w:r w:rsidR="00025F11">
        <w:rPr>
          <w:rFonts w:ascii="Times New Roman" w:hAnsi="Times New Roman" w:cs="Times New Roman"/>
          <w:sz w:val="24"/>
          <w:szCs w:val="24"/>
        </w:rPr>
        <w:t xml:space="preserve"> tal</w:t>
      </w:r>
      <w:r w:rsidR="00EE04B2">
        <w:rPr>
          <w:rFonts w:ascii="Times New Roman" w:hAnsi="Times New Roman" w:cs="Times New Roman"/>
          <w:sz w:val="24"/>
          <w:szCs w:val="24"/>
        </w:rPr>
        <w:t xml:space="preserve"> celeridade, dessa maneira</w:t>
      </w:r>
      <w:r w:rsidR="00025F11">
        <w:rPr>
          <w:rFonts w:ascii="Times New Roman" w:hAnsi="Times New Roman" w:cs="Times New Roman"/>
          <w:sz w:val="24"/>
          <w:szCs w:val="24"/>
        </w:rPr>
        <w:t>,</w:t>
      </w:r>
      <w:r w:rsidR="00EE04B2">
        <w:rPr>
          <w:rFonts w:ascii="Times New Roman" w:hAnsi="Times New Roman" w:cs="Times New Roman"/>
          <w:sz w:val="24"/>
          <w:szCs w:val="24"/>
        </w:rPr>
        <w:t xml:space="preserve"> o principio da duração razoável se faz extremamente necessário, isso porque de acordo com Vasconcelos: </w:t>
      </w:r>
    </w:p>
    <w:p w:rsidR="004918D7" w:rsidRDefault="00EE04B2" w:rsidP="00EE04B2">
      <w:pPr>
        <w:spacing w:after="0" w:line="240" w:lineRule="auto"/>
        <w:ind w:left="2268"/>
        <w:jc w:val="both"/>
        <w:rPr>
          <w:rFonts w:ascii="Times New Roman" w:hAnsi="Times New Roman" w:cs="Times New Roman"/>
          <w:sz w:val="20"/>
          <w:szCs w:val="20"/>
        </w:rPr>
      </w:pPr>
      <w:r w:rsidRPr="00EE04B2">
        <w:rPr>
          <w:rFonts w:ascii="Times New Roman" w:hAnsi="Times New Roman" w:cs="Times New Roman"/>
          <w:sz w:val="20"/>
          <w:szCs w:val="20"/>
        </w:rPr>
        <w:t>A duração razoável do processo é aquela em que, atendido os direitos fundamentais, permite uma tratativa da pretensão e da defesa em tempo adequado, sem descuidar da qualidade e sem que as reformas do processo representem um fator de prolongamento imotivado do estado de incerteza que a litispendência impõe às partes.</w:t>
      </w:r>
      <w:r>
        <w:rPr>
          <w:rFonts w:ascii="Times New Roman" w:hAnsi="Times New Roman" w:cs="Times New Roman"/>
          <w:sz w:val="20"/>
          <w:szCs w:val="20"/>
        </w:rPr>
        <w:t xml:space="preserve"> (2013, p. 108).</w:t>
      </w:r>
    </w:p>
    <w:p w:rsidR="00EE04B2" w:rsidRDefault="00EE04B2" w:rsidP="00EE04B2">
      <w:pPr>
        <w:spacing w:after="0" w:line="240" w:lineRule="auto"/>
        <w:ind w:left="2268"/>
        <w:jc w:val="both"/>
        <w:rPr>
          <w:rFonts w:ascii="Times New Roman" w:hAnsi="Times New Roman" w:cs="Times New Roman"/>
          <w:sz w:val="20"/>
          <w:szCs w:val="20"/>
        </w:rPr>
      </w:pPr>
    </w:p>
    <w:p w:rsidR="00363618" w:rsidRDefault="00C67D4F" w:rsidP="00C67D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Entende-se assim</w:t>
      </w:r>
      <w:r w:rsidR="00363618">
        <w:rPr>
          <w:rFonts w:ascii="Times New Roman" w:hAnsi="Times New Roman" w:cs="Times New Roman"/>
          <w:sz w:val="24"/>
          <w:szCs w:val="24"/>
        </w:rPr>
        <w:t>,</w:t>
      </w:r>
      <w:r>
        <w:rPr>
          <w:rFonts w:ascii="Times New Roman" w:hAnsi="Times New Roman" w:cs="Times New Roman"/>
          <w:sz w:val="24"/>
          <w:szCs w:val="24"/>
        </w:rPr>
        <w:t xml:space="preserve"> que o novo Código de Processo Civil que está buscando caminhar ao lado dos anseios atuais da sociedade</w:t>
      </w:r>
      <w:r w:rsidR="00363618">
        <w:rPr>
          <w:rFonts w:ascii="Times New Roman" w:hAnsi="Times New Roman" w:cs="Times New Roman"/>
          <w:sz w:val="24"/>
          <w:szCs w:val="24"/>
        </w:rPr>
        <w:t>,</w:t>
      </w:r>
      <w:r>
        <w:rPr>
          <w:rFonts w:ascii="Times New Roman" w:hAnsi="Times New Roman" w:cs="Times New Roman"/>
          <w:sz w:val="24"/>
          <w:szCs w:val="24"/>
        </w:rPr>
        <w:t xml:space="preserve"> deve</w:t>
      </w:r>
      <w:r w:rsidR="00363618">
        <w:rPr>
          <w:rFonts w:ascii="Times New Roman" w:hAnsi="Times New Roman" w:cs="Times New Roman"/>
          <w:sz w:val="24"/>
          <w:szCs w:val="24"/>
        </w:rPr>
        <w:t>ndo</w:t>
      </w:r>
      <w:r>
        <w:rPr>
          <w:rFonts w:ascii="Times New Roman" w:hAnsi="Times New Roman" w:cs="Times New Roman"/>
          <w:sz w:val="24"/>
          <w:szCs w:val="24"/>
        </w:rPr>
        <w:t xml:space="preserve"> preservar a duração razoável do processo. </w:t>
      </w:r>
    </w:p>
    <w:p w:rsidR="00EE04B2" w:rsidRDefault="00C67D4F" w:rsidP="0036361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projeto de um novo CPC além de ter como esses argumentos </w:t>
      </w:r>
      <w:r w:rsidR="00363618">
        <w:rPr>
          <w:rFonts w:ascii="Times New Roman" w:hAnsi="Times New Roman" w:cs="Times New Roman"/>
          <w:sz w:val="24"/>
          <w:szCs w:val="24"/>
        </w:rPr>
        <w:t xml:space="preserve">para a sua </w:t>
      </w:r>
      <w:proofErr w:type="gramStart"/>
      <w:r w:rsidR="00363618">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trousse mudanças significativas, uma delas é a que vai ser aprofundada neste artigo, </w:t>
      </w:r>
      <w:r w:rsidR="00363618">
        <w:rPr>
          <w:rFonts w:ascii="Times New Roman" w:hAnsi="Times New Roman" w:cs="Times New Roman"/>
          <w:sz w:val="24"/>
          <w:szCs w:val="24"/>
        </w:rPr>
        <w:t>no que tange a coisa julgada que teve o seu limite objetivo ampliado e possibilitando que a mesma recaia sobre questão prejudicial.</w:t>
      </w:r>
    </w:p>
    <w:p w:rsidR="00363618" w:rsidRPr="00363618" w:rsidRDefault="00363618" w:rsidP="00363618">
      <w:pPr>
        <w:spacing w:after="0" w:line="360" w:lineRule="auto"/>
        <w:ind w:firstLine="1134"/>
        <w:jc w:val="both"/>
        <w:rPr>
          <w:rFonts w:ascii="Times New Roman" w:hAnsi="Times New Roman" w:cs="Times New Roman"/>
          <w:sz w:val="24"/>
          <w:szCs w:val="24"/>
        </w:rPr>
      </w:pPr>
    </w:p>
    <w:p w:rsidR="00EE1CE7" w:rsidRDefault="00363618" w:rsidP="004876D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DA COISA JULGADA NO ATUAL</w:t>
      </w:r>
      <w:r w:rsidR="00E846FD">
        <w:rPr>
          <w:rFonts w:ascii="Times New Roman" w:hAnsi="Times New Roman" w:cs="Times New Roman"/>
          <w:b/>
          <w:sz w:val="24"/>
          <w:szCs w:val="24"/>
        </w:rPr>
        <w:t xml:space="preserve"> C</w:t>
      </w:r>
      <w:r w:rsidR="00E514BA">
        <w:rPr>
          <w:rFonts w:ascii="Times New Roman" w:hAnsi="Times New Roman" w:cs="Times New Roman"/>
          <w:b/>
          <w:sz w:val="24"/>
          <w:szCs w:val="24"/>
        </w:rPr>
        <w:t xml:space="preserve">ÓDIGO DE </w:t>
      </w:r>
      <w:r w:rsidR="00E846FD">
        <w:rPr>
          <w:rFonts w:ascii="Times New Roman" w:hAnsi="Times New Roman" w:cs="Times New Roman"/>
          <w:b/>
          <w:sz w:val="24"/>
          <w:szCs w:val="24"/>
        </w:rPr>
        <w:t>P</w:t>
      </w:r>
      <w:r w:rsidR="00E514BA">
        <w:rPr>
          <w:rFonts w:ascii="Times New Roman" w:hAnsi="Times New Roman" w:cs="Times New Roman"/>
          <w:b/>
          <w:sz w:val="24"/>
          <w:szCs w:val="24"/>
        </w:rPr>
        <w:t xml:space="preserve">ROCESSO </w:t>
      </w:r>
      <w:r w:rsidR="00E846FD">
        <w:rPr>
          <w:rFonts w:ascii="Times New Roman" w:hAnsi="Times New Roman" w:cs="Times New Roman"/>
          <w:b/>
          <w:sz w:val="24"/>
          <w:szCs w:val="24"/>
        </w:rPr>
        <w:t>C</w:t>
      </w:r>
      <w:r w:rsidR="00E514BA">
        <w:rPr>
          <w:rFonts w:ascii="Times New Roman" w:hAnsi="Times New Roman" w:cs="Times New Roman"/>
          <w:b/>
          <w:sz w:val="24"/>
          <w:szCs w:val="24"/>
        </w:rPr>
        <w:t>IVIL</w:t>
      </w:r>
    </w:p>
    <w:p w:rsidR="00C50A70" w:rsidRDefault="001844A8" w:rsidP="004876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coisa julgada é fruto da demanda analisada e decidida pelo poder Judiciário,</w:t>
      </w:r>
      <w:r w:rsidR="00871994">
        <w:rPr>
          <w:rFonts w:ascii="Times New Roman" w:hAnsi="Times New Roman" w:cs="Times New Roman"/>
          <w:sz w:val="24"/>
          <w:szCs w:val="24"/>
        </w:rPr>
        <w:t xml:space="preserve"> isto é, “o modo pelo qual se produzem os efeitos da sentença” (DIDIER, 2014, p. 424). D</w:t>
      </w:r>
      <w:r>
        <w:rPr>
          <w:rFonts w:ascii="Times New Roman" w:hAnsi="Times New Roman" w:cs="Times New Roman"/>
          <w:sz w:val="24"/>
          <w:szCs w:val="24"/>
        </w:rPr>
        <w:t>e acordo com Didier, esgotados ou não utilizados adequadamente os recursos previstos em lei encerra-se o debate e o julgamento final torna-se imutável e indiscutível. Surge então, a coisa julgada. (2014, p. 419).</w:t>
      </w:r>
      <w:r w:rsidR="00175185">
        <w:rPr>
          <w:rFonts w:ascii="Times New Roman" w:hAnsi="Times New Roman" w:cs="Times New Roman"/>
          <w:sz w:val="24"/>
          <w:szCs w:val="24"/>
        </w:rPr>
        <w:t xml:space="preserve"> </w:t>
      </w:r>
    </w:p>
    <w:p w:rsidR="00363618" w:rsidRDefault="00175185" w:rsidP="004876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coisa julgada é prevista constitucionalmente no artigo 5º, XXXVI da Constituição Federal/88 “a lei não prejudicará o direito adquirido, o ato jurídico e a coisa julgada” (BRASIL, 1988). Esta previsão constitucional “garante ao jurisdicionado que a decisão final dada à sua demanda será definitiva, não podendo ser rediscutida ou desrespeitada, seja pelas partes ou pelo próprio Poder Judiciário” (DIDIER, 2014, p. 419). Se faz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salientar que, conforme </w:t>
      </w:r>
      <w:r w:rsidR="00C50A70">
        <w:rPr>
          <w:rFonts w:ascii="Times New Roman" w:hAnsi="Times New Roman" w:cs="Times New Roman"/>
          <w:sz w:val="24"/>
          <w:szCs w:val="24"/>
        </w:rPr>
        <w:t xml:space="preserve">esclarece Didier a coisa julgada longe de ser instrumento </w:t>
      </w:r>
      <w:r w:rsidR="00C50A70">
        <w:rPr>
          <w:rFonts w:ascii="Times New Roman" w:hAnsi="Times New Roman" w:cs="Times New Roman"/>
          <w:sz w:val="24"/>
          <w:szCs w:val="24"/>
        </w:rPr>
        <w:lastRenderedPageBreak/>
        <w:t>de justiça é na verdade garantia de segurança, ao impor a definitividade da solução judicial acerca da situação jurídica que lhe foi submetida (2014, p. 420). Dessa maneira</w:t>
      </w:r>
      <w:r w:rsidR="00AE5CBB">
        <w:rPr>
          <w:rFonts w:ascii="Times New Roman" w:hAnsi="Times New Roman" w:cs="Times New Roman"/>
          <w:sz w:val="24"/>
          <w:szCs w:val="24"/>
        </w:rPr>
        <w:t>,</w:t>
      </w:r>
      <w:r w:rsidR="00C50A70">
        <w:rPr>
          <w:rFonts w:ascii="Times New Roman" w:hAnsi="Times New Roman" w:cs="Times New Roman"/>
          <w:sz w:val="24"/>
          <w:szCs w:val="24"/>
        </w:rPr>
        <w:t xml:space="preserve"> entende-se que a coisa julgada é “a imutabilidade da norma jurídica individualizada contida na parte dispositiva de uma decisão judicial” (DIDIER, 2014, p. 420).</w:t>
      </w:r>
    </w:p>
    <w:p w:rsidR="00C50A70" w:rsidRDefault="00C50A70" w:rsidP="004876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Classificação</w:t>
      </w:r>
    </w:p>
    <w:p w:rsidR="00B85D4F" w:rsidRDefault="00C50A70" w:rsidP="004876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tange a classificação da coisa julgada </w:t>
      </w:r>
      <w:r w:rsidR="009422C2">
        <w:rPr>
          <w:rFonts w:ascii="Times New Roman" w:hAnsi="Times New Roman" w:cs="Times New Roman"/>
          <w:sz w:val="24"/>
          <w:szCs w:val="24"/>
        </w:rPr>
        <w:t xml:space="preserve">é possível se constatar duas modalidades, a coisa julgada formal e a coisa julgada material. Por coisa julgada formal entende-se que “é a decisão judicial dentro do processo em que foi proferida, porquanto não possa mais ser impugnada por recurso, seja pelo esgotamento das vias recursais, seja pelo decurso do prazo de recurso cabível” (DIDIER, 2014, p. 420). De acordo com Didier a coisa julgada formal revela-se como uma espécie de preclusão, isto é, a perda do poder de impugnar a decisão judicial no processo que foi proferida (2014, p. 420). </w:t>
      </w:r>
    </w:p>
    <w:p w:rsidR="00C50A70" w:rsidRPr="001844A8" w:rsidRDefault="00B85D4F" w:rsidP="004876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coisa julgada material entende-se conforme artigo 467 do Código de Processo Cível “a eficácia que torna imutável e indiscutível a sentença, não mais sujeita a recurso ordinário ou extraordinário” (BRASIL, 1973). Didier conceitua a coisa julgada material como a </w:t>
      </w:r>
      <w:proofErr w:type="spellStart"/>
      <w:r>
        <w:rPr>
          <w:rFonts w:ascii="Times New Roman" w:hAnsi="Times New Roman" w:cs="Times New Roman"/>
          <w:sz w:val="24"/>
          <w:szCs w:val="24"/>
        </w:rPr>
        <w:t>indiscutibilidade</w:t>
      </w:r>
      <w:proofErr w:type="spellEnd"/>
      <w:r>
        <w:rPr>
          <w:rFonts w:ascii="Times New Roman" w:hAnsi="Times New Roman" w:cs="Times New Roman"/>
          <w:sz w:val="24"/>
          <w:szCs w:val="24"/>
        </w:rPr>
        <w:t xml:space="preserve"> da decisão judicial no processo em que foi produzida e em qualquer outro. Imutabilidade que se opera dentro e fora do processo (2014, p. 421). Sendo assim, entende-se que “a coisa julgada formal é um degrau necessário, para que se forme a coisa julgada material” (DIDIER, 2014, p. 421).</w:t>
      </w:r>
    </w:p>
    <w:p w:rsidR="00363618" w:rsidRDefault="00B85D4F" w:rsidP="004876DB">
      <w:pPr>
        <w:spacing w:after="0" w:line="360" w:lineRule="auto"/>
        <w:jc w:val="both"/>
        <w:rPr>
          <w:rFonts w:ascii="Times New Roman" w:hAnsi="Times New Roman" w:cs="Times New Roman"/>
          <w:sz w:val="24"/>
          <w:szCs w:val="24"/>
        </w:rPr>
      </w:pPr>
      <w:r w:rsidRPr="00B85D4F">
        <w:rPr>
          <w:rFonts w:ascii="Times New Roman" w:hAnsi="Times New Roman" w:cs="Times New Roman"/>
          <w:sz w:val="24"/>
          <w:szCs w:val="24"/>
        </w:rPr>
        <w:t>2.3</w:t>
      </w:r>
      <w:r>
        <w:rPr>
          <w:rFonts w:ascii="Times New Roman" w:hAnsi="Times New Roman" w:cs="Times New Roman"/>
          <w:sz w:val="24"/>
          <w:szCs w:val="24"/>
        </w:rPr>
        <w:t xml:space="preserve"> Pressupostos da coisa julgada material</w:t>
      </w:r>
    </w:p>
    <w:p w:rsidR="00B85D4F" w:rsidRPr="00B85D4F" w:rsidRDefault="006C2C8F" w:rsidP="004876D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Dentre os pressupostos da coisa julgada material conforme menciona Didier deve</w:t>
      </w:r>
      <w:r w:rsidR="00871994">
        <w:rPr>
          <w:rFonts w:ascii="Times New Roman" w:hAnsi="Times New Roman" w:cs="Times New Roman"/>
          <w:sz w:val="24"/>
          <w:szCs w:val="24"/>
        </w:rPr>
        <w:t xml:space="preserve"> conter</w:t>
      </w:r>
      <w:r>
        <w:rPr>
          <w:rFonts w:ascii="Times New Roman" w:hAnsi="Times New Roman" w:cs="Times New Roman"/>
          <w:sz w:val="24"/>
          <w:szCs w:val="24"/>
        </w:rPr>
        <w:t xml:space="preserve"> uma decisão jurisdicional, o provimento deve versar sobre o mérito da causa, o mérito </w:t>
      </w:r>
      <w:r w:rsidR="00E514BA">
        <w:rPr>
          <w:rFonts w:ascii="Times New Roman" w:hAnsi="Times New Roman" w:cs="Times New Roman"/>
          <w:sz w:val="24"/>
          <w:szCs w:val="24"/>
        </w:rPr>
        <w:t>deve ter sido analisado em co</w:t>
      </w:r>
      <w:r>
        <w:rPr>
          <w:rFonts w:ascii="Times New Roman" w:hAnsi="Times New Roman" w:cs="Times New Roman"/>
          <w:sz w:val="24"/>
          <w:szCs w:val="24"/>
        </w:rPr>
        <w:t xml:space="preserve">gnição exauriente, e a necessidade de ter ocorrido à preclusão máxima, isto é, coisa julgada formal (2014, p. 422).  Se “faz necessário que o mérito tenha sido examinado em cognição exauriente, isto é, a decisão das sentenças definitivas” (DIDIER, 2014, p. 422). </w:t>
      </w:r>
      <w:r w:rsidR="00871994">
        <w:rPr>
          <w:rFonts w:ascii="Times New Roman" w:hAnsi="Times New Roman" w:cs="Times New Roman"/>
          <w:sz w:val="24"/>
          <w:szCs w:val="24"/>
        </w:rPr>
        <w:t>Faz-se</w:t>
      </w:r>
      <w:r>
        <w:rPr>
          <w:rFonts w:ascii="Times New Roman" w:hAnsi="Times New Roman" w:cs="Times New Roman"/>
          <w:sz w:val="24"/>
          <w:szCs w:val="24"/>
        </w:rPr>
        <w:t xml:space="preserve"> necessário ainda</w:t>
      </w:r>
      <w:r w:rsidR="00871994">
        <w:rPr>
          <w:rFonts w:ascii="Times New Roman" w:hAnsi="Times New Roman" w:cs="Times New Roman"/>
          <w:sz w:val="24"/>
          <w:szCs w:val="24"/>
        </w:rPr>
        <w:t>,</w:t>
      </w:r>
      <w:r>
        <w:rPr>
          <w:rFonts w:ascii="Times New Roman" w:hAnsi="Times New Roman" w:cs="Times New Roman"/>
          <w:sz w:val="24"/>
          <w:szCs w:val="24"/>
        </w:rPr>
        <w:t xml:space="preserve"> que “tenha havido também a chamada coisa julgada formal, já que esta </w:t>
      </w:r>
      <w:r w:rsidR="00871994">
        <w:rPr>
          <w:rFonts w:ascii="Times New Roman" w:hAnsi="Times New Roman" w:cs="Times New Roman"/>
          <w:sz w:val="24"/>
          <w:szCs w:val="24"/>
        </w:rPr>
        <w:t xml:space="preserve">é um degrau do qual se deve subir para alcançar a coisa julgada material” (DIDIER, 2014, p. 423). </w:t>
      </w:r>
    </w:p>
    <w:p w:rsidR="00363618" w:rsidRDefault="00AE5CBB" w:rsidP="00D82CF6">
      <w:pPr>
        <w:spacing w:after="0" w:line="360" w:lineRule="auto"/>
        <w:jc w:val="both"/>
        <w:rPr>
          <w:rFonts w:ascii="Times New Roman" w:hAnsi="Times New Roman" w:cs="Times New Roman"/>
          <w:sz w:val="24"/>
          <w:szCs w:val="24"/>
        </w:rPr>
      </w:pPr>
      <w:r w:rsidRPr="00AE5CBB">
        <w:rPr>
          <w:rFonts w:ascii="Times New Roman" w:hAnsi="Times New Roman" w:cs="Times New Roman"/>
          <w:sz w:val="24"/>
          <w:szCs w:val="24"/>
        </w:rPr>
        <w:t>2.4</w:t>
      </w:r>
      <w:r>
        <w:rPr>
          <w:rFonts w:ascii="Times New Roman" w:hAnsi="Times New Roman" w:cs="Times New Roman"/>
          <w:sz w:val="24"/>
          <w:szCs w:val="24"/>
        </w:rPr>
        <w:t xml:space="preserve"> Limites da coisa julgada</w:t>
      </w:r>
    </w:p>
    <w:p w:rsidR="00E514BA" w:rsidRDefault="00AE5CBB" w:rsidP="00D82C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aos limites da coisa julgada </w:t>
      </w:r>
      <w:r w:rsidR="00131320">
        <w:rPr>
          <w:rFonts w:ascii="Times New Roman" w:hAnsi="Times New Roman" w:cs="Times New Roman"/>
          <w:sz w:val="24"/>
          <w:szCs w:val="24"/>
        </w:rPr>
        <w:t>têm-se</w:t>
      </w:r>
      <w:r>
        <w:rPr>
          <w:rFonts w:ascii="Times New Roman" w:hAnsi="Times New Roman" w:cs="Times New Roman"/>
          <w:sz w:val="24"/>
          <w:szCs w:val="24"/>
        </w:rPr>
        <w:t xml:space="preserve"> os limites objetivos e os limites subjetivos</w:t>
      </w:r>
      <w:r w:rsidR="00131320">
        <w:rPr>
          <w:rFonts w:ascii="Times New Roman" w:hAnsi="Times New Roman" w:cs="Times New Roman"/>
          <w:sz w:val="24"/>
          <w:szCs w:val="24"/>
        </w:rPr>
        <w:t>. Os limites objetivos</w:t>
      </w:r>
      <w:r w:rsidR="000006FE">
        <w:rPr>
          <w:rFonts w:ascii="Times New Roman" w:hAnsi="Times New Roman" w:cs="Times New Roman"/>
          <w:sz w:val="24"/>
          <w:szCs w:val="24"/>
        </w:rPr>
        <w:t>,</w:t>
      </w:r>
      <w:r w:rsidR="00131320">
        <w:rPr>
          <w:rFonts w:ascii="Times New Roman" w:hAnsi="Times New Roman" w:cs="Times New Roman"/>
          <w:sz w:val="24"/>
          <w:szCs w:val="24"/>
        </w:rPr>
        <w:t xml:space="preserve"> </w:t>
      </w:r>
      <w:r w:rsidR="000110AD">
        <w:rPr>
          <w:rFonts w:ascii="Times New Roman" w:hAnsi="Times New Roman" w:cs="Times New Roman"/>
          <w:sz w:val="24"/>
          <w:szCs w:val="24"/>
        </w:rPr>
        <w:t>de acordo com Laí</w:t>
      </w:r>
      <w:r w:rsidR="000006FE">
        <w:rPr>
          <w:rFonts w:ascii="Times New Roman" w:hAnsi="Times New Roman" w:cs="Times New Roman"/>
          <w:sz w:val="24"/>
          <w:szCs w:val="24"/>
        </w:rPr>
        <w:t xml:space="preserve">s Almeida apontam quais elementos da demanda se tornarão imutáveis. Sua definição representa a tentativa de conciliar dois valores </w:t>
      </w:r>
      <w:r w:rsidR="000006FE">
        <w:rPr>
          <w:rFonts w:ascii="Times New Roman" w:hAnsi="Times New Roman" w:cs="Times New Roman"/>
          <w:sz w:val="24"/>
          <w:szCs w:val="24"/>
        </w:rPr>
        <w:lastRenderedPageBreak/>
        <w:t xml:space="preserve">caros a todos os sistemas jurídicos, o prestígio da justiça e a estabilização das situações jurídicas (2013, p. 348-349). </w:t>
      </w:r>
    </w:p>
    <w:p w:rsidR="0012292D" w:rsidRDefault="000006FE" w:rsidP="001229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maneira, conforme ensina Didier somente se submete a coisa julgada </w:t>
      </w:r>
      <w:r w:rsidR="00E514BA">
        <w:rPr>
          <w:rFonts w:ascii="Times New Roman" w:hAnsi="Times New Roman" w:cs="Times New Roman"/>
          <w:sz w:val="24"/>
          <w:szCs w:val="24"/>
        </w:rPr>
        <w:t>material à norma jurídica concreta, contida no disposto da decisão, que julga o pedido (2014, p. 227). Ou seja, a questão principal, conforme está disposto no artigo 468 do Código de Processo Civil “a sentença que julgar total ou parcialmente a lide, tem força de lei nos limites da lide e das questões decididas” (BRASIL, 1973).</w:t>
      </w:r>
      <w:r w:rsidR="0012292D">
        <w:rPr>
          <w:rFonts w:ascii="Times New Roman" w:hAnsi="Times New Roman" w:cs="Times New Roman"/>
          <w:sz w:val="24"/>
          <w:szCs w:val="24"/>
        </w:rPr>
        <w:t xml:space="preserve"> Conforme corrobora Didier: </w:t>
      </w:r>
    </w:p>
    <w:p w:rsidR="0012292D" w:rsidRDefault="0012292D" w:rsidP="0012292D">
      <w:pPr>
        <w:spacing w:after="0" w:line="240" w:lineRule="auto"/>
        <w:ind w:left="2268"/>
        <w:jc w:val="both"/>
        <w:rPr>
          <w:rFonts w:ascii="Times New Roman" w:hAnsi="Times New Roman" w:cs="Times New Roman"/>
          <w:sz w:val="20"/>
          <w:szCs w:val="20"/>
        </w:rPr>
      </w:pPr>
      <w:r w:rsidRPr="0012292D">
        <w:rPr>
          <w:rFonts w:ascii="Times New Roman" w:hAnsi="Times New Roman" w:cs="Times New Roman"/>
          <w:sz w:val="20"/>
          <w:szCs w:val="20"/>
        </w:rPr>
        <w:t>A lide decidida é aquela levada a juízo através de um pedido da parte, colocado como questão principal. Logo, resta evidente que, de acordo com esse artigo, a autoridade da coisa julgada só recai sobre a parte da decisão que julga a questão principal, ou seja, sobre a norma jurídica concreta contida no seu dispositivo.</w:t>
      </w:r>
    </w:p>
    <w:p w:rsidR="0012292D" w:rsidRDefault="0012292D" w:rsidP="0012292D">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(2014, p. 428).</w:t>
      </w:r>
    </w:p>
    <w:p w:rsidR="0012292D" w:rsidRPr="0012292D" w:rsidRDefault="0012292D" w:rsidP="0012292D">
      <w:pPr>
        <w:spacing w:after="0" w:line="240" w:lineRule="auto"/>
        <w:ind w:left="2268"/>
        <w:jc w:val="both"/>
        <w:rPr>
          <w:rFonts w:ascii="Times New Roman" w:hAnsi="Times New Roman" w:cs="Times New Roman"/>
          <w:sz w:val="20"/>
          <w:szCs w:val="20"/>
        </w:rPr>
      </w:pPr>
    </w:p>
    <w:p w:rsidR="00AE5CBB" w:rsidRDefault="00DE6BFF" w:rsidP="001229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Porém, havia grande discursão no que tange a questões prejudiciais, isto é, se essas seriam abarcadas pela coisa julgada material</w:t>
      </w:r>
      <w:r w:rsidR="0012292D">
        <w:rPr>
          <w:rFonts w:ascii="Times New Roman" w:hAnsi="Times New Roman" w:cs="Times New Roman"/>
          <w:sz w:val="24"/>
          <w:szCs w:val="24"/>
        </w:rPr>
        <w:t>, mas quanto a isso o artigo 469, III do Código de Processo Civil deixa claro que não há essa possibilidade,</w:t>
      </w:r>
      <w:r w:rsidR="00913864">
        <w:rPr>
          <w:rFonts w:ascii="Times New Roman" w:hAnsi="Times New Roman" w:cs="Times New Roman"/>
          <w:sz w:val="24"/>
          <w:szCs w:val="24"/>
        </w:rPr>
        <w:t xml:space="preserve"> uma vez que diz em sua redação</w:t>
      </w:r>
      <w:r w:rsidR="0012292D">
        <w:rPr>
          <w:rFonts w:ascii="Times New Roman" w:hAnsi="Times New Roman" w:cs="Times New Roman"/>
          <w:sz w:val="24"/>
          <w:szCs w:val="24"/>
        </w:rPr>
        <w:t xml:space="preserve"> “não fazem coisa julgada: III- a apreciação de questão prejudicial, decidida incidentalmente no processo” (BRASI, 1973).</w:t>
      </w:r>
    </w:p>
    <w:p w:rsidR="00BD42DE" w:rsidRDefault="00913864" w:rsidP="00BD42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aos limites subjetivos, Didier afirma ser quem está submetido à coisa julgada (2014, p. 429). Isto é, quem sofre o efeito desta, para Didier a coisa julgada pode operar </w:t>
      </w:r>
      <w:proofErr w:type="gramStart"/>
      <w:r w:rsidRPr="00913864">
        <w:rPr>
          <w:rFonts w:ascii="Times New Roman" w:hAnsi="Times New Roman" w:cs="Times New Roman"/>
          <w:i/>
          <w:sz w:val="24"/>
          <w:szCs w:val="24"/>
        </w:rPr>
        <w:t>inter partes</w:t>
      </w:r>
      <w:proofErr w:type="gramEnd"/>
      <w:r>
        <w:rPr>
          <w:rFonts w:ascii="Times New Roman" w:hAnsi="Times New Roman" w:cs="Times New Roman"/>
          <w:sz w:val="24"/>
          <w:szCs w:val="24"/>
        </w:rPr>
        <w:t xml:space="preserve">, </w:t>
      </w:r>
      <w:r w:rsidRPr="00913864">
        <w:rPr>
          <w:rFonts w:ascii="Times New Roman" w:hAnsi="Times New Roman" w:cs="Times New Roman"/>
          <w:i/>
          <w:sz w:val="24"/>
          <w:szCs w:val="24"/>
        </w:rPr>
        <w:t>ultra partes</w:t>
      </w:r>
      <w:r>
        <w:rPr>
          <w:rFonts w:ascii="Times New Roman" w:hAnsi="Times New Roman" w:cs="Times New Roman"/>
          <w:i/>
          <w:sz w:val="24"/>
          <w:szCs w:val="24"/>
        </w:rPr>
        <w:t xml:space="preserve"> </w:t>
      </w:r>
      <w:r>
        <w:rPr>
          <w:rFonts w:ascii="Times New Roman" w:hAnsi="Times New Roman" w:cs="Times New Roman"/>
          <w:sz w:val="24"/>
          <w:szCs w:val="24"/>
        </w:rPr>
        <w:t xml:space="preserve">ou </w:t>
      </w:r>
      <w:r w:rsidR="00210359">
        <w:rPr>
          <w:rFonts w:ascii="Times New Roman" w:hAnsi="Times New Roman" w:cs="Times New Roman"/>
          <w:i/>
          <w:sz w:val="24"/>
          <w:szCs w:val="24"/>
        </w:rPr>
        <w:t>erga om</w:t>
      </w:r>
      <w:r>
        <w:rPr>
          <w:rFonts w:ascii="Times New Roman" w:hAnsi="Times New Roman" w:cs="Times New Roman"/>
          <w:i/>
          <w:sz w:val="24"/>
          <w:szCs w:val="24"/>
        </w:rPr>
        <w:t>nes</w:t>
      </w:r>
      <w:r>
        <w:rPr>
          <w:rFonts w:ascii="Times New Roman" w:hAnsi="Times New Roman" w:cs="Times New Roman"/>
          <w:sz w:val="24"/>
          <w:szCs w:val="24"/>
        </w:rPr>
        <w:t>.</w:t>
      </w:r>
      <w:r w:rsidR="00D412FA">
        <w:rPr>
          <w:rFonts w:ascii="Times New Roman" w:hAnsi="Times New Roman" w:cs="Times New Roman"/>
          <w:sz w:val="24"/>
          <w:szCs w:val="24"/>
        </w:rPr>
        <w:t xml:space="preserve"> Por coisa julgada </w:t>
      </w:r>
      <w:proofErr w:type="gramStart"/>
      <w:r w:rsidR="00D412FA">
        <w:rPr>
          <w:rFonts w:ascii="Times New Roman" w:hAnsi="Times New Roman" w:cs="Times New Roman"/>
          <w:i/>
          <w:sz w:val="24"/>
          <w:szCs w:val="24"/>
        </w:rPr>
        <w:t>inter partes</w:t>
      </w:r>
      <w:proofErr w:type="gramEnd"/>
      <w:r w:rsidR="00D412FA">
        <w:rPr>
          <w:rFonts w:ascii="Times New Roman" w:hAnsi="Times New Roman" w:cs="Times New Roman"/>
          <w:sz w:val="24"/>
          <w:szCs w:val="24"/>
        </w:rPr>
        <w:t xml:space="preserve"> se entende como “aquela a que somente se vinculam as partes” (DIDIER, 2014, p. 429). Como exemplo desta, temos o dispositivo 472 do Código de Processo Civil, o qual dispõe “a sentença faz coisa julgada às partes entre as quais é dada, não beneficiando, nem prejudicando terceiros” (BRASIL, 1973). Mas como toda regra possui uma exceção,</w:t>
      </w:r>
      <w:r w:rsidR="00210359">
        <w:rPr>
          <w:rFonts w:ascii="Times New Roman" w:hAnsi="Times New Roman" w:cs="Times New Roman"/>
          <w:sz w:val="24"/>
          <w:szCs w:val="24"/>
        </w:rPr>
        <w:t xml:space="preserve"> essa não poderia </w:t>
      </w:r>
      <w:r w:rsidR="00D412FA">
        <w:rPr>
          <w:rFonts w:ascii="Times New Roman" w:hAnsi="Times New Roman" w:cs="Times New Roman"/>
          <w:sz w:val="24"/>
          <w:szCs w:val="24"/>
        </w:rPr>
        <w:t>ser diferente</w:t>
      </w:r>
      <w:r w:rsidR="00210359">
        <w:rPr>
          <w:rFonts w:ascii="Times New Roman" w:hAnsi="Times New Roman" w:cs="Times New Roman"/>
          <w:sz w:val="24"/>
          <w:szCs w:val="24"/>
        </w:rPr>
        <w:t xml:space="preserve">, já que há a possibilidade da coisa julgada beneficiar terceiros, está é a coisa julgada </w:t>
      </w:r>
      <w:proofErr w:type="gramStart"/>
      <w:r w:rsidR="00210359">
        <w:rPr>
          <w:rFonts w:ascii="Times New Roman" w:hAnsi="Times New Roman" w:cs="Times New Roman"/>
          <w:i/>
          <w:sz w:val="24"/>
          <w:szCs w:val="24"/>
        </w:rPr>
        <w:t>inter partes</w:t>
      </w:r>
      <w:proofErr w:type="gramEnd"/>
      <w:r w:rsidR="00210359">
        <w:rPr>
          <w:rFonts w:ascii="Times New Roman" w:hAnsi="Times New Roman" w:cs="Times New Roman"/>
          <w:sz w:val="24"/>
          <w:szCs w:val="24"/>
        </w:rPr>
        <w:t xml:space="preserve"> “aquela que atinge não só as partes do processo, como também determinados terceiros” (DIDIER, 2014, p. 430). E por fim, há a coisa julgada </w:t>
      </w:r>
      <w:r w:rsidR="00210359">
        <w:rPr>
          <w:rFonts w:ascii="Times New Roman" w:hAnsi="Times New Roman" w:cs="Times New Roman"/>
          <w:i/>
          <w:sz w:val="24"/>
          <w:szCs w:val="24"/>
        </w:rPr>
        <w:t xml:space="preserve">erga omnes </w:t>
      </w:r>
      <w:r w:rsidR="00210359">
        <w:rPr>
          <w:rFonts w:ascii="Times New Roman" w:hAnsi="Times New Roman" w:cs="Times New Roman"/>
          <w:sz w:val="24"/>
          <w:szCs w:val="24"/>
        </w:rPr>
        <w:t>que “é aquela</w:t>
      </w:r>
      <w:r w:rsidR="00D412FA">
        <w:rPr>
          <w:rFonts w:ascii="Times New Roman" w:hAnsi="Times New Roman" w:cs="Times New Roman"/>
          <w:sz w:val="24"/>
          <w:szCs w:val="24"/>
        </w:rPr>
        <w:t xml:space="preserve"> </w:t>
      </w:r>
      <w:r w:rsidR="00210359">
        <w:rPr>
          <w:rFonts w:ascii="Times New Roman" w:hAnsi="Times New Roman" w:cs="Times New Roman"/>
          <w:sz w:val="24"/>
          <w:szCs w:val="24"/>
        </w:rPr>
        <w:t>cujos efeitos atingem a todos os jurisdicionados, tenham ou não participado do processo” (DIDIER, 2014, p. 432).</w:t>
      </w:r>
    </w:p>
    <w:p w:rsidR="00BD42DE" w:rsidRDefault="00BD42DE" w:rsidP="00BD42DE">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2.4 Caráter</w:t>
      </w:r>
      <w:proofErr w:type="gramEnd"/>
      <w:r>
        <w:rPr>
          <w:rFonts w:ascii="Times New Roman" w:hAnsi="Times New Roman" w:cs="Times New Roman"/>
          <w:sz w:val="24"/>
          <w:szCs w:val="24"/>
        </w:rPr>
        <w:t xml:space="preserve"> relativo da coisa julgada </w:t>
      </w:r>
    </w:p>
    <w:p w:rsidR="00A95C63" w:rsidRDefault="00BD42DE" w:rsidP="00BD42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relativização da coisa julgada diz respeito </w:t>
      </w:r>
      <w:r w:rsidR="00A95C63">
        <w:rPr>
          <w:rFonts w:ascii="Times New Roman" w:hAnsi="Times New Roman" w:cs="Times New Roman"/>
          <w:sz w:val="24"/>
          <w:szCs w:val="24"/>
        </w:rPr>
        <w:t>à</w:t>
      </w:r>
      <w:r>
        <w:rPr>
          <w:rFonts w:ascii="Times New Roman" w:hAnsi="Times New Roman" w:cs="Times New Roman"/>
          <w:sz w:val="24"/>
          <w:szCs w:val="24"/>
        </w:rPr>
        <w:t xml:space="preserve"> desconsideração do que antes foi considerado, isto porque, relativizar é romper com a estabilidade que existia, e para que</w:t>
      </w:r>
      <w:r w:rsidR="00BF7706">
        <w:rPr>
          <w:rFonts w:ascii="Times New Roman" w:hAnsi="Times New Roman" w:cs="Times New Roman"/>
          <w:sz w:val="24"/>
          <w:szCs w:val="24"/>
        </w:rPr>
        <w:t xml:space="preserve"> isso ocorra se faz </w:t>
      </w:r>
      <w:r w:rsidR="00C14C84">
        <w:rPr>
          <w:rFonts w:ascii="Times New Roman" w:hAnsi="Times New Roman" w:cs="Times New Roman"/>
          <w:sz w:val="24"/>
          <w:szCs w:val="24"/>
        </w:rPr>
        <w:t>necessária a existência de um erro grave</w:t>
      </w:r>
      <w:r>
        <w:rPr>
          <w:rFonts w:ascii="Times New Roman" w:hAnsi="Times New Roman" w:cs="Times New Roman"/>
          <w:sz w:val="24"/>
          <w:szCs w:val="24"/>
        </w:rPr>
        <w:t xml:space="preserve">. Isso ocorre porque “na doutrina há quem entenda que a decisão judicial não pode se cristalizar quando injusta ou </w:t>
      </w:r>
      <w:r>
        <w:rPr>
          <w:rFonts w:ascii="Times New Roman" w:hAnsi="Times New Roman" w:cs="Times New Roman"/>
          <w:sz w:val="24"/>
          <w:szCs w:val="24"/>
        </w:rPr>
        <w:lastRenderedPageBreak/>
        <w:t>inconstitucional, nesses casos, não produziria coisa julgada material, podendo a decisão ser revista, a qualquer tempo por critério e meios atípicos” (DIDIER, 2014, p. 450).</w:t>
      </w:r>
    </w:p>
    <w:p w:rsidR="00BD42DE" w:rsidRDefault="00A95C63" w:rsidP="00BD42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Porem há uma discursão quanto à</w:t>
      </w:r>
      <w:r w:rsidR="00D60D3D">
        <w:rPr>
          <w:rFonts w:ascii="Times New Roman" w:hAnsi="Times New Roman" w:cs="Times New Roman"/>
          <w:sz w:val="24"/>
          <w:szCs w:val="24"/>
        </w:rPr>
        <w:t xml:space="preserve"> injustiça e inconstitucionalidade, isto porque</w:t>
      </w:r>
      <w:r w:rsidR="00C14C84">
        <w:rPr>
          <w:rFonts w:ascii="Times New Roman" w:hAnsi="Times New Roman" w:cs="Times New Roman"/>
          <w:sz w:val="24"/>
          <w:szCs w:val="24"/>
        </w:rPr>
        <w:t>,</w:t>
      </w:r>
      <w:r w:rsidR="00D60D3D">
        <w:rPr>
          <w:rFonts w:ascii="Times New Roman" w:hAnsi="Times New Roman" w:cs="Times New Roman"/>
          <w:sz w:val="24"/>
          <w:szCs w:val="24"/>
        </w:rPr>
        <w:t xml:space="preserve"> a injustiça poderia trazer um risco a segurança jurídica e um caráter duvidoso, e a inconstitucionalidade porque “a qualquer momento que a lei em que se fundou a decisão fosse reputada inconstitucional a decisão poderia ser desconstituída” (DIDIER, 2014, p. 452).</w:t>
      </w:r>
    </w:p>
    <w:p w:rsidR="00C14C84" w:rsidRDefault="00673715" w:rsidP="00BD42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DE4BF5">
        <w:rPr>
          <w:rFonts w:ascii="Times New Roman" w:hAnsi="Times New Roman" w:cs="Times New Roman"/>
          <w:sz w:val="24"/>
          <w:szCs w:val="24"/>
        </w:rPr>
        <w:t xml:space="preserve"> lei prevê duas modalidades de </w:t>
      </w:r>
      <w:r w:rsidR="00EF543F">
        <w:rPr>
          <w:rFonts w:ascii="Times New Roman" w:hAnsi="Times New Roman" w:cs="Times New Roman"/>
          <w:sz w:val="24"/>
          <w:szCs w:val="24"/>
        </w:rPr>
        <w:t>resolver a inconstitucionalidade da sentença</w:t>
      </w:r>
      <w:r w:rsidR="00DE4BF5">
        <w:rPr>
          <w:rFonts w:ascii="Times New Roman" w:hAnsi="Times New Roman" w:cs="Times New Roman"/>
          <w:sz w:val="24"/>
          <w:szCs w:val="24"/>
        </w:rPr>
        <w:t>, a primeira é a possibilidade de ação rescisória, isto é, uma ação que visa rescindir sentença transitada e julgada, está modalidade está prevista no artigo 485, V do Código de Processo Civil “a sentença de mérito, transitada em julgado, pode ser rescindida quando: V- violar literal disposição de lei” (BRASIL, 1973).</w:t>
      </w:r>
      <w:r w:rsidR="00EF543F">
        <w:rPr>
          <w:rFonts w:ascii="Times New Roman" w:hAnsi="Times New Roman" w:cs="Times New Roman"/>
          <w:sz w:val="24"/>
          <w:szCs w:val="24"/>
        </w:rPr>
        <w:t xml:space="preserve"> O inciso V do artigo 485 refere-se a um erro grave. </w:t>
      </w:r>
    </w:p>
    <w:p w:rsidR="00EF543F" w:rsidRDefault="00BF7706" w:rsidP="00BD42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Porém, se faz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salientar que</w:t>
      </w:r>
      <w:r w:rsidR="00C14C84">
        <w:rPr>
          <w:rFonts w:ascii="Times New Roman" w:hAnsi="Times New Roman" w:cs="Times New Roman"/>
          <w:sz w:val="24"/>
          <w:szCs w:val="24"/>
        </w:rPr>
        <w:t>,</w:t>
      </w:r>
      <w:r>
        <w:rPr>
          <w:rFonts w:ascii="Times New Roman" w:hAnsi="Times New Roman" w:cs="Times New Roman"/>
          <w:sz w:val="24"/>
          <w:szCs w:val="24"/>
        </w:rPr>
        <w:t xml:space="preserve"> não é tão simples se entrar com ela é preciso que se obedeça ao prazo estipulado de dois anos que está consagrado no artigo 495 do Código de Processo Civil, além disso</w:t>
      </w:r>
      <w:r w:rsidR="00C14C84">
        <w:rPr>
          <w:rFonts w:ascii="Times New Roman" w:hAnsi="Times New Roman" w:cs="Times New Roman"/>
          <w:sz w:val="24"/>
          <w:szCs w:val="24"/>
        </w:rPr>
        <w:t>, se</w:t>
      </w:r>
      <w:r>
        <w:rPr>
          <w:rFonts w:ascii="Times New Roman" w:hAnsi="Times New Roman" w:cs="Times New Roman"/>
          <w:sz w:val="24"/>
          <w:szCs w:val="24"/>
        </w:rPr>
        <w:t xml:space="preserve"> faz necessário um deposito de 5% pela parte que quer a rescisória.</w:t>
      </w:r>
    </w:p>
    <w:p w:rsidR="00BF7706" w:rsidRDefault="00BF7706" w:rsidP="00BD42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Pode-se ainda exemplificar o artigo 285-A do Código de Processo Civil, como uma possibilidade de se obter uma rescisão do juiz, uma vez que ele constatar que exagerou, ou que tomou uma decisão errada.</w:t>
      </w:r>
      <w:r w:rsidR="00C14C84">
        <w:rPr>
          <w:rFonts w:ascii="Times New Roman" w:hAnsi="Times New Roman" w:cs="Times New Roman"/>
          <w:sz w:val="24"/>
          <w:szCs w:val="24"/>
        </w:rPr>
        <w:t xml:space="preserve"> Porem é importante frisar que, a rescisória não tem nada haver com a relativização da coisa julgada, ela não serve para isso, rescisão não significa necessariamente relativizar, a relativização não tem limite de causa como a rescisória tem, já que está é altamente taxativa, se não houver os requisitos presentes </w:t>
      </w:r>
      <w:proofErr w:type="gramStart"/>
      <w:r w:rsidR="00C14C84">
        <w:rPr>
          <w:rFonts w:ascii="Times New Roman" w:hAnsi="Times New Roman" w:cs="Times New Roman"/>
          <w:sz w:val="24"/>
          <w:szCs w:val="24"/>
        </w:rPr>
        <w:t>a</w:t>
      </w:r>
      <w:proofErr w:type="gramEnd"/>
      <w:r w:rsidR="00C14C84">
        <w:rPr>
          <w:rFonts w:ascii="Times New Roman" w:hAnsi="Times New Roman" w:cs="Times New Roman"/>
          <w:sz w:val="24"/>
          <w:szCs w:val="24"/>
        </w:rPr>
        <w:t xml:space="preserve"> rescisória será liminarmente deferida.</w:t>
      </w:r>
    </w:p>
    <w:p w:rsidR="00DE4BF5" w:rsidRDefault="00EF543F" w:rsidP="00BD42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segunda modalidade é aqui está prevista no § 1º do artigo 475-L</w:t>
      </w:r>
      <w:r w:rsidR="005114A8">
        <w:rPr>
          <w:rFonts w:ascii="Times New Roman" w:hAnsi="Times New Roman" w:cs="Times New Roman"/>
          <w:sz w:val="24"/>
          <w:szCs w:val="24"/>
        </w:rPr>
        <w:t xml:space="preserve"> “considera-se também inexigível o título judicial fundado em lei ou atos normativos declarados inconstitucionais pelo STF, ao fundado em aplicação da lei ou ato </w:t>
      </w:r>
      <w:proofErr w:type="gramStart"/>
      <w:r w:rsidR="005114A8">
        <w:rPr>
          <w:rFonts w:ascii="Times New Roman" w:hAnsi="Times New Roman" w:cs="Times New Roman"/>
          <w:sz w:val="24"/>
          <w:szCs w:val="24"/>
        </w:rPr>
        <w:t>normativo tidas pelo STF como incompatível com a Constituição Federal”</w:t>
      </w:r>
      <w:proofErr w:type="gramEnd"/>
      <w:r w:rsidR="005114A8">
        <w:rPr>
          <w:rFonts w:ascii="Times New Roman" w:hAnsi="Times New Roman" w:cs="Times New Roman"/>
          <w:sz w:val="24"/>
          <w:szCs w:val="24"/>
        </w:rPr>
        <w:t xml:space="preserve"> (BRASIL, 1973). E no paragrafo único do artigo 741 do Código de Processo Civil.</w:t>
      </w:r>
      <w:r w:rsidR="00C14C84">
        <w:rPr>
          <w:rFonts w:ascii="Times New Roman" w:hAnsi="Times New Roman" w:cs="Times New Roman"/>
          <w:sz w:val="24"/>
          <w:szCs w:val="24"/>
        </w:rPr>
        <w:t xml:space="preserve"> De acordo com Didier as concepções de relativização da coisa julgada são perigosas. Defendem a prevalência do justo, mas não defendem o que seja justo. </w:t>
      </w:r>
      <w:proofErr w:type="gramStart"/>
      <w:r w:rsidR="00C14C84">
        <w:rPr>
          <w:rFonts w:ascii="Times New Roman" w:hAnsi="Times New Roman" w:cs="Times New Roman"/>
          <w:sz w:val="24"/>
          <w:szCs w:val="24"/>
        </w:rPr>
        <w:t>Partem</w:t>
      </w:r>
      <w:proofErr w:type="gramEnd"/>
      <w:r w:rsidR="00C14C84">
        <w:rPr>
          <w:rFonts w:ascii="Times New Roman" w:hAnsi="Times New Roman" w:cs="Times New Roman"/>
          <w:sz w:val="24"/>
          <w:szCs w:val="24"/>
        </w:rPr>
        <w:t xml:space="preserve"> de uma noção de justiça, como sensu comum captado por qualquer cidadão médio (2014, p. 452).</w:t>
      </w:r>
    </w:p>
    <w:p w:rsidR="00C14C84" w:rsidRDefault="00C14C84" w:rsidP="00C14C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r w:rsidR="00F41548">
        <w:rPr>
          <w:rFonts w:ascii="Times New Roman" w:hAnsi="Times New Roman" w:cs="Times New Roman"/>
          <w:sz w:val="24"/>
          <w:szCs w:val="24"/>
        </w:rPr>
        <w:t xml:space="preserve"> Efeitos da coisa julgada</w:t>
      </w:r>
    </w:p>
    <w:p w:rsidR="00C80833" w:rsidRDefault="00F41548" w:rsidP="00F4154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aos efeitos da coisa julgada se tem a possibilidade de três efeitos, são eles: negativo, positivo e preclusivo. O efeito negativo da coisa julgada “impede que a questão </w:t>
      </w:r>
      <w:r>
        <w:rPr>
          <w:rFonts w:ascii="Times New Roman" w:hAnsi="Times New Roman" w:cs="Times New Roman"/>
          <w:sz w:val="24"/>
          <w:szCs w:val="24"/>
        </w:rPr>
        <w:lastRenderedPageBreak/>
        <w:t>principal já definitivamente decidida seja novamente julgada como questão principal em outro processo” (DIDIER, 2014, p. 435). O efeito positivo da coisa julgada “determina que a questão principal já definitivamente decidida e transitada em julgado, uma vez retornando ao Judiciário como questão incidental, não possa ser decidida de modo distinto daquele como foi no processo anterior, em que foi questão principal” (DIDIER, 2014, p. 435). E por fim o efeito preclusivo da coisa julgada</w:t>
      </w:r>
      <w:r w:rsidR="00C80833">
        <w:rPr>
          <w:rFonts w:ascii="Times New Roman" w:hAnsi="Times New Roman" w:cs="Times New Roman"/>
          <w:sz w:val="24"/>
          <w:szCs w:val="24"/>
        </w:rPr>
        <w:t xml:space="preserve"> o qual segundo Didier: </w:t>
      </w:r>
    </w:p>
    <w:p w:rsidR="00363618" w:rsidRDefault="00C80833" w:rsidP="00C80833">
      <w:pPr>
        <w:spacing w:after="0" w:line="240" w:lineRule="auto"/>
        <w:ind w:left="2268"/>
        <w:jc w:val="both"/>
        <w:rPr>
          <w:rFonts w:ascii="Times New Roman" w:hAnsi="Times New Roman" w:cs="Times New Roman"/>
          <w:sz w:val="20"/>
          <w:szCs w:val="20"/>
        </w:rPr>
      </w:pPr>
      <w:r w:rsidRPr="00C80833">
        <w:rPr>
          <w:rFonts w:ascii="Times New Roman" w:hAnsi="Times New Roman" w:cs="Times New Roman"/>
          <w:sz w:val="20"/>
          <w:szCs w:val="20"/>
        </w:rPr>
        <w:t xml:space="preserve">Segundo o artigo 474 do Código de Processo Civil, transitada em julgado decisão definitiva da causa, todas as alegações e defesas que poderiam ter sido formuladas para o acolhimento ou rejeição do pedido reputam-se arguidas e repelidas; tornam-se irrelevantes todos os argumentos e provas que as partes tinham a alegar ou produzir em favor da sua tese. Com a formação da coisa julgada, </w:t>
      </w:r>
      <w:proofErr w:type="spellStart"/>
      <w:r w:rsidRPr="00C80833">
        <w:rPr>
          <w:rFonts w:ascii="Times New Roman" w:hAnsi="Times New Roman" w:cs="Times New Roman"/>
          <w:sz w:val="20"/>
          <w:szCs w:val="20"/>
        </w:rPr>
        <w:t>preclui</w:t>
      </w:r>
      <w:proofErr w:type="spellEnd"/>
      <w:r w:rsidRPr="00C80833">
        <w:rPr>
          <w:rFonts w:ascii="Times New Roman" w:hAnsi="Times New Roman" w:cs="Times New Roman"/>
          <w:sz w:val="20"/>
          <w:szCs w:val="20"/>
        </w:rPr>
        <w:t xml:space="preserve"> a possibilidade de rediscussão de todos os argumentos, que poderiam ter sido suscitados, mas não foram. (2014, p. 436). </w:t>
      </w:r>
    </w:p>
    <w:p w:rsidR="00C80833" w:rsidRDefault="00C80833" w:rsidP="00C80833">
      <w:pPr>
        <w:spacing w:after="0" w:line="240" w:lineRule="auto"/>
        <w:ind w:left="2268"/>
        <w:jc w:val="both"/>
        <w:rPr>
          <w:rFonts w:ascii="Times New Roman" w:hAnsi="Times New Roman" w:cs="Times New Roman"/>
          <w:sz w:val="20"/>
          <w:szCs w:val="20"/>
        </w:rPr>
      </w:pPr>
    </w:p>
    <w:p w:rsidR="00C80833" w:rsidRPr="00C80833" w:rsidRDefault="00C80833" w:rsidP="00C80833">
      <w:pPr>
        <w:spacing w:after="0" w:line="240" w:lineRule="auto"/>
        <w:ind w:left="2268"/>
        <w:jc w:val="both"/>
        <w:rPr>
          <w:rFonts w:ascii="Times New Roman" w:hAnsi="Times New Roman" w:cs="Times New Roman"/>
          <w:sz w:val="20"/>
          <w:szCs w:val="20"/>
        </w:rPr>
      </w:pPr>
    </w:p>
    <w:p w:rsidR="00E846FD" w:rsidRDefault="00E846FD" w:rsidP="00D82CF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D</w:t>
      </w:r>
      <w:r w:rsidR="00363618">
        <w:rPr>
          <w:rFonts w:ascii="Times New Roman" w:hAnsi="Times New Roman" w:cs="Times New Roman"/>
          <w:b/>
          <w:sz w:val="24"/>
          <w:szCs w:val="24"/>
        </w:rPr>
        <w:t>A COISA JULGADA A PARTIR DO PROJETO DO NOVO</w:t>
      </w:r>
      <w:r>
        <w:rPr>
          <w:rFonts w:ascii="Times New Roman" w:hAnsi="Times New Roman" w:cs="Times New Roman"/>
          <w:b/>
          <w:sz w:val="24"/>
          <w:szCs w:val="24"/>
        </w:rPr>
        <w:t xml:space="preserve"> C</w:t>
      </w:r>
      <w:r w:rsidR="00E514BA">
        <w:rPr>
          <w:rFonts w:ascii="Times New Roman" w:hAnsi="Times New Roman" w:cs="Times New Roman"/>
          <w:b/>
          <w:sz w:val="24"/>
          <w:szCs w:val="24"/>
        </w:rPr>
        <w:t xml:space="preserve">ÓDIGO DE </w:t>
      </w:r>
      <w:r>
        <w:rPr>
          <w:rFonts w:ascii="Times New Roman" w:hAnsi="Times New Roman" w:cs="Times New Roman"/>
          <w:b/>
          <w:sz w:val="24"/>
          <w:szCs w:val="24"/>
        </w:rPr>
        <w:t>P</w:t>
      </w:r>
      <w:r w:rsidR="00E514BA">
        <w:rPr>
          <w:rFonts w:ascii="Times New Roman" w:hAnsi="Times New Roman" w:cs="Times New Roman"/>
          <w:b/>
          <w:sz w:val="24"/>
          <w:szCs w:val="24"/>
        </w:rPr>
        <w:t xml:space="preserve">ROCESSO </w:t>
      </w:r>
      <w:r>
        <w:rPr>
          <w:rFonts w:ascii="Times New Roman" w:hAnsi="Times New Roman" w:cs="Times New Roman"/>
          <w:b/>
          <w:sz w:val="24"/>
          <w:szCs w:val="24"/>
        </w:rPr>
        <w:t>C</w:t>
      </w:r>
      <w:r w:rsidR="00E514BA">
        <w:rPr>
          <w:rFonts w:ascii="Times New Roman" w:hAnsi="Times New Roman" w:cs="Times New Roman"/>
          <w:b/>
          <w:sz w:val="24"/>
          <w:szCs w:val="24"/>
        </w:rPr>
        <w:t>IVIL</w:t>
      </w:r>
    </w:p>
    <w:p w:rsidR="0012431F" w:rsidRDefault="0012431F" w:rsidP="009F25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Questões prejudiciais como um limite objetivo</w:t>
      </w:r>
    </w:p>
    <w:p w:rsidR="00740454" w:rsidRDefault="00740454" w:rsidP="009F25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projeto do Novo Código de Processo Civil trouxe grande modificação </w:t>
      </w:r>
      <w:r w:rsidR="009F25D9">
        <w:rPr>
          <w:rFonts w:ascii="Times New Roman" w:hAnsi="Times New Roman" w:cs="Times New Roman"/>
          <w:sz w:val="24"/>
          <w:szCs w:val="24"/>
        </w:rPr>
        <w:t>à</w:t>
      </w:r>
      <w:r>
        <w:rPr>
          <w:rFonts w:ascii="Times New Roman" w:hAnsi="Times New Roman" w:cs="Times New Roman"/>
          <w:sz w:val="24"/>
          <w:szCs w:val="24"/>
        </w:rPr>
        <w:t xml:space="preserve"> coisa julgada, isso porque, os projeto</w:t>
      </w:r>
      <w:r w:rsidR="00FE4FF2">
        <w:rPr>
          <w:rFonts w:ascii="Times New Roman" w:hAnsi="Times New Roman" w:cs="Times New Roman"/>
          <w:sz w:val="24"/>
          <w:szCs w:val="24"/>
        </w:rPr>
        <w:t>s</w:t>
      </w:r>
      <w:r w:rsidR="00A62BF0">
        <w:rPr>
          <w:rFonts w:ascii="Times New Roman" w:hAnsi="Times New Roman" w:cs="Times New Roman"/>
          <w:sz w:val="24"/>
          <w:szCs w:val="24"/>
        </w:rPr>
        <w:t xml:space="preserve"> tanto o da Câmara quanto o do S</w:t>
      </w:r>
      <w:r>
        <w:rPr>
          <w:rFonts w:ascii="Times New Roman" w:hAnsi="Times New Roman" w:cs="Times New Roman"/>
          <w:sz w:val="24"/>
          <w:szCs w:val="24"/>
        </w:rPr>
        <w:t>enado ampliaram o limite objetivo da coisa julgada, abarcando agora questões prejudiciais, isto é, a possibilidade da parte discutir outra questão que não aquela que consta no pedido.</w:t>
      </w:r>
    </w:p>
    <w:p w:rsidR="00740454" w:rsidRDefault="00A62BF0" w:rsidP="009F25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Vasconcelos a versão aprovada no Senado propôs a alteração do sistema vigente, para afirmar que as questões prejudiciais serão cobertas pela coisa julgada independentemente de pedido de qualquer das partes (2013, p. 76). Conforme consta no artigo 490 do Novo Código de Processo Civil aprovado no Senado “a sentença que julgar total ou parcialmente a lide tem força de lei nos limites dos pedidos e das questões prejudiciais expressamente decididas”</w:t>
      </w:r>
      <w:r w:rsidR="00C54D8D">
        <w:rPr>
          <w:rFonts w:ascii="Times New Roman" w:hAnsi="Times New Roman" w:cs="Times New Roman"/>
          <w:sz w:val="24"/>
          <w:szCs w:val="24"/>
        </w:rPr>
        <w:t xml:space="preserve"> (BRASIL, 2010</w:t>
      </w:r>
      <w:r>
        <w:rPr>
          <w:rFonts w:ascii="Times New Roman" w:hAnsi="Times New Roman" w:cs="Times New Roman"/>
          <w:sz w:val="24"/>
          <w:szCs w:val="24"/>
        </w:rPr>
        <w:t>). Dessa forma, é perceptível que a coisa julgada além de recair sobre as questões decididas recai ainda sobre as questões prejudiciais, o que não está previsto no atual</w:t>
      </w:r>
      <w:r w:rsidR="00740454">
        <w:rPr>
          <w:rFonts w:ascii="Times New Roman" w:hAnsi="Times New Roman" w:cs="Times New Roman"/>
          <w:sz w:val="24"/>
          <w:szCs w:val="24"/>
        </w:rPr>
        <w:t xml:space="preserve"> Código de Processo Civil</w:t>
      </w:r>
      <w:r>
        <w:rPr>
          <w:rFonts w:ascii="Times New Roman" w:hAnsi="Times New Roman" w:cs="Times New Roman"/>
          <w:sz w:val="24"/>
          <w:szCs w:val="24"/>
        </w:rPr>
        <w:t xml:space="preserve"> em seu artigo 468 o qual</w:t>
      </w:r>
      <w:r w:rsidR="00740454">
        <w:rPr>
          <w:rFonts w:ascii="Times New Roman" w:hAnsi="Times New Roman" w:cs="Times New Roman"/>
          <w:sz w:val="24"/>
          <w:szCs w:val="24"/>
        </w:rPr>
        <w:t xml:space="preserve"> diz que “a sentença que julgar total ou parcialmente a lide, tem força de lei nos limites da lide e das questões decididas” (BRASIL, 1973). </w:t>
      </w:r>
    </w:p>
    <w:p w:rsidR="00B90261" w:rsidRDefault="00A62BF0" w:rsidP="009F25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projeto aprovado na Câmara, assim como o aprovado no Sen</w:t>
      </w:r>
      <w:r w:rsidR="00FE4FF2">
        <w:rPr>
          <w:rFonts w:ascii="Times New Roman" w:hAnsi="Times New Roman" w:cs="Times New Roman"/>
          <w:sz w:val="24"/>
          <w:szCs w:val="24"/>
        </w:rPr>
        <w:t>ado prevê a mesma possibilidade. D</w:t>
      </w:r>
      <w:r>
        <w:rPr>
          <w:rFonts w:ascii="Times New Roman" w:hAnsi="Times New Roman" w:cs="Times New Roman"/>
          <w:sz w:val="24"/>
          <w:szCs w:val="24"/>
        </w:rPr>
        <w:t>e acordo com o artigo 514</w:t>
      </w:r>
      <w:r w:rsidR="00B90261">
        <w:rPr>
          <w:rFonts w:ascii="Times New Roman" w:hAnsi="Times New Roman" w:cs="Times New Roman"/>
          <w:sz w:val="24"/>
          <w:szCs w:val="24"/>
        </w:rPr>
        <w:t xml:space="preserve"> do Código de Processo Civil aprovado na Câmara: </w:t>
      </w:r>
    </w:p>
    <w:p w:rsidR="009F25D9" w:rsidRDefault="00B90261" w:rsidP="009F25D9">
      <w:pPr>
        <w:spacing w:after="0" w:line="240" w:lineRule="auto"/>
        <w:ind w:left="2268"/>
        <w:jc w:val="both"/>
        <w:rPr>
          <w:rFonts w:ascii="Times New Roman" w:hAnsi="Times New Roman" w:cs="Times New Roman"/>
          <w:sz w:val="20"/>
          <w:szCs w:val="20"/>
        </w:rPr>
      </w:pPr>
      <w:r w:rsidRPr="009F25D9">
        <w:rPr>
          <w:rFonts w:ascii="Times New Roman" w:hAnsi="Times New Roman" w:cs="Times New Roman"/>
          <w:sz w:val="20"/>
          <w:szCs w:val="20"/>
        </w:rPr>
        <w:t xml:space="preserve">A decisão que julgar total ou parcialmente o mérito tem força de lei nos limites da questão principal expressamente decidida. § 1º o dispositivo no </w:t>
      </w:r>
      <w:r w:rsidRPr="009F25D9">
        <w:rPr>
          <w:rFonts w:ascii="Times New Roman" w:hAnsi="Times New Roman" w:cs="Times New Roman"/>
          <w:i/>
          <w:sz w:val="20"/>
          <w:szCs w:val="20"/>
        </w:rPr>
        <w:t>caput</w:t>
      </w:r>
      <w:r w:rsidRPr="009F25D9">
        <w:rPr>
          <w:rFonts w:ascii="Times New Roman" w:hAnsi="Times New Roman" w:cs="Times New Roman"/>
          <w:sz w:val="20"/>
          <w:szCs w:val="20"/>
        </w:rPr>
        <w:t xml:space="preserve"> aplica-se à resolução da questão prejudicial, decidida expressa e incidentalmente no processo, se: I- dessa resolução depender o julgamento do mérito; II- a seu respeito tiver havido contraditório prévio e efeito, não se aplicando no caso de revelia; III- o juízo </w:t>
      </w:r>
      <w:r w:rsidRPr="009F25D9">
        <w:rPr>
          <w:rFonts w:ascii="Times New Roman" w:hAnsi="Times New Roman" w:cs="Times New Roman"/>
          <w:sz w:val="20"/>
          <w:szCs w:val="20"/>
        </w:rPr>
        <w:lastRenderedPageBreak/>
        <w:t>tiver competência em razão da matéria e da pessoa para resolvê-la como questão principal. § 2º a hipótese do § 1º não se aplica se no processo houver restrições probatórias ou limitações à cognição que impeçam o aprofundamento da análise da questão prejudicial.</w:t>
      </w:r>
      <w:r w:rsidR="00C54D8D">
        <w:rPr>
          <w:rFonts w:ascii="Times New Roman" w:hAnsi="Times New Roman" w:cs="Times New Roman"/>
          <w:sz w:val="20"/>
          <w:szCs w:val="20"/>
        </w:rPr>
        <w:t xml:space="preserve"> (BRASIL, 2010</w:t>
      </w:r>
      <w:r w:rsidR="009F25D9">
        <w:rPr>
          <w:rFonts w:ascii="Times New Roman" w:hAnsi="Times New Roman" w:cs="Times New Roman"/>
          <w:sz w:val="20"/>
          <w:szCs w:val="20"/>
        </w:rPr>
        <w:t>).</w:t>
      </w:r>
    </w:p>
    <w:p w:rsidR="009F25D9" w:rsidRDefault="009F25D9" w:rsidP="009F25D9">
      <w:pPr>
        <w:spacing w:after="0" w:line="240" w:lineRule="auto"/>
        <w:ind w:left="2268"/>
        <w:jc w:val="both"/>
        <w:rPr>
          <w:rFonts w:ascii="Times New Roman" w:hAnsi="Times New Roman" w:cs="Times New Roman"/>
          <w:sz w:val="20"/>
          <w:szCs w:val="20"/>
        </w:rPr>
      </w:pPr>
    </w:p>
    <w:p w:rsidR="009F25D9" w:rsidRDefault="009F25D9" w:rsidP="00D82C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maneira se percebe que o projeto da Câmara permite que a coisa julgada recaia sobre questões prejudiciais se previsto alguma das modalidades dos incisos do § 1º. De acordo com Vasconcelos a alegação constante na exposição de motivos da Câmara para alteração do regimento atual foi </w:t>
      </w:r>
      <w:r w:rsidR="00C54D8D">
        <w:rPr>
          <w:rFonts w:ascii="Times New Roman" w:hAnsi="Times New Roman" w:cs="Times New Roman"/>
          <w:sz w:val="24"/>
          <w:szCs w:val="24"/>
        </w:rPr>
        <w:t>à</w:t>
      </w:r>
      <w:r>
        <w:rPr>
          <w:rFonts w:ascii="Times New Roman" w:hAnsi="Times New Roman" w:cs="Times New Roman"/>
          <w:sz w:val="24"/>
          <w:szCs w:val="24"/>
        </w:rPr>
        <w:t xml:space="preserve"> celeridade. (2013, p. 77). Porém, Vasconcelos faz uma crítica em relação a isso, para ele </w:t>
      </w:r>
      <w:r w:rsidR="00C54D8D">
        <w:rPr>
          <w:rFonts w:ascii="Times New Roman" w:hAnsi="Times New Roman" w:cs="Times New Roman"/>
          <w:sz w:val="24"/>
          <w:szCs w:val="24"/>
        </w:rPr>
        <w:t>isso trará um grande risco</w:t>
      </w:r>
      <w:r w:rsidR="00FE4FF2">
        <w:rPr>
          <w:rFonts w:ascii="Times New Roman" w:hAnsi="Times New Roman" w:cs="Times New Roman"/>
          <w:sz w:val="24"/>
          <w:szCs w:val="24"/>
        </w:rPr>
        <w:t>,</w:t>
      </w:r>
      <w:r w:rsidR="00C54D8D">
        <w:rPr>
          <w:rFonts w:ascii="Times New Roman" w:hAnsi="Times New Roman" w:cs="Times New Roman"/>
          <w:sz w:val="24"/>
          <w:szCs w:val="24"/>
        </w:rPr>
        <w:t xml:space="preserve"> o da insegurança jurídica, já que não se saberia exatamente o que foi decidido pelo juiz sob o contraditório, isto é, não se saberia que parte da decisão é estável e não poderia mais ser decidida (2013, p. 77).</w:t>
      </w:r>
    </w:p>
    <w:p w:rsidR="00FC7166" w:rsidRDefault="00C54D8D" w:rsidP="00D82C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Ex</w:t>
      </w:r>
      <w:r w:rsidR="00FE4FF2">
        <w:rPr>
          <w:rFonts w:ascii="Times New Roman" w:hAnsi="Times New Roman" w:cs="Times New Roman"/>
          <w:sz w:val="24"/>
          <w:szCs w:val="24"/>
        </w:rPr>
        <w:t xml:space="preserve">emplificando a diferença entre </w:t>
      </w:r>
      <w:r>
        <w:rPr>
          <w:rFonts w:ascii="Times New Roman" w:hAnsi="Times New Roman" w:cs="Times New Roman"/>
          <w:sz w:val="24"/>
          <w:szCs w:val="24"/>
        </w:rPr>
        <w:t>o at</w:t>
      </w:r>
      <w:r w:rsidR="00FE4FF2">
        <w:rPr>
          <w:rFonts w:ascii="Times New Roman" w:hAnsi="Times New Roman" w:cs="Times New Roman"/>
          <w:sz w:val="24"/>
          <w:szCs w:val="24"/>
        </w:rPr>
        <w:t xml:space="preserve">ual Código de Processo Civil e </w:t>
      </w:r>
      <w:r w:rsidR="00326063">
        <w:rPr>
          <w:rFonts w:ascii="Times New Roman" w:hAnsi="Times New Roman" w:cs="Times New Roman"/>
          <w:sz w:val="24"/>
          <w:szCs w:val="24"/>
        </w:rPr>
        <w:t>os Projetos da Câmara e Senado é que</w:t>
      </w:r>
      <w:r w:rsidR="00E15B1F">
        <w:rPr>
          <w:rFonts w:ascii="Times New Roman" w:hAnsi="Times New Roman" w:cs="Times New Roman"/>
          <w:sz w:val="24"/>
          <w:szCs w:val="24"/>
        </w:rPr>
        <w:t>, por exemplo,</w:t>
      </w:r>
      <w:r w:rsidR="00326063">
        <w:rPr>
          <w:rFonts w:ascii="Times New Roman" w:hAnsi="Times New Roman" w:cs="Times New Roman"/>
          <w:sz w:val="24"/>
          <w:szCs w:val="24"/>
        </w:rPr>
        <w:t xml:space="preserve"> “em uma cobrança envolvendo o descumprimento de um contrato, e surja a discursão de nulidade de cláusula ou mesmo nulidade do contrato. Independentemente da profundidade do debate, tais questões acabam sendo apreciadas pelo juiz na sentença ainda que de maneira sucinta” (VASCONCELOS, 2013, p. 78). De acordo com o autor “pelo código vigente, caso não haja </w:t>
      </w:r>
      <w:r w:rsidR="00E15B1F">
        <w:rPr>
          <w:rFonts w:ascii="Times New Roman" w:hAnsi="Times New Roman" w:cs="Times New Roman"/>
          <w:sz w:val="24"/>
          <w:szCs w:val="24"/>
        </w:rPr>
        <w:t xml:space="preserve">a propositura de declaratória incidental por qualquer das partes, apenas o pedido é que </w:t>
      </w:r>
      <w:proofErr w:type="gramStart"/>
      <w:r w:rsidR="00FC7166">
        <w:rPr>
          <w:rFonts w:ascii="Times New Roman" w:hAnsi="Times New Roman" w:cs="Times New Roman"/>
          <w:sz w:val="24"/>
          <w:szCs w:val="24"/>
        </w:rPr>
        <w:t>será</w:t>
      </w:r>
      <w:proofErr w:type="gramEnd"/>
      <w:r w:rsidR="00E15B1F">
        <w:rPr>
          <w:rFonts w:ascii="Times New Roman" w:hAnsi="Times New Roman" w:cs="Times New Roman"/>
          <w:sz w:val="24"/>
          <w:szCs w:val="24"/>
        </w:rPr>
        <w:t xml:space="preserve"> coberto pela coisa julgada, assim ambas as partes estão plenamente cientes a respeito de qual parte da decisão será coberta pela coisa julgada” (VASCONCELOS, 2013, p. 78). </w:t>
      </w:r>
    </w:p>
    <w:p w:rsidR="00C54D8D" w:rsidRDefault="00E15B1F" w:rsidP="00D82C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Porém, de acordo com a proposta de um Novo Código “se quaisquer dessas questões forem brevemente mencionadas, seja na inicial seja na contestação, e forem apreciadas pela sentença, poderá ser cobertas pela coisa julgada, ainda que não haja maior discursão no bojo do processo” (VASCONCELOS, 2013, p. 78).</w:t>
      </w:r>
    </w:p>
    <w:p w:rsidR="00FC7166" w:rsidRDefault="00FC7166" w:rsidP="00D82C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maneira entende-se que “o artigo 470 do CPC de 1973 previa requisitos à questão prejudicial poder ser objeto de coisa julgada, deve a parte requerer, o juiz ser competente em razão da matéria e a questão </w:t>
      </w:r>
      <w:proofErr w:type="gramStart"/>
      <w:r>
        <w:rPr>
          <w:rFonts w:ascii="Times New Roman" w:hAnsi="Times New Roman" w:cs="Times New Roman"/>
          <w:sz w:val="24"/>
          <w:szCs w:val="24"/>
        </w:rPr>
        <w:t>ser</w:t>
      </w:r>
      <w:proofErr w:type="gramEnd"/>
      <w:r>
        <w:rPr>
          <w:rFonts w:ascii="Times New Roman" w:hAnsi="Times New Roman" w:cs="Times New Roman"/>
          <w:sz w:val="24"/>
          <w:szCs w:val="24"/>
        </w:rPr>
        <w:t xml:space="preserve"> pressuposto necessário à lide- que não foram reproduzidas no novo CPC” (ALMEIDA, 2013, p 361),</w:t>
      </w:r>
    </w:p>
    <w:p w:rsidR="00D000E9" w:rsidRDefault="00D000E9" w:rsidP="00FC716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essa ampliação do limite objetivo da coisa julgada “não se pretende considerar que o pedido seja implícito ou derivado, mas que verdadeiramente, há um vínculo de </w:t>
      </w:r>
      <w:proofErr w:type="spellStart"/>
      <w:r>
        <w:rPr>
          <w:rFonts w:ascii="Times New Roman" w:hAnsi="Times New Roman" w:cs="Times New Roman"/>
          <w:sz w:val="24"/>
          <w:szCs w:val="24"/>
        </w:rPr>
        <w:t>prejudicialidade</w:t>
      </w:r>
      <w:proofErr w:type="spellEnd"/>
      <w:r>
        <w:rPr>
          <w:rFonts w:ascii="Times New Roman" w:hAnsi="Times New Roman" w:cs="Times New Roman"/>
          <w:sz w:val="24"/>
          <w:szCs w:val="24"/>
        </w:rPr>
        <w:t xml:space="preserve"> entre o pedido de julgamento da questão principal e a questão prejudicial” (ALMEIDA, 2013, p. 389). Isso porque</w:t>
      </w:r>
      <w:r w:rsidR="00673715">
        <w:rPr>
          <w:rFonts w:ascii="Times New Roman" w:hAnsi="Times New Roman" w:cs="Times New Roman"/>
          <w:sz w:val="24"/>
          <w:szCs w:val="24"/>
        </w:rPr>
        <w:t>,</w:t>
      </w:r>
      <w:r>
        <w:rPr>
          <w:rFonts w:ascii="Times New Roman" w:hAnsi="Times New Roman" w:cs="Times New Roman"/>
          <w:sz w:val="24"/>
          <w:szCs w:val="24"/>
        </w:rPr>
        <w:t xml:space="preserve"> de acordo com Laís Almeida não existe um pedido sem o outro, ora, se a prejudicial será controvertida, comprovada, e decidida pelo juiz para </w:t>
      </w:r>
      <w:r>
        <w:rPr>
          <w:rFonts w:ascii="Times New Roman" w:hAnsi="Times New Roman" w:cs="Times New Roman"/>
          <w:sz w:val="24"/>
          <w:szCs w:val="24"/>
        </w:rPr>
        <w:lastRenderedPageBreak/>
        <w:t>que possa chegar ao objeto principal, porque não deveria ser considerada julgada ?! (2013, p. 389).</w:t>
      </w:r>
    </w:p>
    <w:p w:rsidR="00D61AD3" w:rsidRDefault="00D61AD3" w:rsidP="009F25D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ampliação do limite objetivo da coisa julgada é visto por Laís Almeida, como um fator positivo, e um avanço, segundo ela “o sistema proposto pelo novo Código de Processo Civil altera positivamente o cenário, ao tornar indiscutíveis também </w:t>
      </w:r>
      <w:proofErr w:type="gramStart"/>
      <w:r>
        <w:rPr>
          <w:rFonts w:ascii="Times New Roman" w:hAnsi="Times New Roman" w:cs="Times New Roman"/>
          <w:sz w:val="24"/>
          <w:szCs w:val="24"/>
        </w:rPr>
        <w:t>as questões prejudicial”</w:t>
      </w:r>
      <w:proofErr w:type="gramEnd"/>
      <w:r>
        <w:rPr>
          <w:rFonts w:ascii="Times New Roman" w:hAnsi="Times New Roman" w:cs="Times New Roman"/>
          <w:sz w:val="24"/>
          <w:szCs w:val="24"/>
        </w:rPr>
        <w:t xml:space="preserve"> (ALMEIDA, 2013, p.349). Para esta autora “pretende-se estender a coisa julgada à questão prejudicial, que é indiscutivelmente importante para o provimento jurisdicional, já que o resultado da questão prejudicial é que dita como será decidida a questão principal” (ALMEIDA, 2013, p. 350).</w:t>
      </w:r>
    </w:p>
    <w:p w:rsidR="004E17F6" w:rsidRDefault="00D82CF6" w:rsidP="00CC7D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 Outras</w:t>
      </w:r>
      <w:r w:rsidR="004E17F6">
        <w:rPr>
          <w:rFonts w:ascii="Times New Roman" w:hAnsi="Times New Roman" w:cs="Times New Roman"/>
          <w:sz w:val="24"/>
          <w:szCs w:val="24"/>
        </w:rPr>
        <w:t xml:space="preserve"> mudanças do novo código de processo civil brasileiro</w:t>
      </w:r>
    </w:p>
    <w:p w:rsidR="00CC7DBB" w:rsidRDefault="004E17F6" w:rsidP="00CC7DBB">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No que diz respeito à coisa julgada não foi só o limite objetivo desta que foi ampliado, houve também algumas outras </w:t>
      </w:r>
      <w:r w:rsidR="00CC7DBB">
        <w:rPr>
          <w:rFonts w:ascii="Times New Roman" w:hAnsi="Times New Roman" w:cs="Times New Roman"/>
          <w:sz w:val="24"/>
          <w:szCs w:val="24"/>
        </w:rPr>
        <w:t xml:space="preserve">modificações, como “uma alteração no atual artigo 469 do Código de Processo Civil, o qual trata sobre as questões que não fazem coisa julgada, </w:t>
      </w:r>
      <w:r w:rsidR="00FE4FF2">
        <w:rPr>
          <w:rFonts w:ascii="Times New Roman" w:hAnsi="Times New Roman" w:cs="Times New Roman"/>
          <w:sz w:val="24"/>
          <w:szCs w:val="24"/>
        </w:rPr>
        <w:t>o projeto do novo Código tanto do Senado quanto da Câmara retirou</w:t>
      </w:r>
      <w:r w:rsidR="00CC7DBB">
        <w:rPr>
          <w:rFonts w:ascii="Times New Roman" w:hAnsi="Times New Roman" w:cs="Times New Roman"/>
          <w:sz w:val="24"/>
          <w:szCs w:val="24"/>
        </w:rPr>
        <w:t xml:space="preserve"> o inciso III- a apreciação da questão prejudicial, decidida incidentalmente no processo” (BUENO, 2014, p.259). </w:t>
      </w:r>
    </w:p>
    <w:p w:rsidR="004E17F6" w:rsidRDefault="00CC7DBB" w:rsidP="00CC7DBB">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Outra modificação referente à coisa julgada foi à alteração da segunda parte do artigo 472 do atual Código “a sentença faz coisa julgada às partes entre as quais é dada, não beneficiando, nem prejudicando terceiros</w:t>
      </w:r>
      <w:r w:rsidR="00A514C1">
        <w:rPr>
          <w:rFonts w:ascii="Times New Roman" w:hAnsi="Times New Roman" w:cs="Times New Roman"/>
          <w:sz w:val="24"/>
          <w:szCs w:val="24"/>
        </w:rPr>
        <w:t xml:space="preserve"> [...]</w:t>
      </w:r>
      <w:r>
        <w:rPr>
          <w:rFonts w:ascii="Times New Roman" w:hAnsi="Times New Roman" w:cs="Times New Roman"/>
          <w:sz w:val="24"/>
          <w:szCs w:val="24"/>
        </w:rPr>
        <w:t>” (BRASIL, 1973). O qual o projeto da Câmara “</w:t>
      </w:r>
      <w:r w:rsidR="00A514C1">
        <w:rPr>
          <w:rFonts w:ascii="Times New Roman" w:hAnsi="Times New Roman" w:cs="Times New Roman"/>
          <w:sz w:val="24"/>
          <w:szCs w:val="24"/>
        </w:rPr>
        <w:t xml:space="preserve">inova substancialmente, ao prevê que a coisa julgada não pode prejudicar </w:t>
      </w:r>
      <w:proofErr w:type="gramStart"/>
      <w:r w:rsidR="00A514C1">
        <w:rPr>
          <w:rFonts w:ascii="Times New Roman" w:hAnsi="Times New Roman" w:cs="Times New Roman"/>
          <w:sz w:val="24"/>
          <w:szCs w:val="24"/>
        </w:rPr>
        <w:t>terceiros”</w:t>
      </w:r>
      <w:proofErr w:type="gramEnd"/>
      <w:r w:rsidR="00A514C1">
        <w:rPr>
          <w:rFonts w:ascii="Times New Roman" w:hAnsi="Times New Roman" w:cs="Times New Roman"/>
          <w:sz w:val="24"/>
          <w:szCs w:val="24"/>
        </w:rPr>
        <w:t xml:space="preserve"> (BUENO, 2014, p. 260). Quando diz em seu artigo 517 “a sentença faz coisa julgada às partes entre as quais é dada, não prejudicando terceiro” (BRASIL, 2010).</w:t>
      </w:r>
    </w:p>
    <w:p w:rsidR="00A514C1" w:rsidRDefault="00A514C1" w:rsidP="00CC7DBB">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Houve ainda mudanças quanto ao rol de testemunhas, uma vez que de acordo com Vasconcelos o artigo 364, § 3º “se a causa apresentar complexidade em matéria de fato ou de direito, deverá o juiz designar audiência para que o saneamento seja feito em cooperação com as partes, nesta oportunidade, o juiz se for o caso, convidará as partes a integrar ou esclarecer suas alegações” (BRASIL, 2010)</w:t>
      </w:r>
      <w:r w:rsidR="00CC5260">
        <w:rPr>
          <w:rFonts w:ascii="Times New Roman" w:hAnsi="Times New Roman" w:cs="Times New Roman"/>
          <w:sz w:val="24"/>
          <w:szCs w:val="24"/>
        </w:rPr>
        <w:t>, ocorrendo isso as partes já devem leva</w:t>
      </w:r>
      <w:r w:rsidR="00FE4FF2">
        <w:rPr>
          <w:rFonts w:ascii="Times New Roman" w:hAnsi="Times New Roman" w:cs="Times New Roman"/>
          <w:sz w:val="24"/>
          <w:szCs w:val="24"/>
        </w:rPr>
        <w:t>r para a audiência ali prevista</w:t>
      </w:r>
      <w:r w:rsidR="00CC5260">
        <w:rPr>
          <w:rFonts w:ascii="Times New Roman" w:hAnsi="Times New Roman" w:cs="Times New Roman"/>
          <w:sz w:val="24"/>
          <w:szCs w:val="24"/>
        </w:rPr>
        <w:t xml:space="preserve"> seu rol de testemunhas, conforme dispõe o § 4º do mesmo artigo.</w:t>
      </w:r>
    </w:p>
    <w:p w:rsidR="00CC5260" w:rsidRPr="00D82CF6" w:rsidRDefault="00CC5260" w:rsidP="00CC7DBB">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Outra mudança presente no projeto de um novo Código de Processo Civil foi referente </w:t>
      </w:r>
      <w:r w:rsidR="00FE4FF2">
        <w:rPr>
          <w:rFonts w:ascii="Times New Roman" w:hAnsi="Times New Roman" w:cs="Times New Roman"/>
          <w:sz w:val="24"/>
          <w:szCs w:val="24"/>
        </w:rPr>
        <w:t>à</w:t>
      </w:r>
      <w:r>
        <w:rPr>
          <w:rFonts w:ascii="Times New Roman" w:hAnsi="Times New Roman" w:cs="Times New Roman"/>
          <w:sz w:val="24"/>
          <w:szCs w:val="24"/>
        </w:rPr>
        <w:t xml:space="preserve"> citação, intimação e penhoras,</w:t>
      </w:r>
      <w:r w:rsidR="00FE4FF2">
        <w:rPr>
          <w:rFonts w:ascii="Times New Roman" w:hAnsi="Times New Roman" w:cs="Times New Roman"/>
          <w:sz w:val="24"/>
          <w:szCs w:val="24"/>
        </w:rPr>
        <w:t xml:space="preserve"> na verdade esta pode ser vista como uma crítica,</w:t>
      </w:r>
      <w:r>
        <w:rPr>
          <w:rFonts w:ascii="Times New Roman" w:hAnsi="Times New Roman" w:cs="Times New Roman"/>
          <w:sz w:val="24"/>
          <w:szCs w:val="24"/>
        </w:rPr>
        <w:t xml:space="preserve"> uma vez que, como esclarece Vasconcelos no artigo 212, § 2º do novo Código há permissão da prática de citação, intimação e penhoras nas férias e feriados, e no artigo 214 do novo Código há uma vedaç</w:t>
      </w:r>
      <w:r w:rsidR="00FE4FF2">
        <w:rPr>
          <w:rFonts w:ascii="Times New Roman" w:hAnsi="Times New Roman" w:cs="Times New Roman"/>
          <w:sz w:val="24"/>
          <w:szCs w:val="24"/>
        </w:rPr>
        <w:t xml:space="preserve">ão do que antes foi permitido, </w:t>
      </w:r>
      <w:r>
        <w:rPr>
          <w:rFonts w:ascii="Times New Roman" w:hAnsi="Times New Roman" w:cs="Times New Roman"/>
          <w:sz w:val="24"/>
          <w:szCs w:val="24"/>
        </w:rPr>
        <w:t>só sendo possível citação e tutela de urgência, havendo assim clara contradição entre os dispositivos. (2013, p. 69).</w:t>
      </w:r>
    </w:p>
    <w:p w:rsidR="00D82CF6" w:rsidRDefault="00FE4FF2" w:rsidP="00370AF3">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Há que se falar ainda do calendário do processo e da ordem cronológica</w:t>
      </w:r>
      <w:r w:rsidR="00295442">
        <w:rPr>
          <w:rFonts w:ascii="Times New Roman" w:hAnsi="Times New Roman" w:cs="Times New Roman"/>
          <w:sz w:val="24"/>
          <w:szCs w:val="24"/>
        </w:rPr>
        <w:t>, já que “o projeto do novo CPC prevê um mecanismo, para a duração razoável do processo em que os processos deverão ser decididos em ordem cronológica obrigatória” (VASCONCELOS, 2013, p. 113).  Isto é, “trata-se do artigo 12, que prevê que os órgãos jurisdicionados deverão obedecer à ordem cronológica de conclusão para proferir sentença” (VASCONCELOS, 2013, p. 113).</w:t>
      </w:r>
    </w:p>
    <w:p w:rsidR="00D82CF6" w:rsidRDefault="00D82CF6" w:rsidP="00CC7DBB">
      <w:pPr>
        <w:spacing w:after="0" w:line="360" w:lineRule="auto"/>
        <w:ind w:firstLine="993"/>
        <w:jc w:val="both"/>
        <w:rPr>
          <w:rFonts w:ascii="Times New Roman" w:hAnsi="Times New Roman" w:cs="Times New Roman"/>
          <w:sz w:val="24"/>
          <w:szCs w:val="24"/>
        </w:rPr>
      </w:pPr>
      <w:r w:rsidRPr="00D82CF6">
        <w:rPr>
          <w:rFonts w:ascii="Times New Roman" w:hAnsi="Times New Roman" w:cs="Times New Roman"/>
          <w:sz w:val="24"/>
          <w:szCs w:val="24"/>
        </w:rPr>
        <w:t>Houve ainda uma ampliação dos poderes do juiz</w:t>
      </w:r>
      <w:r>
        <w:rPr>
          <w:rFonts w:ascii="Times New Roman" w:hAnsi="Times New Roman" w:cs="Times New Roman"/>
          <w:sz w:val="24"/>
          <w:szCs w:val="24"/>
        </w:rPr>
        <w:t xml:space="preserve"> uma vez que: </w:t>
      </w:r>
    </w:p>
    <w:p w:rsidR="00CC5260" w:rsidRPr="00D82CF6" w:rsidRDefault="00D82CF6" w:rsidP="00D82CF6">
      <w:pPr>
        <w:spacing w:after="0" w:line="240" w:lineRule="auto"/>
        <w:ind w:left="2268"/>
        <w:jc w:val="both"/>
        <w:rPr>
          <w:rFonts w:ascii="Times New Roman" w:hAnsi="Times New Roman" w:cs="Times New Roman"/>
          <w:sz w:val="20"/>
          <w:szCs w:val="20"/>
        </w:rPr>
      </w:pPr>
      <w:r w:rsidRPr="00D82CF6">
        <w:rPr>
          <w:rFonts w:ascii="Times New Roman" w:hAnsi="Times New Roman" w:cs="Times New Roman"/>
          <w:sz w:val="20"/>
          <w:szCs w:val="20"/>
        </w:rPr>
        <w:t xml:space="preserve">O projeto do novo CPC procura tornar o juiz um gerenciador do processo, capaz de impulsioná-lo para que este seja célere e efetivo, atendendo aos anseios da sociedade. Busca-se solucionar o problema da morosidade da justiça e da justiça das decisões e, por </w:t>
      </w:r>
      <w:proofErr w:type="spellStart"/>
      <w:r w:rsidRPr="00D82CF6">
        <w:rPr>
          <w:rFonts w:ascii="Times New Roman" w:hAnsi="Times New Roman" w:cs="Times New Roman"/>
          <w:sz w:val="20"/>
          <w:szCs w:val="20"/>
        </w:rPr>
        <w:t>conseqüência</w:t>
      </w:r>
      <w:proofErr w:type="spellEnd"/>
      <w:r w:rsidRPr="00D82CF6">
        <w:rPr>
          <w:rFonts w:ascii="Times New Roman" w:hAnsi="Times New Roman" w:cs="Times New Roman"/>
          <w:sz w:val="20"/>
          <w:szCs w:val="20"/>
        </w:rPr>
        <w:t xml:space="preserve">, trazer satisfação aos jurisdicionados. </w:t>
      </w:r>
    </w:p>
    <w:p w:rsidR="004E17F6" w:rsidRPr="00D82CF6" w:rsidRDefault="00D82CF6" w:rsidP="00D82CF6">
      <w:pPr>
        <w:spacing w:after="0" w:line="240" w:lineRule="auto"/>
        <w:ind w:left="2268"/>
        <w:jc w:val="both"/>
        <w:rPr>
          <w:rFonts w:ascii="Times New Roman" w:hAnsi="Times New Roman" w:cs="Times New Roman"/>
          <w:sz w:val="20"/>
          <w:szCs w:val="20"/>
        </w:rPr>
      </w:pPr>
      <w:r w:rsidRPr="00D82CF6">
        <w:rPr>
          <w:rFonts w:ascii="Times New Roman" w:hAnsi="Times New Roman" w:cs="Times New Roman"/>
          <w:sz w:val="20"/>
          <w:szCs w:val="20"/>
        </w:rPr>
        <w:t>(</w:t>
      </w:r>
      <w:r w:rsidRPr="00D82CF6">
        <w:rPr>
          <w:rFonts w:ascii="Times New Roman" w:hAnsi="Times New Roman" w:cs="Times New Roman"/>
          <w:color w:val="000000" w:themeColor="text1"/>
          <w:sz w:val="20"/>
          <w:szCs w:val="20"/>
        </w:rPr>
        <w:t xml:space="preserve">AVILA, </w:t>
      </w:r>
      <w:proofErr w:type="spellStart"/>
      <w:r w:rsidRPr="00D82CF6">
        <w:rPr>
          <w:rFonts w:ascii="Times New Roman" w:hAnsi="Times New Roman" w:cs="Times New Roman"/>
          <w:color w:val="000000" w:themeColor="text1"/>
          <w:sz w:val="20"/>
          <w:szCs w:val="20"/>
        </w:rPr>
        <w:t>Kellen</w:t>
      </w:r>
      <w:proofErr w:type="spellEnd"/>
      <w:r w:rsidRPr="00D82CF6">
        <w:rPr>
          <w:rFonts w:ascii="Times New Roman" w:hAnsi="Times New Roman" w:cs="Times New Roman"/>
          <w:color w:val="000000" w:themeColor="text1"/>
          <w:sz w:val="20"/>
          <w:szCs w:val="20"/>
        </w:rPr>
        <w:t xml:space="preserve"> Cristina de Andrade. </w:t>
      </w:r>
      <w:r w:rsidRPr="00D82CF6">
        <w:rPr>
          <w:rFonts w:ascii="Times New Roman" w:hAnsi="Times New Roman" w:cs="Times New Roman"/>
          <w:iCs/>
          <w:color w:val="000000" w:themeColor="text1"/>
          <w:sz w:val="20"/>
          <w:szCs w:val="20"/>
        </w:rPr>
        <w:t xml:space="preserve">Inovações constantes no projeto do novo Código de Processo Civil, 2014). </w:t>
      </w:r>
    </w:p>
    <w:p w:rsidR="004E17F6" w:rsidRDefault="004E17F6" w:rsidP="004E17F6">
      <w:pPr>
        <w:spacing w:line="360" w:lineRule="auto"/>
        <w:ind w:firstLine="1134"/>
        <w:jc w:val="both"/>
        <w:rPr>
          <w:rFonts w:ascii="Times New Roman" w:hAnsi="Times New Roman" w:cs="Times New Roman"/>
          <w:sz w:val="24"/>
          <w:szCs w:val="24"/>
        </w:rPr>
      </w:pPr>
    </w:p>
    <w:p w:rsidR="00C80833" w:rsidRDefault="00C80833" w:rsidP="00EE1CE7">
      <w:pPr>
        <w:spacing w:line="360" w:lineRule="auto"/>
        <w:jc w:val="both"/>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92135" w:rsidRDefault="00E92135" w:rsidP="00D61AD3">
      <w:pPr>
        <w:spacing w:line="360" w:lineRule="auto"/>
        <w:rPr>
          <w:rFonts w:ascii="Times New Roman" w:hAnsi="Times New Roman" w:cs="Times New Roman"/>
          <w:b/>
          <w:sz w:val="24"/>
          <w:szCs w:val="24"/>
        </w:rPr>
      </w:pPr>
    </w:p>
    <w:p w:rsidR="00E92135" w:rsidRDefault="00E92135" w:rsidP="00E92135">
      <w:pPr>
        <w:spacing w:line="360" w:lineRule="auto"/>
        <w:jc w:val="center"/>
        <w:rPr>
          <w:rFonts w:ascii="Times New Roman" w:hAnsi="Times New Roman" w:cs="Times New Roman"/>
          <w:b/>
          <w:sz w:val="24"/>
          <w:szCs w:val="24"/>
        </w:rPr>
      </w:pPr>
    </w:p>
    <w:p w:rsidR="00E846FD" w:rsidRDefault="00E846FD" w:rsidP="00E921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CONCLUSÃO</w:t>
      </w:r>
    </w:p>
    <w:p w:rsidR="00370AF3" w:rsidRDefault="00370AF3" w:rsidP="00653D6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objetivo do presente artigo foi</w:t>
      </w:r>
      <w:r w:rsidR="0004035E">
        <w:rPr>
          <w:rFonts w:ascii="Times New Roman" w:hAnsi="Times New Roman" w:cs="Times New Roman"/>
          <w:sz w:val="24"/>
          <w:szCs w:val="24"/>
        </w:rPr>
        <w:t xml:space="preserve"> trazer uma analise ao estudo da coisa julgada, assim como </w:t>
      </w:r>
      <w:r>
        <w:rPr>
          <w:rFonts w:ascii="Times New Roman" w:hAnsi="Times New Roman" w:cs="Times New Roman"/>
          <w:sz w:val="24"/>
          <w:szCs w:val="24"/>
        </w:rPr>
        <w:t xml:space="preserve">esclarecer </w:t>
      </w:r>
      <w:r w:rsidR="0004035E">
        <w:rPr>
          <w:rFonts w:ascii="Times New Roman" w:hAnsi="Times New Roman" w:cs="Times New Roman"/>
          <w:sz w:val="24"/>
          <w:szCs w:val="24"/>
        </w:rPr>
        <w:t>as modificações feitas pelo Novo Código de Processo Civil no que tange a coisa julgada, além disso, se buscou enumerar algumas das mudanças que foram trazidas pelos projetos de um novo CPC. Como se viu, a renovação do CPC se faz presente</w:t>
      </w:r>
      <w:r w:rsidR="00E92135">
        <w:rPr>
          <w:rFonts w:ascii="Times New Roman" w:hAnsi="Times New Roman" w:cs="Times New Roman"/>
          <w:sz w:val="24"/>
          <w:szCs w:val="24"/>
        </w:rPr>
        <w:t xml:space="preserve"> em nossa sociedade atual</w:t>
      </w:r>
      <w:r w:rsidR="0004035E">
        <w:rPr>
          <w:rFonts w:ascii="Times New Roman" w:hAnsi="Times New Roman" w:cs="Times New Roman"/>
          <w:sz w:val="24"/>
          <w:szCs w:val="24"/>
        </w:rPr>
        <w:t>, uma vez que o nosso atual Código data</w:t>
      </w:r>
      <w:r w:rsidR="00E92135">
        <w:rPr>
          <w:rFonts w:ascii="Times New Roman" w:hAnsi="Times New Roman" w:cs="Times New Roman"/>
          <w:sz w:val="24"/>
          <w:szCs w:val="24"/>
        </w:rPr>
        <w:t xml:space="preserve"> de 1973, isto é, quarenta anos. </w:t>
      </w:r>
    </w:p>
    <w:p w:rsidR="00653D65" w:rsidRDefault="00FC7166" w:rsidP="00653D6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disso, o artigo mostrou que a ampliação do limite objetivo da coisa julgada é vista como um verdadeiro avanço processual</w:t>
      </w:r>
      <w:r w:rsidR="00653D65">
        <w:rPr>
          <w:rFonts w:ascii="Times New Roman" w:hAnsi="Times New Roman" w:cs="Times New Roman"/>
          <w:sz w:val="24"/>
          <w:szCs w:val="24"/>
        </w:rPr>
        <w:t xml:space="preserve">, e não como um retrocesso, uma vez que agora é possível que eventuais questões prejudiciais sejam decididas no mesmo processo, o que era vedado pelo Código de Processo Civil de 1973, o que se busca com essa ampliação, assim como com um Novo Código de Processo Civil é a celeridade e a ficaria na solução do litigio. “Todos somos chamados a contribuir com o projeto do Novo Código, uma vez que seu feito será dividido igualmente por nós todos” (VASCONCELOS, 2013, p. 84). </w:t>
      </w:r>
    </w:p>
    <w:p w:rsidR="00FC7166" w:rsidRPr="00370AF3" w:rsidRDefault="00653D65" w:rsidP="0004035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370AF3" w:rsidRDefault="00370AF3" w:rsidP="00EE1CE7">
      <w:pPr>
        <w:spacing w:line="360" w:lineRule="auto"/>
        <w:jc w:val="both"/>
        <w:rPr>
          <w:rFonts w:ascii="Times New Roman" w:hAnsi="Times New Roman" w:cs="Times New Roman"/>
          <w:b/>
          <w:sz w:val="24"/>
          <w:szCs w:val="24"/>
        </w:rPr>
      </w:pPr>
    </w:p>
    <w:p w:rsidR="00370AF3" w:rsidRDefault="00370AF3" w:rsidP="00EE1CE7">
      <w:pPr>
        <w:spacing w:line="360" w:lineRule="auto"/>
        <w:jc w:val="both"/>
        <w:rPr>
          <w:rFonts w:ascii="Times New Roman" w:hAnsi="Times New Roman" w:cs="Times New Roman"/>
          <w:b/>
          <w:sz w:val="24"/>
          <w:szCs w:val="24"/>
        </w:rPr>
      </w:pPr>
    </w:p>
    <w:p w:rsidR="00370AF3" w:rsidRDefault="00370AF3" w:rsidP="00EE1CE7">
      <w:pPr>
        <w:spacing w:line="360" w:lineRule="auto"/>
        <w:jc w:val="both"/>
        <w:rPr>
          <w:rFonts w:ascii="Times New Roman" w:hAnsi="Times New Roman" w:cs="Times New Roman"/>
          <w:b/>
          <w:sz w:val="24"/>
          <w:szCs w:val="24"/>
        </w:rPr>
      </w:pPr>
    </w:p>
    <w:p w:rsidR="00370AF3" w:rsidRDefault="00370AF3" w:rsidP="00EE1CE7">
      <w:pPr>
        <w:spacing w:line="360" w:lineRule="auto"/>
        <w:jc w:val="both"/>
        <w:rPr>
          <w:rFonts w:ascii="Times New Roman" w:hAnsi="Times New Roman" w:cs="Times New Roman"/>
          <w:b/>
          <w:sz w:val="24"/>
          <w:szCs w:val="24"/>
        </w:rPr>
      </w:pPr>
    </w:p>
    <w:p w:rsidR="00370AF3" w:rsidRDefault="00370AF3" w:rsidP="00EE1CE7">
      <w:pPr>
        <w:spacing w:line="360" w:lineRule="auto"/>
        <w:jc w:val="both"/>
        <w:rPr>
          <w:rFonts w:ascii="Times New Roman" w:hAnsi="Times New Roman" w:cs="Times New Roman"/>
          <w:b/>
          <w:sz w:val="24"/>
          <w:szCs w:val="24"/>
        </w:rPr>
      </w:pPr>
    </w:p>
    <w:p w:rsidR="00370AF3" w:rsidRDefault="00370AF3" w:rsidP="00EE1CE7">
      <w:pPr>
        <w:spacing w:line="360" w:lineRule="auto"/>
        <w:jc w:val="both"/>
        <w:rPr>
          <w:rFonts w:ascii="Times New Roman" w:hAnsi="Times New Roman" w:cs="Times New Roman"/>
          <w:b/>
          <w:sz w:val="24"/>
          <w:szCs w:val="24"/>
        </w:rPr>
      </w:pPr>
    </w:p>
    <w:p w:rsidR="00370AF3" w:rsidRDefault="00370AF3" w:rsidP="00EE1CE7">
      <w:pPr>
        <w:spacing w:line="360" w:lineRule="auto"/>
        <w:jc w:val="both"/>
        <w:rPr>
          <w:rFonts w:ascii="Times New Roman" w:hAnsi="Times New Roman" w:cs="Times New Roman"/>
          <w:b/>
          <w:sz w:val="24"/>
          <w:szCs w:val="24"/>
        </w:rPr>
      </w:pPr>
    </w:p>
    <w:p w:rsidR="00370AF3" w:rsidRDefault="00370AF3" w:rsidP="00EE1CE7">
      <w:pPr>
        <w:spacing w:line="360" w:lineRule="auto"/>
        <w:jc w:val="both"/>
        <w:rPr>
          <w:rFonts w:ascii="Times New Roman" w:hAnsi="Times New Roman" w:cs="Times New Roman"/>
          <w:b/>
          <w:sz w:val="24"/>
          <w:szCs w:val="24"/>
        </w:rPr>
      </w:pPr>
    </w:p>
    <w:p w:rsidR="00370AF3" w:rsidRDefault="00370AF3" w:rsidP="00EE1CE7">
      <w:pPr>
        <w:spacing w:line="360" w:lineRule="auto"/>
        <w:jc w:val="both"/>
        <w:rPr>
          <w:rFonts w:ascii="Times New Roman" w:hAnsi="Times New Roman" w:cs="Times New Roman"/>
          <w:b/>
          <w:sz w:val="24"/>
          <w:szCs w:val="24"/>
        </w:rPr>
      </w:pPr>
    </w:p>
    <w:p w:rsidR="00653D65" w:rsidRDefault="00653D65" w:rsidP="00EE1CE7">
      <w:pPr>
        <w:spacing w:line="360" w:lineRule="auto"/>
        <w:jc w:val="both"/>
        <w:rPr>
          <w:rFonts w:ascii="Times New Roman" w:hAnsi="Times New Roman" w:cs="Times New Roman"/>
          <w:b/>
          <w:sz w:val="24"/>
          <w:szCs w:val="24"/>
        </w:rPr>
      </w:pPr>
    </w:p>
    <w:p w:rsidR="00653D65" w:rsidRDefault="00653D65" w:rsidP="00E92135">
      <w:pPr>
        <w:spacing w:line="360" w:lineRule="auto"/>
        <w:jc w:val="center"/>
        <w:rPr>
          <w:rFonts w:ascii="Times New Roman" w:hAnsi="Times New Roman" w:cs="Times New Roman"/>
          <w:b/>
          <w:sz w:val="24"/>
          <w:szCs w:val="24"/>
        </w:rPr>
      </w:pPr>
    </w:p>
    <w:p w:rsidR="00653D65" w:rsidRDefault="00653D65" w:rsidP="00E92135">
      <w:pPr>
        <w:spacing w:line="360" w:lineRule="auto"/>
        <w:jc w:val="center"/>
        <w:rPr>
          <w:rFonts w:ascii="Times New Roman" w:hAnsi="Times New Roman" w:cs="Times New Roman"/>
          <w:b/>
          <w:sz w:val="24"/>
          <w:szCs w:val="24"/>
        </w:rPr>
      </w:pPr>
    </w:p>
    <w:p w:rsidR="00EE1CE7" w:rsidRDefault="00E92135" w:rsidP="00E921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653D65" w:rsidRPr="00DD0519" w:rsidRDefault="00DD0519" w:rsidP="00DD0519">
      <w:pPr>
        <w:spacing w:line="360" w:lineRule="auto"/>
        <w:rPr>
          <w:rFonts w:ascii="Times New Roman" w:hAnsi="Times New Roman" w:cs="Times New Roman"/>
          <w:bCs/>
          <w:sz w:val="24"/>
          <w:szCs w:val="24"/>
        </w:rPr>
      </w:pPr>
      <w:r w:rsidRPr="00EB1EDE">
        <w:rPr>
          <w:rFonts w:ascii="Times New Roman" w:hAnsi="Times New Roman" w:cs="Times New Roman"/>
          <w:bCs/>
          <w:sz w:val="24"/>
          <w:szCs w:val="24"/>
        </w:rPr>
        <w:t xml:space="preserve">ALMEIDA, </w:t>
      </w:r>
      <w:proofErr w:type="spellStart"/>
      <w:r w:rsidRPr="00EB1EDE">
        <w:rPr>
          <w:rFonts w:ascii="Times New Roman" w:hAnsi="Times New Roman" w:cs="Times New Roman"/>
          <w:bCs/>
          <w:sz w:val="24"/>
          <w:szCs w:val="24"/>
        </w:rPr>
        <w:t>Lais</w:t>
      </w:r>
      <w:proofErr w:type="spellEnd"/>
      <w:r w:rsidRPr="00EB1EDE">
        <w:rPr>
          <w:rFonts w:ascii="Times New Roman" w:hAnsi="Times New Roman" w:cs="Times New Roman"/>
          <w:bCs/>
          <w:sz w:val="24"/>
          <w:szCs w:val="24"/>
        </w:rPr>
        <w:t xml:space="preserve"> Fernandes</w:t>
      </w:r>
      <w:r>
        <w:rPr>
          <w:rFonts w:ascii="Times New Roman" w:hAnsi="Times New Roman" w:cs="Times New Roman"/>
          <w:bCs/>
          <w:sz w:val="24"/>
          <w:szCs w:val="24"/>
        </w:rPr>
        <w:t xml:space="preserve">. </w:t>
      </w:r>
      <w:r w:rsidRPr="00706B1F">
        <w:rPr>
          <w:rFonts w:ascii="Times New Roman" w:hAnsi="Times New Roman" w:cs="Times New Roman"/>
          <w:b/>
          <w:bCs/>
          <w:sz w:val="24"/>
          <w:szCs w:val="24"/>
        </w:rPr>
        <w:t>A extensão da coisa julgada no novo CPC e a extensão da ação declaratória incidental: Uma medida de segurança jurídica</w:t>
      </w:r>
      <w:r>
        <w:rPr>
          <w:rFonts w:ascii="Times New Roman" w:hAnsi="Times New Roman" w:cs="Times New Roman"/>
          <w:bCs/>
          <w:sz w:val="24"/>
          <w:szCs w:val="24"/>
        </w:rPr>
        <w:t>. Rio de Janeiro: Revista Eletrônica de Direito Processual – REDP. Volume XII, 2013.</w:t>
      </w:r>
    </w:p>
    <w:p w:rsidR="00DD0519" w:rsidRPr="00DD0519" w:rsidRDefault="00DD0519" w:rsidP="00DD0519">
      <w:pPr>
        <w:spacing w:line="360" w:lineRule="auto"/>
        <w:rPr>
          <w:rFonts w:ascii="Times New Roman" w:hAnsi="Times New Roman" w:cs="Times New Roman"/>
          <w:b/>
          <w:sz w:val="24"/>
          <w:szCs w:val="24"/>
        </w:rPr>
      </w:pPr>
      <w:r w:rsidRPr="00565393">
        <w:rPr>
          <w:rFonts w:ascii="Times New Roman" w:hAnsi="Times New Roman" w:cs="Times New Roman"/>
          <w:color w:val="000000" w:themeColor="text1"/>
          <w:sz w:val="24"/>
          <w:szCs w:val="24"/>
        </w:rPr>
        <w:t xml:space="preserve">AVILA, </w:t>
      </w:r>
      <w:proofErr w:type="spellStart"/>
      <w:r w:rsidRPr="00565393">
        <w:rPr>
          <w:rFonts w:ascii="Times New Roman" w:hAnsi="Times New Roman" w:cs="Times New Roman"/>
          <w:color w:val="000000" w:themeColor="text1"/>
          <w:sz w:val="24"/>
          <w:szCs w:val="24"/>
        </w:rPr>
        <w:t>Kellen</w:t>
      </w:r>
      <w:proofErr w:type="spellEnd"/>
      <w:r w:rsidRPr="00565393">
        <w:rPr>
          <w:rFonts w:ascii="Times New Roman" w:hAnsi="Times New Roman" w:cs="Times New Roman"/>
          <w:color w:val="000000" w:themeColor="text1"/>
          <w:sz w:val="24"/>
          <w:szCs w:val="24"/>
        </w:rPr>
        <w:t xml:space="preserve"> Cristina de Andrade. </w:t>
      </w:r>
      <w:r w:rsidRPr="00565393">
        <w:rPr>
          <w:rFonts w:ascii="Times New Roman" w:hAnsi="Times New Roman" w:cs="Times New Roman"/>
          <w:b/>
          <w:iCs/>
          <w:color w:val="000000" w:themeColor="text1"/>
          <w:sz w:val="24"/>
          <w:szCs w:val="24"/>
        </w:rPr>
        <w:t>Inovações constantes no projeto do novo Código de Processo Civil</w:t>
      </w:r>
      <w:r>
        <w:rPr>
          <w:rFonts w:ascii="Times New Roman" w:hAnsi="Times New Roman" w:cs="Times New Roman"/>
          <w:iCs/>
          <w:color w:val="000000" w:themeColor="text1"/>
          <w:sz w:val="24"/>
          <w:szCs w:val="24"/>
        </w:rPr>
        <w:t xml:space="preserve"> (PLS 166/2010). </w:t>
      </w:r>
      <w:r w:rsidRPr="00565393">
        <w:rPr>
          <w:rFonts w:ascii="Times New Roman" w:hAnsi="Times New Roman" w:cs="Times New Roman"/>
          <w:color w:val="000000" w:themeColor="text1"/>
          <w:sz w:val="24"/>
          <w:szCs w:val="24"/>
        </w:rPr>
        <w:t xml:space="preserve">Conteúdo Jurídico, </w:t>
      </w:r>
      <w:proofErr w:type="spellStart"/>
      <w:proofErr w:type="gramStart"/>
      <w:r w:rsidRPr="00565393">
        <w:rPr>
          <w:rFonts w:ascii="Times New Roman" w:hAnsi="Times New Roman" w:cs="Times New Roman"/>
          <w:color w:val="000000" w:themeColor="text1"/>
          <w:sz w:val="24"/>
          <w:szCs w:val="24"/>
        </w:rPr>
        <w:t>Brasilia-DF</w:t>
      </w:r>
      <w:proofErr w:type="spellEnd"/>
      <w:proofErr w:type="gramEnd"/>
      <w:r w:rsidRPr="00565393">
        <w:rPr>
          <w:rFonts w:ascii="Times New Roman" w:hAnsi="Times New Roman" w:cs="Times New Roman"/>
          <w:color w:val="000000" w:themeColor="text1"/>
          <w:sz w:val="24"/>
          <w:szCs w:val="24"/>
        </w:rPr>
        <w:t>: 07 mar. 2014. Disponível em: &lt;&lt;</w:t>
      </w:r>
      <w:r w:rsidRPr="00565393">
        <w:rPr>
          <w:color w:val="000000" w:themeColor="text1"/>
        </w:rPr>
        <w:t xml:space="preserve"> </w:t>
      </w:r>
      <w:hyperlink r:id="rId7" w:history="1">
        <w:r w:rsidRPr="00565393">
          <w:rPr>
            <w:rStyle w:val="Hyperlink"/>
            <w:rFonts w:ascii="Times New Roman" w:hAnsi="Times New Roman" w:cs="Times New Roman"/>
            <w:color w:val="000000" w:themeColor="text1"/>
            <w:sz w:val="24"/>
            <w:szCs w:val="24"/>
          </w:rPr>
          <w:t>http://www.conteudojuridico.com.br/artigo,inovacoes-constantes-no-projeto-do-novo-codigo-de-processo-civil-pls-1662010,47268.html</w:t>
        </w:r>
      </w:hyperlink>
      <w:r w:rsidRPr="00565393">
        <w:rPr>
          <w:rFonts w:ascii="Times New Roman" w:hAnsi="Times New Roman" w:cs="Times New Roman"/>
          <w:color w:val="000000" w:themeColor="text1"/>
          <w:sz w:val="24"/>
          <w:szCs w:val="24"/>
        </w:rPr>
        <w:t>&gt;&gt;.</w:t>
      </w:r>
      <w:r>
        <w:rPr>
          <w:rFonts w:ascii="Times New Roman" w:hAnsi="Times New Roman" w:cs="Times New Roman"/>
          <w:color w:val="000000" w:themeColor="text1"/>
          <w:sz w:val="24"/>
          <w:szCs w:val="24"/>
        </w:rPr>
        <w:t xml:space="preserve"> Acesso em: </w:t>
      </w:r>
      <w:proofErr w:type="gramStart"/>
      <w:r>
        <w:rPr>
          <w:rFonts w:ascii="Times New Roman" w:hAnsi="Times New Roman" w:cs="Times New Roman"/>
          <w:color w:val="000000" w:themeColor="text1"/>
          <w:sz w:val="24"/>
          <w:szCs w:val="24"/>
        </w:rPr>
        <w:t>18 out</w:t>
      </w:r>
      <w:proofErr w:type="gramEnd"/>
      <w:r>
        <w:rPr>
          <w:rFonts w:ascii="Times New Roman" w:hAnsi="Times New Roman" w:cs="Times New Roman"/>
          <w:color w:val="000000" w:themeColor="text1"/>
          <w:sz w:val="24"/>
          <w:szCs w:val="24"/>
        </w:rPr>
        <w:t>, 2014.</w:t>
      </w:r>
    </w:p>
    <w:p w:rsidR="00653D65" w:rsidRPr="004D5A10" w:rsidRDefault="00653D65" w:rsidP="00653D65">
      <w:pPr>
        <w:rPr>
          <w:rFonts w:ascii="Times New Roman" w:hAnsi="Times New Roman" w:cs="Times New Roman"/>
          <w:sz w:val="24"/>
          <w:szCs w:val="24"/>
        </w:rPr>
      </w:pPr>
      <w:r w:rsidRPr="004D5A10">
        <w:rPr>
          <w:rFonts w:ascii="Times New Roman" w:hAnsi="Times New Roman" w:cs="Times New Roman"/>
          <w:sz w:val="24"/>
          <w:szCs w:val="24"/>
        </w:rPr>
        <w:t xml:space="preserve">BUENO, </w:t>
      </w:r>
      <w:proofErr w:type="spellStart"/>
      <w:r w:rsidRPr="004D5A10">
        <w:rPr>
          <w:rFonts w:ascii="Times New Roman" w:hAnsi="Times New Roman" w:cs="Times New Roman"/>
          <w:sz w:val="24"/>
          <w:szCs w:val="24"/>
        </w:rPr>
        <w:t>Cassio</w:t>
      </w:r>
      <w:proofErr w:type="spellEnd"/>
      <w:r w:rsidRPr="004D5A10">
        <w:rPr>
          <w:rFonts w:ascii="Times New Roman" w:hAnsi="Times New Roman" w:cs="Times New Roman"/>
          <w:sz w:val="24"/>
          <w:szCs w:val="24"/>
        </w:rPr>
        <w:t xml:space="preserve"> </w:t>
      </w:r>
      <w:proofErr w:type="spellStart"/>
      <w:r w:rsidRPr="004D5A10">
        <w:rPr>
          <w:rFonts w:ascii="Times New Roman" w:hAnsi="Times New Roman" w:cs="Times New Roman"/>
          <w:sz w:val="24"/>
          <w:szCs w:val="24"/>
        </w:rPr>
        <w:t>Scarpinella</w:t>
      </w:r>
      <w:proofErr w:type="spellEnd"/>
      <w:r w:rsidRPr="004D5A10">
        <w:rPr>
          <w:rFonts w:ascii="Times New Roman" w:hAnsi="Times New Roman" w:cs="Times New Roman"/>
          <w:sz w:val="24"/>
          <w:szCs w:val="24"/>
        </w:rPr>
        <w:t xml:space="preserve">. </w:t>
      </w:r>
      <w:r w:rsidRPr="004D5A10">
        <w:rPr>
          <w:rFonts w:ascii="Times New Roman" w:hAnsi="Times New Roman" w:cs="Times New Roman"/>
          <w:b/>
          <w:iCs/>
          <w:sz w:val="24"/>
          <w:szCs w:val="24"/>
        </w:rPr>
        <w:t>Projetos do novo código de processo civil</w:t>
      </w:r>
      <w:r w:rsidRPr="004D5A10">
        <w:rPr>
          <w:rFonts w:ascii="Times New Roman" w:hAnsi="Times New Roman" w:cs="Times New Roman"/>
          <w:iCs/>
          <w:sz w:val="24"/>
          <w:szCs w:val="24"/>
        </w:rPr>
        <w:t xml:space="preserve"> – comparados e anotados</w:t>
      </w:r>
      <w:r w:rsidRPr="004D5A10">
        <w:rPr>
          <w:rFonts w:ascii="Times New Roman" w:hAnsi="Times New Roman" w:cs="Times New Roman"/>
          <w:sz w:val="24"/>
          <w:szCs w:val="24"/>
        </w:rPr>
        <w:t xml:space="preserve">. São Paulo: </w:t>
      </w:r>
      <w:proofErr w:type="gramStart"/>
      <w:r w:rsidRPr="004D5A10">
        <w:rPr>
          <w:rFonts w:ascii="Times New Roman" w:hAnsi="Times New Roman" w:cs="Times New Roman"/>
          <w:sz w:val="24"/>
          <w:szCs w:val="24"/>
        </w:rPr>
        <w:t>Saraiva,</w:t>
      </w:r>
      <w:proofErr w:type="gramEnd"/>
      <w:r w:rsidRPr="004D5A10">
        <w:rPr>
          <w:rFonts w:ascii="Times New Roman" w:hAnsi="Times New Roman" w:cs="Times New Roman"/>
          <w:sz w:val="24"/>
          <w:szCs w:val="24"/>
        </w:rPr>
        <w:t xml:space="preserve"> 2014.</w:t>
      </w:r>
    </w:p>
    <w:p w:rsidR="00DD0519" w:rsidRPr="00DD0519" w:rsidRDefault="00DD0519" w:rsidP="00DD0519">
      <w:pPr>
        <w:rPr>
          <w:rFonts w:ascii="Times New Roman" w:hAnsi="Times New Roman" w:cs="Times New Roman"/>
          <w:b/>
          <w:bCs/>
          <w:sz w:val="24"/>
          <w:szCs w:val="24"/>
        </w:rPr>
      </w:pPr>
      <w:r w:rsidRPr="004D5A10">
        <w:rPr>
          <w:rFonts w:ascii="Times New Roman" w:hAnsi="Times New Roman" w:cs="Times New Roman"/>
          <w:sz w:val="24"/>
          <w:szCs w:val="24"/>
        </w:rPr>
        <w:t xml:space="preserve">DIDIER, </w:t>
      </w:r>
      <w:proofErr w:type="spellStart"/>
      <w:r w:rsidRPr="004D5A10">
        <w:rPr>
          <w:rFonts w:ascii="Times New Roman" w:hAnsi="Times New Roman" w:cs="Times New Roman"/>
          <w:sz w:val="24"/>
          <w:szCs w:val="24"/>
        </w:rPr>
        <w:t>Fredie</w:t>
      </w:r>
      <w:proofErr w:type="spellEnd"/>
      <w:r w:rsidRPr="004D5A10">
        <w:rPr>
          <w:rFonts w:ascii="Times New Roman" w:hAnsi="Times New Roman" w:cs="Times New Roman"/>
          <w:sz w:val="24"/>
          <w:szCs w:val="24"/>
        </w:rPr>
        <w:t xml:space="preserve">. BRAGA, Paula Sarno. OLIVEIRA, Rafael Alexandre. </w:t>
      </w:r>
      <w:r w:rsidRPr="004D5A10">
        <w:rPr>
          <w:rFonts w:ascii="Times New Roman" w:hAnsi="Times New Roman" w:cs="Times New Roman"/>
          <w:b/>
          <w:sz w:val="24"/>
          <w:szCs w:val="24"/>
        </w:rPr>
        <w:t>Curso de Direito Processual Civil</w:t>
      </w:r>
      <w:r w:rsidRPr="004D5A10">
        <w:rPr>
          <w:rFonts w:ascii="Times New Roman" w:hAnsi="Times New Roman" w:cs="Times New Roman"/>
          <w:sz w:val="24"/>
          <w:szCs w:val="24"/>
        </w:rPr>
        <w:t xml:space="preserve">. Salvador: </w:t>
      </w:r>
      <w:proofErr w:type="spellStart"/>
      <w:r w:rsidRPr="004D5A10">
        <w:rPr>
          <w:rFonts w:ascii="Times New Roman" w:hAnsi="Times New Roman" w:cs="Times New Roman"/>
          <w:sz w:val="24"/>
          <w:szCs w:val="24"/>
        </w:rPr>
        <w:t>Juspodivm</w:t>
      </w:r>
      <w:proofErr w:type="spellEnd"/>
      <w:r w:rsidRPr="004D5A10">
        <w:rPr>
          <w:rFonts w:ascii="Times New Roman" w:hAnsi="Times New Roman" w:cs="Times New Roman"/>
          <w:sz w:val="24"/>
          <w:szCs w:val="24"/>
        </w:rPr>
        <w:t>, 2014.</w:t>
      </w:r>
    </w:p>
    <w:p w:rsidR="00DD0519" w:rsidRDefault="00DD0519" w:rsidP="00DD0519">
      <w:pPr>
        <w:autoSpaceDE w:val="0"/>
        <w:autoSpaceDN w:val="0"/>
        <w:adjustRightInd w:val="0"/>
        <w:jc w:val="both"/>
        <w:rPr>
          <w:rFonts w:ascii="Times New Roman" w:hAnsi="Times New Roman" w:cs="Times New Roman"/>
          <w:sz w:val="24"/>
          <w:szCs w:val="24"/>
        </w:rPr>
      </w:pPr>
      <w:r w:rsidRPr="004D5A10">
        <w:rPr>
          <w:rFonts w:ascii="Times New Roman" w:hAnsi="Times New Roman" w:cs="Times New Roman"/>
          <w:sz w:val="24"/>
          <w:szCs w:val="24"/>
        </w:rPr>
        <w:t xml:space="preserve">FREIRE, Alexandre et. </w:t>
      </w:r>
      <w:proofErr w:type="spellStart"/>
      <w:r w:rsidRPr="004D5A10">
        <w:rPr>
          <w:rFonts w:ascii="Times New Roman" w:hAnsi="Times New Roman" w:cs="Times New Roman"/>
          <w:sz w:val="24"/>
          <w:szCs w:val="24"/>
        </w:rPr>
        <w:t>all</w:t>
      </w:r>
      <w:proofErr w:type="spellEnd"/>
      <w:r w:rsidRPr="004D5A10">
        <w:rPr>
          <w:rFonts w:ascii="Times New Roman" w:hAnsi="Times New Roman" w:cs="Times New Roman"/>
          <w:sz w:val="24"/>
          <w:szCs w:val="24"/>
        </w:rPr>
        <w:t xml:space="preserve">. (Org.). </w:t>
      </w:r>
      <w:r w:rsidRPr="004D5A10">
        <w:rPr>
          <w:rFonts w:ascii="Times New Roman" w:hAnsi="Times New Roman" w:cs="Times New Roman"/>
          <w:b/>
          <w:iCs/>
          <w:sz w:val="24"/>
          <w:szCs w:val="24"/>
        </w:rPr>
        <w:t>Novas tendências do Processo Civil</w:t>
      </w:r>
      <w:r w:rsidRPr="004D5A10">
        <w:rPr>
          <w:rFonts w:ascii="Times New Roman" w:hAnsi="Times New Roman" w:cs="Times New Roman"/>
          <w:i/>
          <w:iCs/>
          <w:sz w:val="24"/>
          <w:szCs w:val="24"/>
        </w:rPr>
        <w:t xml:space="preserve">. </w:t>
      </w:r>
      <w:r w:rsidRPr="004D5A10">
        <w:rPr>
          <w:rFonts w:ascii="Times New Roman" w:hAnsi="Times New Roman" w:cs="Times New Roman"/>
          <w:sz w:val="24"/>
          <w:szCs w:val="24"/>
        </w:rPr>
        <w:t xml:space="preserve">Estudos sobre o Projeto do Novo Código de Processo Civil. Salvador: </w:t>
      </w:r>
      <w:proofErr w:type="spellStart"/>
      <w:proofErr w:type="gramStart"/>
      <w:r w:rsidRPr="004D5A10">
        <w:rPr>
          <w:rFonts w:ascii="Times New Roman" w:hAnsi="Times New Roman" w:cs="Times New Roman"/>
          <w:sz w:val="24"/>
          <w:szCs w:val="24"/>
        </w:rPr>
        <w:t>JusPodivm</w:t>
      </w:r>
      <w:proofErr w:type="spellEnd"/>
      <w:proofErr w:type="gramEnd"/>
      <w:r w:rsidRPr="004D5A10">
        <w:rPr>
          <w:rFonts w:ascii="Times New Roman" w:hAnsi="Times New Roman" w:cs="Times New Roman"/>
          <w:sz w:val="24"/>
          <w:szCs w:val="24"/>
        </w:rPr>
        <w:t>, 2014.</w:t>
      </w:r>
    </w:p>
    <w:p w:rsidR="00653D65" w:rsidRDefault="00653D65" w:rsidP="00653D65">
      <w:pPr>
        <w:spacing w:line="360" w:lineRule="auto"/>
        <w:rPr>
          <w:rFonts w:ascii="Times New Roman" w:hAnsi="Times New Roman" w:cs="Times New Roman"/>
          <w:sz w:val="24"/>
          <w:szCs w:val="24"/>
        </w:rPr>
      </w:pPr>
      <w:r w:rsidRPr="004D5A10">
        <w:rPr>
          <w:rFonts w:ascii="Times New Roman" w:hAnsi="Times New Roman" w:cs="Times New Roman"/>
          <w:sz w:val="24"/>
          <w:szCs w:val="24"/>
        </w:rPr>
        <w:t xml:space="preserve">ROQUE, André </w:t>
      </w:r>
      <w:proofErr w:type="gramStart"/>
      <w:r w:rsidRPr="004D5A10">
        <w:rPr>
          <w:rFonts w:ascii="Times New Roman" w:hAnsi="Times New Roman" w:cs="Times New Roman"/>
          <w:sz w:val="24"/>
          <w:szCs w:val="24"/>
        </w:rPr>
        <w:t>Vasconcelos(</w:t>
      </w:r>
      <w:proofErr w:type="gramEnd"/>
      <w:r w:rsidRPr="004D5A10">
        <w:rPr>
          <w:rFonts w:ascii="Times New Roman" w:hAnsi="Times New Roman" w:cs="Times New Roman"/>
          <w:sz w:val="24"/>
          <w:szCs w:val="24"/>
        </w:rPr>
        <w:t xml:space="preserve">coordenador) Ex </w:t>
      </w:r>
      <w:proofErr w:type="spellStart"/>
      <w:r w:rsidRPr="004D5A10">
        <w:rPr>
          <w:rFonts w:ascii="Times New Roman" w:hAnsi="Times New Roman" w:cs="Times New Roman"/>
          <w:sz w:val="24"/>
          <w:szCs w:val="24"/>
        </w:rPr>
        <w:t>All</w:t>
      </w:r>
      <w:proofErr w:type="spellEnd"/>
      <w:r w:rsidRPr="004D5A10">
        <w:rPr>
          <w:rFonts w:ascii="Times New Roman" w:hAnsi="Times New Roman" w:cs="Times New Roman"/>
          <w:sz w:val="24"/>
          <w:szCs w:val="24"/>
        </w:rPr>
        <w:t xml:space="preserve">. </w:t>
      </w:r>
      <w:r w:rsidRPr="004D5A10">
        <w:rPr>
          <w:rFonts w:ascii="Times New Roman" w:hAnsi="Times New Roman" w:cs="Times New Roman"/>
          <w:b/>
          <w:sz w:val="24"/>
          <w:szCs w:val="24"/>
        </w:rPr>
        <w:t>O projeto do novo código de processo civil</w:t>
      </w:r>
      <w:r w:rsidRPr="004D5A10">
        <w:rPr>
          <w:rFonts w:ascii="Times New Roman" w:hAnsi="Times New Roman" w:cs="Times New Roman"/>
          <w:sz w:val="24"/>
          <w:szCs w:val="24"/>
        </w:rPr>
        <w:t xml:space="preserve">: uma análise crítica. 1. Ed. Brasília DF: Gazeta </w:t>
      </w:r>
      <w:proofErr w:type="gramStart"/>
      <w:r w:rsidRPr="004D5A10">
        <w:rPr>
          <w:rFonts w:ascii="Times New Roman" w:hAnsi="Times New Roman" w:cs="Times New Roman"/>
          <w:sz w:val="24"/>
          <w:szCs w:val="24"/>
        </w:rPr>
        <w:t>Jurídica,</w:t>
      </w:r>
      <w:proofErr w:type="gramEnd"/>
      <w:r w:rsidRPr="004D5A10">
        <w:rPr>
          <w:rFonts w:ascii="Times New Roman" w:hAnsi="Times New Roman" w:cs="Times New Roman"/>
          <w:sz w:val="24"/>
          <w:szCs w:val="24"/>
        </w:rPr>
        <w:t>2013.</w:t>
      </w:r>
    </w:p>
    <w:p w:rsidR="00DD0519" w:rsidRDefault="00DD0519" w:rsidP="00DD0519">
      <w:pPr>
        <w:spacing w:after="0" w:line="240" w:lineRule="auto"/>
        <w:ind w:left="360" w:right="-77"/>
        <w:rPr>
          <w:rFonts w:ascii="Times New Roman" w:hAnsi="Times New Roman" w:cs="Times New Roman"/>
          <w:b/>
          <w:bCs/>
          <w:sz w:val="24"/>
          <w:szCs w:val="24"/>
        </w:rPr>
      </w:pPr>
    </w:p>
    <w:p w:rsidR="00DD0519" w:rsidRPr="00E92135" w:rsidRDefault="00DD0519">
      <w:pPr>
        <w:spacing w:line="360" w:lineRule="auto"/>
        <w:rPr>
          <w:rFonts w:ascii="Times New Roman" w:hAnsi="Times New Roman" w:cs="Times New Roman"/>
          <w:b/>
          <w:sz w:val="24"/>
          <w:szCs w:val="24"/>
        </w:rPr>
      </w:pPr>
      <w:bookmarkStart w:id="0" w:name="_GoBack"/>
      <w:bookmarkEnd w:id="0"/>
    </w:p>
    <w:sectPr w:rsidR="00DD0519" w:rsidRPr="00E92135" w:rsidSect="00922A37">
      <w:headerReference w:type="default" r:id="rId8"/>
      <w:headerReference w:type="first" r:id="rId9"/>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E67" w:rsidRDefault="00762E67" w:rsidP="00B336C6">
      <w:pPr>
        <w:spacing w:after="0" w:line="240" w:lineRule="auto"/>
      </w:pPr>
      <w:r>
        <w:separator/>
      </w:r>
    </w:p>
  </w:endnote>
  <w:endnote w:type="continuationSeparator" w:id="0">
    <w:p w:rsidR="00762E67" w:rsidRDefault="00762E67" w:rsidP="00B33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E67" w:rsidRDefault="00762E67" w:rsidP="00B336C6">
      <w:pPr>
        <w:spacing w:after="0" w:line="240" w:lineRule="auto"/>
      </w:pPr>
      <w:r>
        <w:separator/>
      </w:r>
    </w:p>
  </w:footnote>
  <w:footnote w:type="continuationSeparator" w:id="0">
    <w:p w:rsidR="00762E67" w:rsidRDefault="00762E67" w:rsidP="00B336C6">
      <w:pPr>
        <w:spacing w:after="0" w:line="240" w:lineRule="auto"/>
      </w:pPr>
      <w:r>
        <w:continuationSeparator/>
      </w:r>
    </w:p>
  </w:footnote>
  <w:footnote w:id="1">
    <w:p w:rsidR="00B336C6" w:rsidRPr="00B336C6" w:rsidRDefault="00B336C6" w:rsidP="00B336C6">
      <w:pPr>
        <w:autoSpaceDE w:val="0"/>
        <w:autoSpaceDN w:val="0"/>
        <w:adjustRightInd w:val="0"/>
        <w:spacing w:after="0" w:line="240" w:lineRule="auto"/>
        <w:rPr>
          <w:rFonts w:ascii="Times New Roman" w:hAnsi="Times New Roman" w:cs="Times New Roman"/>
          <w:sz w:val="20"/>
          <w:szCs w:val="20"/>
        </w:rPr>
      </w:pPr>
      <w:r>
        <w:rPr>
          <w:rStyle w:val="Refdenotaderodap"/>
        </w:rPr>
        <w:footnoteRef/>
      </w:r>
      <w:r>
        <w:t xml:space="preserve"> </w:t>
      </w:r>
      <w:proofErr w:type="spellStart"/>
      <w:r w:rsidRPr="00B336C6">
        <w:rPr>
          <w:rFonts w:ascii="Times New Roman" w:hAnsi="Times New Roman" w:cs="Times New Roman"/>
          <w:sz w:val="20"/>
          <w:szCs w:val="20"/>
        </w:rPr>
        <w:t>Paper</w:t>
      </w:r>
      <w:proofErr w:type="spellEnd"/>
      <w:r>
        <w:rPr>
          <w:rFonts w:ascii="Times New Roman" w:hAnsi="Times New Roman" w:cs="Times New Roman"/>
          <w:sz w:val="20"/>
          <w:szCs w:val="20"/>
        </w:rPr>
        <w:t xml:space="preserve"> apresentado à disciplina Processo do Conhecimento II, da Unidade de Ensino Superior </w:t>
      </w:r>
      <w:r w:rsidRPr="00B336C6">
        <w:rPr>
          <w:rFonts w:ascii="Times New Roman" w:hAnsi="Times New Roman" w:cs="Times New Roman"/>
          <w:sz w:val="20"/>
          <w:szCs w:val="20"/>
        </w:rPr>
        <w:t>Dom Bosco - UNDB.</w:t>
      </w:r>
    </w:p>
  </w:footnote>
  <w:footnote w:id="2">
    <w:p w:rsidR="00B336C6" w:rsidRPr="00B336C6" w:rsidRDefault="00B336C6">
      <w:pPr>
        <w:pStyle w:val="Textodenotaderodap"/>
        <w:rPr>
          <w:rFonts w:ascii="Times New Roman" w:hAnsi="Times New Roman" w:cs="Times New Roman"/>
        </w:rPr>
      </w:pPr>
      <w:r w:rsidRPr="00B336C6">
        <w:rPr>
          <w:rStyle w:val="Refdenotaderodap"/>
          <w:rFonts w:ascii="Times New Roman" w:hAnsi="Times New Roman" w:cs="Times New Roman"/>
        </w:rPr>
        <w:footnoteRef/>
      </w:r>
      <w:r w:rsidRPr="00B336C6">
        <w:rPr>
          <w:rFonts w:ascii="Times New Roman" w:hAnsi="Times New Roman" w:cs="Times New Roman"/>
        </w:rPr>
        <w:t xml:space="preserve"> Alunas do 5</w:t>
      </w:r>
      <w:r>
        <w:rPr>
          <w:rFonts w:ascii="Times New Roman" w:hAnsi="Times New Roman" w:cs="Times New Roman"/>
        </w:rPr>
        <w:t>º período do Curso de Direito</w:t>
      </w:r>
      <w:r w:rsidRPr="00B336C6">
        <w:rPr>
          <w:rFonts w:ascii="Times New Roman" w:hAnsi="Times New Roman" w:cs="Times New Roman"/>
        </w:rPr>
        <w:t>, da UNDB.</w:t>
      </w:r>
    </w:p>
  </w:footnote>
  <w:footnote w:id="3">
    <w:p w:rsidR="00B336C6" w:rsidRDefault="00B336C6">
      <w:pPr>
        <w:pStyle w:val="Textodenotaderodap"/>
      </w:pPr>
      <w:r>
        <w:rPr>
          <w:rStyle w:val="Refdenotaderodap"/>
        </w:rPr>
        <w:footnoteRef/>
      </w:r>
      <w:r>
        <w:t xml:space="preserve"> </w:t>
      </w:r>
      <w:r w:rsidRPr="00092578">
        <w:rPr>
          <w:rFonts w:ascii="Times New Roman" w:hAnsi="Times New Roman" w:cs="Times New Roman"/>
        </w:rPr>
        <w:t>Professor Mestre, orientador.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E7" w:rsidRDefault="00922A37" w:rsidP="00EE1CE7">
    <w:pPr>
      <w:pStyle w:val="Cabealho"/>
      <w:jc w:val="center"/>
    </w:pPr>
    <w:r w:rsidRPr="004D5A10">
      <w:rPr>
        <w:rFonts w:ascii="Times New Roman" w:hAnsi="Times New Roman" w:cs="Times New Roman"/>
        <w:b/>
        <w:bCs/>
        <w:noProof/>
        <w:sz w:val="24"/>
        <w:szCs w:val="24"/>
        <w:lang w:eastAsia="pt-BR"/>
      </w:rPr>
      <w:drawing>
        <wp:inline distT="0" distB="0" distL="0" distR="0">
          <wp:extent cx="2085975" cy="7905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7905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A37" w:rsidRDefault="00922A37" w:rsidP="00922A37">
    <w:pPr>
      <w:pStyle w:val="Cabealho"/>
      <w:jc w:val="center"/>
    </w:pPr>
    <w:r w:rsidRPr="004D5A10">
      <w:rPr>
        <w:rFonts w:ascii="Times New Roman" w:hAnsi="Times New Roman" w:cs="Times New Roman"/>
        <w:b/>
        <w:bCs/>
        <w:noProof/>
        <w:sz w:val="24"/>
        <w:szCs w:val="24"/>
        <w:lang w:eastAsia="pt-BR"/>
      </w:rPr>
      <w:drawing>
        <wp:inline distT="0" distB="0" distL="0" distR="0">
          <wp:extent cx="2085975" cy="7905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7905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336C6"/>
    <w:rsid w:val="000006FE"/>
    <w:rsid w:val="000110AD"/>
    <w:rsid w:val="00025F11"/>
    <w:rsid w:val="0004035E"/>
    <w:rsid w:val="00092578"/>
    <w:rsid w:val="000F527C"/>
    <w:rsid w:val="00105AB2"/>
    <w:rsid w:val="0012292D"/>
    <w:rsid w:val="00123BA5"/>
    <w:rsid w:val="0012431F"/>
    <w:rsid w:val="00131320"/>
    <w:rsid w:val="00175185"/>
    <w:rsid w:val="001844A8"/>
    <w:rsid w:val="001F5C03"/>
    <w:rsid w:val="00210359"/>
    <w:rsid w:val="00295442"/>
    <w:rsid w:val="002B1475"/>
    <w:rsid w:val="00326063"/>
    <w:rsid w:val="00363618"/>
    <w:rsid w:val="00370AF3"/>
    <w:rsid w:val="003F46D7"/>
    <w:rsid w:val="004876DB"/>
    <w:rsid w:val="004918D7"/>
    <w:rsid w:val="004E17F6"/>
    <w:rsid w:val="005114A8"/>
    <w:rsid w:val="00653D65"/>
    <w:rsid w:val="00673715"/>
    <w:rsid w:val="006C2C8F"/>
    <w:rsid w:val="00740454"/>
    <w:rsid w:val="007567B4"/>
    <w:rsid w:val="00762E67"/>
    <w:rsid w:val="00795BA1"/>
    <w:rsid w:val="00871994"/>
    <w:rsid w:val="00913864"/>
    <w:rsid w:val="00922A37"/>
    <w:rsid w:val="009422C2"/>
    <w:rsid w:val="00976650"/>
    <w:rsid w:val="009F25D9"/>
    <w:rsid w:val="00A512D4"/>
    <w:rsid w:val="00A514C1"/>
    <w:rsid w:val="00A62BF0"/>
    <w:rsid w:val="00A87646"/>
    <w:rsid w:val="00A90A3F"/>
    <w:rsid w:val="00A95C63"/>
    <w:rsid w:val="00AD00A3"/>
    <w:rsid w:val="00AE5CBB"/>
    <w:rsid w:val="00B336C6"/>
    <w:rsid w:val="00B85D4F"/>
    <w:rsid w:val="00B90261"/>
    <w:rsid w:val="00BD42DE"/>
    <w:rsid w:val="00BF7706"/>
    <w:rsid w:val="00C14C84"/>
    <w:rsid w:val="00C50A70"/>
    <w:rsid w:val="00C54D8D"/>
    <w:rsid w:val="00C55928"/>
    <w:rsid w:val="00C67D4F"/>
    <w:rsid w:val="00C80833"/>
    <w:rsid w:val="00CA3AB0"/>
    <w:rsid w:val="00CC5260"/>
    <w:rsid w:val="00CC7DBB"/>
    <w:rsid w:val="00D000E9"/>
    <w:rsid w:val="00D36EBF"/>
    <w:rsid w:val="00D412FA"/>
    <w:rsid w:val="00D60D3D"/>
    <w:rsid w:val="00D61AD3"/>
    <w:rsid w:val="00D70402"/>
    <w:rsid w:val="00D82CF6"/>
    <w:rsid w:val="00DA3EF6"/>
    <w:rsid w:val="00DD0519"/>
    <w:rsid w:val="00DE4BF5"/>
    <w:rsid w:val="00DE6BFF"/>
    <w:rsid w:val="00E15B1F"/>
    <w:rsid w:val="00E514BA"/>
    <w:rsid w:val="00E846FD"/>
    <w:rsid w:val="00E92135"/>
    <w:rsid w:val="00EE04B2"/>
    <w:rsid w:val="00EE1CE7"/>
    <w:rsid w:val="00EF543F"/>
    <w:rsid w:val="00F41548"/>
    <w:rsid w:val="00F70BF3"/>
    <w:rsid w:val="00F7380E"/>
    <w:rsid w:val="00FC7166"/>
    <w:rsid w:val="00FE4F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336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36C6"/>
    <w:rPr>
      <w:sz w:val="20"/>
      <w:szCs w:val="20"/>
    </w:rPr>
  </w:style>
  <w:style w:type="character" w:styleId="Refdenotaderodap">
    <w:name w:val="footnote reference"/>
    <w:basedOn w:val="Fontepargpadro"/>
    <w:uiPriority w:val="99"/>
    <w:semiHidden/>
    <w:unhideWhenUsed/>
    <w:rsid w:val="00B336C6"/>
    <w:rPr>
      <w:vertAlign w:val="superscript"/>
    </w:rPr>
  </w:style>
  <w:style w:type="paragraph" w:styleId="Cabealho">
    <w:name w:val="header"/>
    <w:basedOn w:val="Normal"/>
    <w:link w:val="CabealhoChar"/>
    <w:uiPriority w:val="99"/>
    <w:unhideWhenUsed/>
    <w:rsid w:val="00EE1C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1CE7"/>
  </w:style>
  <w:style w:type="paragraph" w:styleId="Rodap">
    <w:name w:val="footer"/>
    <w:basedOn w:val="Normal"/>
    <w:link w:val="RodapChar"/>
    <w:uiPriority w:val="99"/>
    <w:unhideWhenUsed/>
    <w:rsid w:val="00EE1CE7"/>
    <w:pPr>
      <w:tabs>
        <w:tab w:val="center" w:pos="4252"/>
        <w:tab w:val="right" w:pos="8504"/>
      </w:tabs>
      <w:spacing w:after="0" w:line="240" w:lineRule="auto"/>
    </w:pPr>
  </w:style>
  <w:style w:type="character" w:customStyle="1" w:styleId="RodapChar">
    <w:name w:val="Rodapé Char"/>
    <w:basedOn w:val="Fontepargpadro"/>
    <w:link w:val="Rodap"/>
    <w:uiPriority w:val="99"/>
    <w:rsid w:val="00EE1CE7"/>
  </w:style>
  <w:style w:type="paragraph" w:styleId="Textodebalo">
    <w:name w:val="Balloon Text"/>
    <w:basedOn w:val="Normal"/>
    <w:link w:val="TextodebaloChar"/>
    <w:uiPriority w:val="99"/>
    <w:semiHidden/>
    <w:unhideWhenUsed/>
    <w:rsid w:val="00EE1C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1CE7"/>
    <w:rPr>
      <w:rFonts w:ascii="Tahoma" w:hAnsi="Tahoma" w:cs="Tahoma"/>
      <w:sz w:val="16"/>
      <w:szCs w:val="16"/>
    </w:rPr>
  </w:style>
  <w:style w:type="character" w:styleId="Hyperlink">
    <w:name w:val="Hyperlink"/>
    <w:basedOn w:val="Fontepargpadro"/>
    <w:uiPriority w:val="99"/>
    <w:unhideWhenUsed/>
    <w:rsid w:val="00D82C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336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36C6"/>
    <w:rPr>
      <w:sz w:val="20"/>
      <w:szCs w:val="20"/>
    </w:rPr>
  </w:style>
  <w:style w:type="character" w:styleId="Refdenotaderodap">
    <w:name w:val="footnote reference"/>
    <w:basedOn w:val="Fontepargpadro"/>
    <w:uiPriority w:val="99"/>
    <w:semiHidden/>
    <w:unhideWhenUsed/>
    <w:rsid w:val="00B336C6"/>
    <w:rPr>
      <w:vertAlign w:val="superscript"/>
    </w:rPr>
  </w:style>
  <w:style w:type="paragraph" w:styleId="Cabealho">
    <w:name w:val="header"/>
    <w:basedOn w:val="Normal"/>
    <w:link w:val="CabealhoChar"/>
    <w:uiPriority w:val="99"/>
    <w:unhideWhenUsed/>
    <w:rsid w:val="00EE1C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1CE7"/>
  </w:style>
  <w:style w:type="paragraph" w:styleId="Rodap">
    <w:name w:val="footer"/>
    <w:basedOn w:val="Normal"/>
    <w:link w:val="RodapChar"/>
    <w:uiPriority w:val="99"/>
    <w:unhideWhenUsed/>
    <w:rsid w:val="00EE1CE7"/>
    <w:pPr>
      <w:tabs>
        <w:tab w:val="center" w:pos="4252"/>
        <w:tab w:val="right" w:pos="8504"/>
      </w:tabs>
      <w:spacing w:after="0" w:line="240" w:lineRule="auto"/>
    </w:pPr>
  </w:style>
  <w:style w:type="character" w:customStyle="1" w:styleId="RodapChar">
    <w:name w:val="Rodapé Char"/>
    <w:basedOn w:val="Fontepargpadro"/>
    <w:link w:val="Rodap"/>
    <w:uiPriority w:val="99"/>
    <w:rsid w:val="00EE1CE7"/>
  </w:style>
  <w:style w:type="paragraph" w:styleId="Textodebalo">
    <w:name w:val="Balloon Text"/>
    <w:basedOn w:val="Normal"/>
    <w:link w:val="TextodebaloChar"/>
    <w:uiPriority w:val="99"/>
    <w:semiHidden/>
    <w:unhideWhenUsed/>
    <w:rsid w:val="00EE1C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1CE7"/>
    <w:rPr>
      <w:rFonts w:ascii="Tahoma" w:hAnsi="Tahoma" w:cs="Tahoma"/>
      <w:sz w:val="16"/>
      <w:szCs w:val="16"/>
    </w:rPr>
  </w:style>
  <w:style w:type="character" w:styleId="Hyperlink">
    <w:name w:val="Hyperlink"/>
    <w:basedOn w:val="Fontepargpadro"/>
    <w:uiPriority w:val="99"/>
    <w:unhideWhenUsed/>
    <w:rsid w:val="00D82C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teudojuridico.com.br/artigo,inovacoes-constantes-no-projeto-do-novo-codigo-de-processo-civil-pls-1662010,47268.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611A-4BF8-4160-9D43-7AB13AA1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11</Pages>
  <Words>3692</Words>
  <Characters>19938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dc:creator>
  <cp:lastModifiedBy>User</cp:lastModifiedBy>
  <cp:revision>11</cp:revision>
  <dcterms:created xsi:type="dcterms:W3CDTF">2014-10-30T18:15:00Z</dcterms:created>
  <dcterms:modified xsi:type="dcterms:W3CDTF">2014-11-03T18:15:00Z</dcterms:modified>
</cp:coreProperties>
</file>