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8C" w:rsidRDefault="005E098C" w:rsidP="005E098C">
      <w:pPr>
        <w:widowControl w:val="0"/>
        <w:autoSpaceDE w:val="0"/>
        <w:autoSpaceDN w:val="0"/>
        <w:adjustRightInd w:val="0"/>
        <w:spacing w:after="0" w:line="360" w:lineRule="auto"/>
        <w:ind w:right="-7"/>
        <w:jc w:val="center"/>
        <w:rPr>
          <w:rFonts w:ascii="Arial" w:hAnsi="Arial" w:cs="Arial"/>
          <w:sz w:val="24"/>
          <w:szCs w:val="24"/>
        </w:rPr>
      </w:pPr>
      <w:r>
        <w:rPr>
          <w:rFonts w:ascii="Arial" w:hAnsi="Arial" w:cs="Arial"/>
          <w:sz w:val="24"/>
          <w:szCs w:val="24"/>
        </w:rPr>
        <w:t>PONTIFÍCIA UNIVERSIDADE CATÓLICA DE MINAS GERAIS</w:t>
      </w:r>
    </w:p>
    <w:p w:rsidR="005E098C" w:rsidRDefault="005E098C" w:rsidP="005E098C">
      <w:pPr>
        <w:widowControl w:val="0"/>
        <w:autoSpaceDE w:val="0"/>
        <w:autoSpaceDN w:val="0"/>
        <w:adjustRightInd w:val="0"/>
        <w:spacing w:after="0" w:line="360" w:lineRule="auto"/>
        <w:ind w:right="-7"/>
        <w:jc w:val="center"/>
        <w:rPr>
          <w:rFonts w:ascii="Arial" w:hAnsi="Arial" w:cs="Arial"/>
          <w:sz w:val="24"/>
          <w:szCs w:val="24"/>
        </w:rPr>
      </w:pPr>
      <w:r>
        <w:rPr>
          <w:rFonts w:ascii="Arial" w:hAnsi="Arial" w:cs="Arial"/>
          <w:sz w:val="24"/>
          <w:szCs w:val="24"/>
        </w:rPr>
        <w:t>Instituto de Ciências Econômicas e Gerenciais</w:t>
      </w:r>
    </w:p>
    <w:p w:rsidR="005E098C" w:rsidRDefault="005E098C" w:rsidP="005E098C">
      <w:pPr>
        <w:widowControl w:val="0"/>
        <w:autoSpaceDE w:val="0"/>
        <w:autoSpaceDN w:val="0"/>
        <w:adjustRightInd w:val="0"/>
        <w:spacing w:after="0" w:line="360" w:lineRule="auto"/>
        <w:ind w:right="-7"/>
        <w:jc w:val="center"/>
        <w:rPr>
          <w:rFonts w:ascii="Arial" w:hAnsi="Arial" w:cs="Arial"/>
          <w:sz w:val="24"/>
          <w:szCs w:val="24"/>
        </w:rPr>
      </w:pPr>
      <w:r>
        <w:rPr>
          <w:rFonts w:ascii="Arial" w:hAnsi="Arial" w:cs="Arial"/>
          <w:sz w:val="24"/>
          <w:szCs w:val="24"/>
        </w:rPr>
        <w:t>Curso de Ciências Econômicas</w:t>
      </w:r>
    </w:p>
    <w:p w:rsidR="005E098C" w:rsidRDefault="005E098C" w:rsidP="005E098C">
      <w:pPr>
        <w:widowControl w:val="0"/>
        <w:autoSpaceDE w:val="0"/>
        <w:autoSpaceDN w:val="0"/>
        <w:adjustRightInd w:val="0"/>
        <w:spacing w:after="0" w:line="360" w:lineRule="auto"/>
        <w:jc w:val="center"/>
        <w:rPr>
          <w:rFonts w:ascii="Arial" w:hAnsi="Arial" w:cs="Arial"/>
          <w:sz w:val="20"/>
          <w:szCs w:val="20"/>
        </w:rPr>
      </w:pPr>
    </w:p>
    <w:p w:rsidR="005E098C" w:rsidRDefault="005E098C" w:rsidP="005E098C">
      <w:pPr>
        <w:widowControl w:val="0"/>
        <w:autoSpaceDE w:val="0"/>
        <w:autoSpaceDN w:val="0"/>
        <w:adjustRightInd w:val="0"/>
        <w:spacing w:after="0" w:line="360" w:lineRule="auto"/>
        <w:jc w:val="center"/>
        <w:rPr>
          <w:rFonts w:ascii="Arial" w:hAnsi="Arial" w:cs="Arial"/>
          <w:sz w:val="20"/>
          <w:szCs w:val="20"/>
        </w:rPr>
      </w:pPr>
    </w:p>
    <w:p w:rsidR="005E098C" w:rsidRDefault="005E098C" w:rsidP="005E098C">
      <w:pPr>
        <w:widowControl w:val="0"/>
        <w:autoSpaceDE w:val="0"/>
        <w:autoSpaceDN w:val="0"/>
        <w:adjustRightInd w:val="0"/>
        <w:spacing w:after="0" w:line="360" w:lineRule="auto"/>
        <w:jc w:val="center"/>
        <w:rPr>
          <w:rFonts w:ascii="Arial" w:hAnsi="Arial" w:cs="Arial"/>
          <w:sz w:val="20"/>
          <w:szCs w:val="20"/>
        </w:rPr>
      </w:pPr>
    </w:p>
    <w:p w:rsidR="005E098C" w:rsidRDefault="005E098C" w:rsidP="005E098C">
      <w:pPr>
        <w:widowControl w:val="0"/>
        <w:autoSpaceDE w:val="0"/>
        <w:autoSpaceDN w:val="0"/>
        <w:adjustRightInd w:val="0"/>
        <w:spacing w:after="0" w:line="360" w:lineRule="auto"/>
        <w:jc w:val="center"/>
        <w:rPr>
          <w:rFonts w:ascii="Arial" w:hAnsi="Arial" w:cs="Arial"/>
          <w:sz w:val="20"/>
          <w:szCs w:val="20"/>
        </w:rPr>
      </w:pPr>
    </w:p>
    <w:p w:rsidR="005E098C" w:rsidRDefault="005E098C" w:rsidP="005E098C">
      <w:pPr>
        <w:widowControl w:val="0"/>
        <w:autoSpaceDE w:val="0"/>
        <w:autoSpaceDN w:val="0"/>
        <w:adjustRightInd w:val="0"/>
        <w:spacing w:after="0" w:line="360" w:lineRule="auto"/>
        <w:jc w:val="center"/>
        <w:rPr>
          <w:rFonts w:ascii="Arial" w:hAnsi="Arial" w:cs="Arial"/>
          <w:sz w:val="20"/>
          <w:szCs w:val="20"/>
        </w:rPr>
      </w:pPr>
    </w:p>
    <w:p w:rsidR="005E098C" w:rsidRDefault="005E098C" w:rsidP="005E098C">
      <w:pPr>
        <w:widowControl w:val="0"/>
        <w:autoSpaceDE w:val="0"/>
        <w:autoSpaceDN w:val="0"/>
        <w:adjustRightInd w:val="0"/>
        <w:spacing w:after="0" w:line="360" w:lineRule="auto"/>
        <w:jc w:val="center"/>
        <w:rPr>
          <w:rFonts w:ascii="Arial" w:hAnsi="Arial" w:cs="Arial"/>
          <w:sz w:val="20"/>
          <w:szCs w:val="20"/>
        </w:rPr>
      </w:pPr>
    </w:p>
    <w:p w:rsidR="005E098C" w:rsidRDefault="005E098C" w:rsidP="005E098C">
      <w:pPr>
        <w:widowControl w:val="0"/>
        <w:autoSpaceDE w:val="0"/>
        <w:autoSpaceDN w:val="0"/>
        <w:adjustRightInd w:val="0"/>
        <w:spacing w:after="0" w:line="360" w:lineRule="auto"/>
        <w:jc w:val="center"/>
        <w:rPr>
          <w:rFonts w:ascii="Arial" w:hAnsi="Arial" w:cs="Arial"/>
          <w:sz w:val="20"/>
          <w:szCs w:val="20"/>
        </w:rPr>
      </w:pPr>
      <w:r>
        <w:rPr>
          <w:rFonts w:ascii="Arial" w:hAnsi="Arial" w:cs="Arial"/>
          <w:sz w:val="24"/>
          <w:szCs w:val="24"/>
        </w:rPr>
        <w:t>Eduarda Lemes Teixeira</w:t>
      </w:r>
    </w:p>
    <w:p w:rsidR="005E098C" w:rsidRDefault="005E098C" w:rsidP="005E098C">
      <w:pPr>
        <w:widowControl w:val="0"/>
        <w:autoSpaceDE w:val="0"/>
        <w:autoSpaceDN w:val="0"/>
        <w:adjustRightInd w:val="0"/>
        <w:spacing w:after="0" w:line="360" w:lineRule="auto"/>
        <w:jc w:val="center"/>
        <w:rPr>
          <w:rFonts w:ascii="Arial" w:hAnsi="Arial" w:cs="Arial"/>
          <w:sz w:val="20"/>
          <w:szCs w:val="20"/>
        </w:rPr>
      </w:pPr>
    </w:p>
    <w:p w:rsidR="005E098C" w:rsidRDefault="005E098C" w:rsidP="005E098C">
      <w:pPr>
        <w:widowControl w:val="0"/>
        <w:autoSpaceDE w:val="0"/>
        <w:autoSpaceDN w:val="0"/>
        <w:adjustRightInd w:val="0"/>
        <w:spacing w:after="0" w:line="360" w:lineRule="auto"/>
        <w:jc w:val="center"/>
        <w:rPr>
          <w:rFonts w:ascii="Arial" w:hAnsi="Arial" w:cs="Arial"/>
          <w:sz w:val="20"/>
          <w:szCs w:val="20"/>
        </w:rPr>
      </w:pPr>
    </w:p>
    <w:p w:rsidR="005E098C" w:rsidRDefault="005E098C" w:rsidP="005E098C">
      <w:pPr>
        <w:widowControl w:val="0"/>
        <w:autoSpaceDE w:val="0"/>
        <w:autoSpaceDN w:val="0"/>
        <w:adjustRightInd w:val="0"/>
        <w:spacing w:before="4" w:after="0" w:line="360" w:lineRule="auto"/>
        <w:jc w:val="center"/>
        <w:rPr>
          <w:rFonts w:ascii="Arial" w:hAnsi="Arial" w:cs="Arial"/>
          <w:sz w:val="28"/>
          <w:szCs w:val="28"/>
        </w:rPr>
      </w:pPr>
    </w:p>
    <w:p w:rsidR="005E098C" w:rsidRDefault="005E098C" w:rsidP="005E098C">
      <w:pPr>
        <w:widowControl w:val="0"/>
        <w:autoSpaceDE w:val="0"/>
        <w:autoSpaceDN w:val="0"/>
        <w:adjustRightInd w:val="0"/>
        <w:spacing w:after="0" w:line="360" w:lineRule="auto"/>
        <w:jc w:val="center"/>
        <w:rPr>
          <w:rFonts w:ascii="Arial" w:hAnsi="Arial" w:cs="Arial"/>
          <w:sz w:val="20"/>
          <w:szCs w:val="20"/>
        </w:rPr>
      </w:pPr>
    </w:p>
    <w:p w:rsidR="005E098C" w:rsidRDefault="005E098C" w:rsidP="005E098C">
      <w:pPr>
        <w:widowControl w:val="0"/>
        <w:autoSpaceDE w:val="0"/>
        <w:autoSpaceDN w:val="0"/>
        <w:adjustRightInd w:val="0"/>
        <w:spacing w:after="0" w:line="360" w:lineRule="auto"/>
        <w:jc w:val="center"/>
        <w:rPr>
          <w:rFonts w:ascii="Arial" w:hAnsi="Arial" w:cs="Arial"/>
          <w:sz w:val="20"/>
          <w:szCs w:val="20"/>
        </w:rPr>
      </w:pPr>
    </w:p>
    <w:p w:rsidR="005E098C" w:rsidRDefault="005E098C" w:rsidP="005E098C">
      <w:pPr>
        <w:widowControl w:val="0"/>
        <w:autoSpaceDE w:val="0"/>
        <w:autoSpaceDN w:val="0"/>
        <w:adjustRightInd w:val="0"/>
        <w:spacing w:after="0" w:line="360" w:lineRule="auto"/>
        <w:jc w:val="center"/>
        <w:rPr>
          <w:rFonts w:ascii="Arial" w:hAnsi="Arial" w:cs="Arial"/>
          <w:sz w:val="20"/>
          <w:szCs w:val="20"/>
        </w:rPr>
      </w:pPr>
    </w:p>
    <w:p w:rsidR="005E098C" w:rsidRDefault="005E098C" w:rsidP="005E098C">
      <w:pPr>
        <w:widowControl w:val="0"/>
        <w:autoSpaceDE w:val="0"/>
        <w:autoSpaceDN w:val="0"/>
        <w:adjustRightInd w:val="0"/>
        <w:spacing w:after="0" w:line="360" w:lineRule="auto"/>
        <w:jc w:val="center"/>
        <w:rPr>
          <w:rFonts w:ascii="Arial" w:hAnsi="Arial" w:cs="Arial"/>
          <w:sz w:val="20"/>
          <w:szCs w:val="20"/>
        </w:rPr>
      </w:pPr>
    </w:p>
    <w:p w:rsidR="005E098C" w:rsidRDefault="005E098C" w:rsidP="005E098C">
      <w:pPr>
        <w:contextualSpacing/>
        <w:jc w:val="center"/>
        <w:rPr>
          <w:rFonts w:ascii="Arial" w:hAnsi="Arial" w:cs="Arial"/>
          <w:b/>
          <w:sz w:val="24"/>
          <w:szCs w:val="24"/>
        </w:rPr>
      </w:pPr>
    </w:p>
    <w:p w:rsidR="005E098C" w:rsidRDefault="005E098C" w:rsidP="005E098C">
      <w:pPr>
        <w:contextualSpacing/>
        <w:jc w:val="center"/>
        <w:rPr>
          <w:rFonts w:ascii="Arial" w:hAnsi="Arial" w:cs="Arial"/>
          <w:b/>
          <w:sz w:val="24"/>
          <w:szCs w:val="24"/>
        </w:rPr>
      </w:pPr>
      <w:r>
        <w:rPr>
          <w:rFonts w:ascii="Arial" w:hAnsi="Arial" w:cs="Arial"/>
          <w:b/>
          <w:sz w:val="24"/>
          <w:szCs w:val="24"/>
        </w:rPr>
        <w:t>A EFICÁCIA E EFICIÊNCIA DA POLÍTICA MONETÁRIA BRASILEIRA:</w:t>
      </w:r>
    </w:p>
    <w:p w:rsidR="005E098C" w:rsidRPr="003439BA" w:rsidRDefault="005E098C" w:rsidP="005E098C">
      <w:pPr>
        <w:contextualSpacing/>
        <w:jc w:val="center"/>
        <w:rPr>
          <w:rFonts w:ascii="Arial" w:hAnsi="Arial" w:cs="Arial"/>
          <w:b/>
          <w:sz w:val="24"/>
          <w:szCs w:val="24"/>
        </w:rPr>
      </w:pPr>
      <w:r>
        <w:rPr>
          <w:rFonts w:ascii="Arial" w:hAnsi="Arial" w:cs="Arial"/>
          <w:b/>
          <w:sz w:val="24"/>
          <w:szCs w:val="24"/>
        </w:rPr>
        <w:t>Uma análise histórica e quantitativa– 1994 a 2013</w:t>
      </w:r>
      <w:r>
        <w:rPr>
          <w:rFonts w:ascii="Arial" w:hAnsi="Arial" w:cs="Arial"/>
          <w:b/>
          <w:bCs/>
          <w:sz w:val="24"/>
          <w:szCs w:val="24"/>
        </w:rPr>
        <w:t>.</w:t>
      </w:r>
    </w:p>
    <w:p w:rsidR="005E098C" w:rsidRDefault="005E098C" w:rsidP="005E098C">
      <w:pPr>
        <w:widowControl w:val="0"/>
        <w:autoSpaceDE w:val="0"/>
        <w:autoSpaceDN w:val="0"/>
        <w:adjustRightInd w:val="0"/>
        <w:spacing w:before="7" w:after="0" w:line="160" w:lineRule="exact"/>
        <w:jc w:val="center"/>
        <w:rPr>
          <w:rFonts w:ascii="Arial" w:hAnsi="Arial" w:cs="Arial"/>
          <w:sz w:val="16"/>
          <w:szCs w:val="16"/>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200" w:lineRule="exact"/>
        <w:jc w:val="center"/>
        <w:rPr>
          <w:rFonts w:ascii="Arial" w:hAnsi="Arial" w:cs="Arial"/>
          <w:sz w:val="20"/>
          <w:szCs w:val="20"/>
        </w:rPr>
      </w:pPr>
    </w:p>
    <w:p w:rsidR="005E098C" w:rsidRDefault="005E098C" w:rsidP="005E098C">
      <w:pPr>
        <w:widowControl w:val="0"/>
        <w:autoSpaceDE w:val="0"/>
        <w:autoSpaceDN w:val="0"/>
        <w:adjustRightInd w:val="0"/>
        <w:spacing w:after="0" w:line="360" w:lineRule="auto"/>
        <w:ind w:right="-7"/>
        <w:jc w:val="center"/>
        <w:rPr>
          <w:rFonts w:ascii="Arial" w:hAnsi="Arial" w:cs="Arial"/>
          <w:sz w:val="24"/>
          <w:szCs w:val="24"/>
        </w:rPr>
      </w:pPr>
      <w:r>
        <w:rPr>
          <w:rFonts w:ascii="Arial" w:hAnsi="Arial" w:cs="Arial"/>
          <w:sz w:val="24"/>
          <w:szCs w:val="24"/>
        </w:rPr>
        <w:t>Belo Horizonte</w:t>
      </w:r>
    </w:p>
    <w:p w:rsidR="00ED526C" w:rsidRDefault="005E098C" w:rsidP="007E080B">
      <w:pPr>
        <w:widowControl w:val="0"/>
        <w:autoSpaceDE w:val="0"/>
        <w:autoSpaceDN w:val="0"/>
        <w:adjustRightInd w:val="0"/>
        <w:spacing w:after="300" w:line="360" w:lineRule="auto"/>
        <w:jc w:val="center"/>
        <w:rPr>
          <w:rFonts w:ascii="Arial" w:hAnsi="Arial" w:cs="Arial"/>
          <w:b/>
          <w:bCs/>
          <w:sz w:val="24"/>
          <w:szCs w:val="24"/>
        </w:rPr>
      </w:pPr>
      <w:r>
        <w:rPr>
          <w:rFonts w:ascii="Arial" w:hAnsi="Arial" w:cs="Arial"/>
          <w:sz w:val="24"/>
          <w:szCs w:val="24"/>
        </w:rPr>
        <w:t>2014</w:t>
      </w:r>
    </w:p>
    <w:p w:rsidR="007E080B" w:rsidRDefault="007E080B" w:rsidP="007E080B">
      <w:pPr>
        <w:widowControl w:val="0"/>
        <w:autoSpaceDE w:val="0"/>
        <w:autoSpaceDN w:val="0"/>
        <w:adjustRightInd w:val="0"/>
        <w:spacing w:after="300" w:line="360" w:lineRule="auto"/>
        <w:jc w:val="center"/>
        <w:rPr>
          <w:rFonts w:ascii="Arial" w:hAnsi="Arial" w:cs="Arial"/>
          <w:b/>
          <w:bCs/>
          <w:sz w:val="24"/>
          <w:szCs w:val="24"/>
        </w:rPr>
      </w:pPr>
      <w:r>
        <w:rPr>
          <w:rFonts w:ascii="Arial" w:hAnsi="Arial" w:cs="Arial"/>
          <w:b/>
          <w:bCs/>
          <w:sz w:val="24"/>
          <w:szCs w:val="24"/>
        </w:rPr>
        <w:lastRenderedPageBreak/>
        <w:t>RESUMO</w:t>
      </w:r>
    </w:p>
    <w:p w:rsidR="007E080B" w:rsidRPr="002141DD" w:rsidRDefault="007E080B" w:rsidP="007E080B">
      <w:pPr>
        <w:spacing w:after="0" w:line="360" w:lineRule="auto"/>
        <w:jc w:val="both"/>
        <w:rPr>
          <w:rFonts w:ascii="Arial" w:hAnsi="Arial" w:cs="Arial"/>
          <w:sz w:val="24"/>
          <w:szCs w:val="24"/>
        </w:rPr>
      </w:pPr>
      <w:r w:rsidRPr="002141DD">
        <w:rPr>
          <w:rFonts w:ascii="Arial" w:hAnsi="Arial" w:cs="Arial"/>
          <w:sz w:val="24"/>
          <w:szCs w:val="24"/>
        </w:rPr>
        <w:t xml:space="preserve">O presente estudo teve como objetivo realizar uma análise do nível de eficácia e de eficiência da condução da política monetária brasileira para o período de 1994 a 2013. A pesquisa abordou aspectos conceituais à respeito do quadro inflacionário brasileiro à fim de se melhor compreender o cenário estudado. Utilizou-se abordagens históricas para os anos de 1994 a 1999 e análises </w:t>
      </w:r>
      <w:proofErr w:type="spellStart"/>
      <w:r w:rsidRPr="002141DD">
        <w:rPr>
          <w:rFonts w:ascii="Arial" w:hAnsi="Arial" w:cs="Arial"/>
          <w:sz w:val="24"/>
          <w:szCs w:val="24"/>
        </w:rPr>
        <w:t>econométricas</w:t>
      </w:r>
      <w:proofErr w:type="spellEnd"/>
      <w:r w:rsidRPr="002141DD">
        <w:rPr>
          <w:rFonts w:ascii="Arial" w:hAnsi="Arial" w:cs="Arial"/>
          <w:sz w:val="24"/>
          <w:szCs w:val="24"/>
        </w:rPr>
        <w:t xml:space="preserve"> para os anos de 2000 a 2013, à fim de se verificar o desempenho do Sistema de Metas de Inflação nos diferentes governos brasileiros. Para verificação da eficácia, foi necessária a comparação de variáveis como inflação e taxa de juros. Já para a eficiência, utilizou-se, também</w:t>
      </w:r>
      <w:r>
        <w:rPr>
          <w:rFonts w:ascii="Arial" w:hAnsi="Arial" w:cs="Arial"/>
          <w:sz w:val="24"/>
          <w:szCs w:val="24"/>
        </w:rPr>
        <w:t>, o nível de desemprego e do Produto Interno Bruto</w:t>
      </w:r>
      <w:r w:rsidRPr="002141DD">
        <w:rPr>
          <w:rFonts w:ascii="Arial" w:hAnsi="Arial" w:cs="Arial"/>
          <w:sz w:val="24"/>
          <w:szCs w:val="24"/>
        </w:rPr>
        <w:t xml:space="preserve"> brasileiro.</w:t>
      </w:r>
      <w:r>
        <w:rPr>
          <w:rFonts w:ascii="Arial" w:hAnsi="Arial" w:cs="Arial"/>
          <w:sz w:val="24"/>
          <w:szCs w:val="24"/>
        </w:rPr>
        <w:t xml:space="preserve"> </w:t>
      </w:r>
      <w:r w:rsidRPr="002141DD">
        <w:rPr>
          <w:rFonts w:ascii="Arial" w:hAnsi="Arial" w:cs="Arial"/>
          <w:sz w:val="24"/>
          <w:szCs w:val="24"/>
        </w:rPr>
        <w:t>Os resultados mostram que, o desempenho da eficácia e da eficiência caminham na mesma direção e que na maioria dos anos o nível d</w:t>
      </w:r>
      <w:r>
        <w:rPr>
          <w:rFonts w:ascii="Arial" w:hAnsi="Arial" w:cs="Arial"/>
          <w:sz w:val="24"/>
          <w:szCs w:val="24"/>
        </w:rPr>
        <w:t>essas variáveis foram atingidas, apesar de terem sido</w:t>
      </w:r>
      <w:r w:rsidRPr="002141DD">
        <w:rPr>
          <w:rFonts w:ascii="Arial" w:hAnsi="Arial" w:cs="Arial"/>
          <w:sz w:val="24"/>
          <w:szCs w:val="24"/>
        </w:rPr>
        <w:t xml:space="preserve"> observadas algumas divergências. Além disso, observou-se que o Governo de Fernando Henrique Cardoso apresentou o pior</w:t>
      </w:r>
      <w:r>
        <w:rPr>
          <w:rFonts w:ascii="Arial" w:hAnsi="Arial" w:cs="Arial"/>
          <w:sz w:val="24"/>
          <w:szCs w:val="24"/>
        </w:rPr>
        <w:t xml:space="preserve"> desempenho ao longo do período</w:t>
      </w:r>
      <w:r w:rsidRPr="002141DD">
        <w:rPr>
          <w:rFonts w:ascii="Arial" w:hAnsi="Arial" w:cs="Arial"/>
          <w:sz w:val="24"/>
          <w:szCs w:val="24"/>
        </w:rPr>
        <w:t>, enquanto o Governo Lula se destacou como o melhor.</w:t>
      </w:r>
      <w:r>
        <w:rPr>
          <w:rFonts w:ascii="Arial" w:hAnsi="Arial" w:cs="Arial"/>
          <w:sz w:val="24"/>
          <w:szCs w:val="24"/>
        </w:rPr>
        <w:t>Porém, é importante destacar que esta medida não avalia todos os custos incidentes em uma economia, tendo sido desconsiderados algumas variáveis exógenas.</w:t>
      </w:r>
    </w:p>
    <w:p w:rsidR="007E080B" w:rsidRDefault="007E080B" w:rsidP="007E080B">
      <w:pPr>
        <w:spacing w:after="0" w:line="360" w:lineRule="auto"/>
        <w:jc w:val="both"/>
        <w:rPr>
          <w:rFonts w:ascii="Arial" w:hAnsi="Arial" w:cs="Arial"/>
          <w:sz w:val="24"/>
          <w:szCs w:val="24"/>
        </w:rPr>
      </w:pPr>
    </w:p>
    <w:p w:rsidR="007E080B" w:rsidRDefault="007E080B" w:rsidP="007E080B">
      <w:pPr>
        <w:spacing w:after="0" w:line="360" w:lineRule="auto"/>
        <w:jc w:val="both"/>
        <w:rPr>
          <w:rFonts w:ascii="Arial" w:hAnsi="Arial" w:cs="Arial"/>
          <w:sz w:val="24"/>
          <w:szCs w:val="24"/>
        </w:rPr>
      </w:pPr>
      <w:proofErr w:type="spellStart"/>
      <w:r w:rsidRPr="002141DD">
        <w:rPr>
          <w:rFonts w:ascii="Arial" w:hAnsi="Arial" w:cs="Arial"/>
          <w:sz w:val="24"/>
          <w:szCs w:val="24"/>
        </w:rPr>
        <w:t>Palavras-</w:t>
      </w:r>
      <w:r>
        <w:rPr>
          <w:rFonts w:ascii="Arial" w:hAnsi="Arial" w:cs="Arial"/>
          <w:sz w:val="24"/>
          <w:szCs w:val="24"/>
        </w:rPr>
        <w:t>c</w:t>
      </w:r>
      <w:r w:rsidRPr="002141DD">
        <w:rPr>
          <w:rFonts w:ascii="Arial" w:hAnsi="Arial" w:cs="Arial"/>
          <w:sz w:val="24"/>
          <w:szCs w:val="24"/>
        </w:rPr>
        <w:t>have</w:t>
      </w:r>
      <w:proofErr w:type="spellEnd"/>
      <w:r w:rsidRPr="002141DD">
        <w:rPr>
          <w:rFonts w:ascii="Arial" w:hAnsi="Arial" w:cs="Arial"/>
          <w:sz w:val="24"/>
          <w:szCs w:val="24"/>
        </w:rPr>
        <w:t>: Inflação. Eficácia. Eficiência. Taxa de Juros. Política Monetária</w:t>
      </w:r>
      <w:r>
        <w:rPr>
          <w:rFonts w:ascii="Arial" w:hAnsi="Arial" w:cs="Arial"/>
          <w:sz w:val="24"/>
          <w:szCs w:val="24"/>
        </w:rPr>
        <w:t>.</w:t>
      </w:r>
      <w:r w:rsidR="005E098C">
        <w:rPr>
          <w:rFonts w:ascii="Arial" w:hAnsi="Arial" w:cs="Arial"/>
          <w:sz w:val="24"/>
          <w:szCs w:val="24"/>
        </w:rPr>
        <w:t xml:space="preserve"> </w:t>
      </w:r>
      <w:r w:rsidRPr="002141DD">
        <w:rPr>
          <w:rFonts w:ascii="Arial" w:hAnsi="Arial" w:cs="Arial"/>
          <w:sz w:val="24"/>
          <w:szCs w:val="24"/>
        </w:rPr>
        <w:t xml:space="preserve">Metas de inflação. </w:t>
      </w:r>
      <w:r w:rsidRPr="0028224D">
        <w:rPr>
          <w:rFonts w:ascii="Arial" w:hAnsi="Arial" w:cs="Arial"/>
          <w:sz w:val="24"/>
          <w:szCs w:val="24"/>
        </w:rPr>
        <w:t>Plano Real.</w:t>
      </w:r>
    </w:p>
    <w:p w:rsidR="005E098C" w:rsidRPr="001A5AB1" w:rsidRDefault="005E098C" w:rsidP="005E098C">
      <w:pPr>
        <w:widowControl w:val="0"/>
        <w:autoSpaceDE w:val="0"/>
        <w:autoSpaceDN w:val="0"/>
        <w:adjustRightInd w:val="0"/>
        <w:spacing w:after="300" w:line="360" w:lineRule="auto"/>
        <w:jc w:val="center"/>
        <w:rPr>
          <w:rFonts w:ascii="Arial" w:hAnsi="Arial" w:cs="Arial"/>
          <w:sz w:val="24"/>
          <w:szCs w:val="24"/>
          <w:lang w:val="en-US"/>
        </w:rPr>
      </w:pPr>
      <w:r w:rsidRPr="001A5AB1">
        <w:rPr>
          <w:rFonts w:ascii="Arial" w:hAnsi="Arial" w:cs="Arial"/>
          <w:b/>
          <w:bCs/>
          <w:sz w:val="24"/>
          <w:szCs w:val="24"/>
          <w:lang w:val="en-US"/>
        </w:rPr>
        <w:t>ABSTRACT</w:t>
      </w:r>
    </w:p>
    <w:p w:rsidR="005E098C" w:rsidRPr="002141DD" w:rsidRDefault="005E098C" w:rsidP="005E098C">
      <w:pPr>
        <w:spacing w:after="0" w:line="360" w:lineRule="auto"/>
        <w:jc w:val="both"/>
        <w:rPr>
          <w:rFonts w:ascii="Arial" w:hAnsi="Arial" w:cs="Arial"/>
          <w:sz w:val="24"/>
          <w:szCs w:val="24"/>
          <w:lang w:val="en-US"/>
        </w:rPr>
      </w:pPr>
      <w:r>
        <w:rPr>
          <w:rFonts w:ascii="Arial" w:hAnsi="Arial" w:cs="Arial"/>
          <w:sz w:val="24"/>
          <w:szCs w:val="24"/>
          <w:lang w:val="en-US"/>
        </w:rPr>
        <w:t>The goal of this study consists</w:t>
      </w:r>
      <w:r w:rsidRPr="002141DD">
        <w:rPr>
          <w:rFonts w:ascii="Arial" w:hAnsi="Arial" w:cs="Arial"/>
          <w:sz w:val="24"/>
          <w:szCs w:val="24"/>
          <w:lang w:val="en-US"/>
        </w:rPr>
        <w:t xml:space="preserve"> on making an analysis about the level of effectiveness and efficiency of the Brazilian monetary policy conduction for the period from 1994 to 2013. This research tried to explain some concepts related to </w:t>
      </w:r>
      <w:r>
        <w:rPr>
          <w:rFonts w:ascii="Arial" w:hAnsi="Arial" w:cs="Arial"/>
          <w:sz w:val="24"/>
          <w:szCs w:val="24"/>
          <w:lang w:val="en-US"/>
        </w:rPr>
        <w:t>the Brazilian inflationary scenario</w:t>
      </w:r>
      <w:r w:rsidRPr="002141DD">
        <w:rPr>
          <w:rFonts w:ascii="Arial" w:hAnsi="Arial" w:cs="Arial"/>
          <w:sz w:val="24"/>
          <w:szCs w:val="24"/>
          <w:lang w:val="en-US"/>
        </w:rPr>
        <w:t xml:space="preserve"> in order to have a better comprehension of this period. It was used historical approaches for the period from 1994 to 1999 and, also, econometric analyses for the years from 2000 to 2013. In order to check the effectiveness, it was necessary to establi</w:t>
      </w:r>
      <w:r>
        <w:rPr>
          <w:rFonts w:ascii="Arial" w:hAnsi="Arial" w:cs="Arial"/>
          <w:sz w:val="24"/>
          <w:szCs w:val="24"/>
          <w:lang w:val="en-US"/>
        </w:rPr>
        <w:t>sh a comparison among inflation</w:t>
      </w:r>
      <w:r w:rsidRPr="002141DD">
        <w:rPr>
          <w:rFonts w:ascii="Arial" w:hAnsi="Arial" w:cs="Arial"/>
          <w:sz w:val="24"/>
          <w:szCs w:val="24"/>
          <w:lang w:val="en-US"/>
        </w:rPr>
        <w:t xml:space="preserve">, interest rates and their targets. Considering the efficiency, it was also used the level of unemployment and Brazilian GDP. The results found indicate </w:t>
      </w:r>
      <w:r w:rsidRPr="002141DD">
        <w:rPr>
          <w:rFonts w:ascii="Arial" w:hAnsi="Arial" w:cs="Arial"/>
          <w:sz w:val="24"/>
          <w:szCs w:val="24"/>
          <w:lang w:val="en-US"/>
        </w:rPr>
        <w:lastRenderedPageBreak/>
        <w:t>that the effectiveness and efficiency go on the same direction and in most of the years that were analyzed,</w:t>
      </w:r>
      <w:r>
        <w:rPr>
          <w:rFonts w:ascii="Arial" w:hAnsi="Arial" w:cs="Arial"/>
          <w:sz w:val="24"/>
          <w:szCs w:val="24"/>
          <w:lang w:val="en-US"/>
        </w:rPr>
        <w:t xml:space="preserve"> </w:t>
      </w:r>
      <w:r w:rsidRPr="002141DD">
        <w:rPr>
          <w:rFonts w:ascii="Arial" w:hAnsi="Arial" w:cs="Arial"/>
          <w:sz w:val="24"/>
          <w:szCs w:val="24"/>
          <w:lang w:val="en-US"/>
        </w:rPr>
        <w:t xml:space="preserve">the proposed targets were reached, in spite of been observed some differences. Besides, </w:t>
      </w:r>
      <w:r>
        <w:rPr>
          <w:rFonts w:ascii="Arial" w:hAnsi="Arial" w:cs="Arial"/>
          <w:sz w:val="24"/>
          <w:szCs w:val="24"/>
          <w:lang w:val="en-US"/>
        </w:rPr>
        <w:t xml:space="preserve">the conclusion is </w:t>
      </w:r>
      <w:r w:rsidRPr="002141DD">
        <w:rPr>
          <w:rFonts w:ascii="Arial" w:hAnsi="Arial" w:cs="Arial"/>
          <w:sz w:val="24"/>
          <w:szCs w:val="24"/>
          <w:lang w:val="en-US"/>
        </w:rPr>
        <w:t>that the Fernando Henrique</w:t>
      </w:r>
      <w:r>
        <w:rPr>
          <w:rFonts w:ascii="Arial" w:hAnsi="Arial" w:cs="Arial"/>
          <w:sz w:val="24"/>
          <w:szCs w:val="24"/>
          <w:lang w:val="en-US"/>
        </w:rPr>
        <w:t>'s</w:t>
      </w:r>
      <w:r w:rsidRPr="002141DD">
        <w:rPr>
          <w:rFonts w:ascii="Arial" w:hAnsi="Arial" w:cs="Arial"/>
          <w:sz w:val="24"/>
          <w:szCs w:val="24"/>
          <w:lang w:val="en-US"/>
        </w:rPr>
        <w:t xml:space="preserve"> government showed the worst </w:t>
      </w:r>
      <w:r>
        <w:rPr>
          <w:rFonts w:ascii="Arial" w:hAnsi="Arial" w:cs="Arial"/>
          <w:sz w:val="24"/>
          <w:szCs w:val="24"/>
          <w:lang w:val="en-US"/>
        </w:rPr>
        <w:t>monetary policy performance, while</w:t>
      </w:r>
      <w:r w:rsidRPr="002141DD">
        <w:rPr>
          <w:rFonts w:ascii="Arial" w:hAnsi="Arial" w:cs="Arial"/>
          <w:sz w:val="24"/>
          <w:szCs w:val="24"/>
          <w:lang w:val="en-US"/>
        </w:rPr>
        <w:t>, in the other hand, Lula's one was considered the best.</w:t>
      </w:r>
      <w:r>
        <w:rPr>
          <w:rFonts w:ascii="Arial" w:hAnsi="Arial" w:cs="Arial"/>
          <w:sz w:val="24"/>
          <w:szCs w:val="24"/>
          <w:lang w:val="en-US"/>
        </w:rPr>
        <w:t xml:space="preserve"> But it is important to emphasize that not all the economical costs were considered in this study thus, exogenous variables were </w:t>
      </w:r>
      <w:proofErr w:type="spellStart"/>
      <w:r>
        <w:rPr>
          <w:rFonts w:ascii="Arial" w:hAnsi="Arial" w:cs="Arial"/>
          <w:sz w:val="24"/>
          <w:szCs w:val="24"/>
          <w:lang w:val="en-US"/>
        </w:rPr>
        <w:t>disconsidered</w:t>
      </w:r>
      <w:proofErr w:type="spellEnd"/>
      <w:r>
        <w:rPr>
          <w:rFonts w:ascii="Arial" w:hAnsi="Arial" w:cs="Arial"/>
          <w:sz w:val="24"/>
          <w:szCs w:val="24"/>
          <w:lang w:val="en-US"/>
        </w:rPr>
        <w:t xml:space="preserve">  </w:t>
      </w:r>
    </w:p>
    <w:p w:rsidR="005E098C" w:rsidRDefault="005E098C" w:rsidP="005E098C">
      <w:pPr>
        <w:spacing w:after="0" w:line="360" w:lineRule="auto"/>
        <w:jc w:val="both"/>
        <w:rPr>
          <w:rFonts w:ascii="Arial" w:hAnsi="Arial" w:cs="Arial"/>
          <w:sz w:val="24"/>
          <w:szCs w:val="24"/>
          <w:lang w:val="en-US"/>
        </w:rPr>
      </w:pPr>
    </w:p>
    <w:p w:rsidR="005E098C" w:rsidRPr="002141DD" w:rsidRDefault="005E098C" w:rsidP="005E098C">
      <w:pPr>
        <w:spacing w:after="0" w:line="360" w:lineRule="auto"/>
        <w:jc w:val="both"/>
        <w:rPr>
          <w:rFonts w:ascii="Arial" w:hAnsi="Arial" w:cs="Arial"/>
          <w:sz w:val="24"/>
          <w:szCs w:val="24"/>
          <w:lang w:val="en-US"/>
        </w:rPr>
      </w:pPr>
      <w:r w:rsidRPr="002141DD">
        <w:rPr>
          <w:rFonts w:ascii="Arial" w:hAnsi="Arial" w:cs="Arial"/>
          <w:sz w:val="24"/>
          <w:szCs w:val="24"/>
          <w:lang w:val="en-US"/>
        </w:rPr>
        <w:t xml:space="preserve">Key-Words: Inflation. Effectiveness. Efficiency. Monetary Policy . Inflation Target. </w:t>
      </w:r>
      <w:r>
        <w:rPr>
          <w:rFonts w:ascii="Arial" w:hAnsi="Arial" w:cs="Arial"/>
          <w:sz w:val="24"/>
          <w:szCs w:val="24"/>
          <w:lang w:val="en-US"/>
        </w:rPr>
        <w:t xml:space="preserve"> </w:t>
      </w:r>
      <w:r w:rsidRPr="002141DD">
        <w:rPr>
          <w:rFonts w:ascii="Arial" w:hAnsi="Arial" w:cs="Arial"/>
          <w:sz w:val="24"/>
          <w:szCs w:val="24"/>
          <w:lang w:val="en-US"/>
        </w:rPr>
        <w:t>Real Plan.</w:t>
      </w:r>
    </w:p>
    <w:p w:rsidR="005E098C" w:rsidRPr="005E098C" w:rsidRDefault="005E098C" w:rsidP="007E080B">
      <w:pPr>
        <w:spacing w:after="0" w:line="360" w:lineRule="auto"/>
        <w:jc w:val="both"/>
        <w:rPr>
          <w:rFonts w:ascii="Arial" w:hAnsi="Arial" w:cs="Arial"/>
          <w:sz w:val="24"/>
          <w:szCs w:val="24"/>
          <w:lang w:val="en-US"/>
        </w:rPr>
      </w:pPr>
    </w:p>
    <w:p w:rsidR="000E724C" w:rsidRPr="005E098C" w:rsidRDefault="000E724C">
      <w:pPr>
        <w:rPr>
          <w:lang w:val="en-US"/>
        </w:rPr>
      </w:pPr>
    </w:p>
    <w:p w:rsidR="007E080B" w:rsidRPr="005E098C" w:rsidRDefault="007E080B">
      <w:pPr>
        <w:rPr>
          <w:lang w:val="en-US"/>
        </w:rPr>
      </w:pPr>
    </w:p>
    <w:p w:rsidR="007E080B" w:rsidRPr="005E098C" w:rsidRDefault="007E080B">
      <w:pPr>
        <w:rPr>
          <w:lang w:val="en-US"/>
        </w:rPr>
      </w:pPr>
    </w:p>
    <w:p w:rsidR="007E080B" w:rsidRPr="005E098C" w:rsidRDefault="007E080B">
      <w:pPr>
        <w:rPr>
          <w:lang w:val="en-US"/>
        </w:rPr>
      </w:pPr>
    </w:p>
    <w:p w:rsidR="007E080B" w:rsidRPr="005E098C" w:rsidRDefault="007E080B">
      <w:pPr>
        <w:rPr>
          <w:lang w:val="en-US"/>
        </w:rPr>
      </w:pPr>
    </w:p>
    <w:p w:rsidR="007E080B" w:rsidRPr="005E098C" w:rsidRDefault="007E080B">
      <w:pPr>
        <w:rPr>
          <w:lang w:val="en-US"/>
        </w:rPr>
      </w:pPr>
    </w:p>
    <w:p w:rsidR="007E080B" w:rsidRPr="005E098C" w:rsidRDefault="007E080B">
      <w:pPr>
        <w:rPr>
          <w:lang w:val="en-US"/>
        </w:rPr>
      </w:pPr>
    </w:p>
    <w:p w:rsidR="007E080B" w:rsidRDefault="007E080B">
      <w:pPr>
        <w:rPr>
          <w:lang w:val="en-US"/>
        </w:rPr>
      </w:pPr>
    </w:p>
    <w:p w:rsidR="005E098C" w:rsidRDefault="005E098C">
      <w:pPr>
        <w:rPr>
          <w:lang w:val="en-US"/>
        </w:rPr>
      </w:pPr>
    </w:p>
    <w:p w:rsidR="005E098C" w:rsidRDefault="005E098C">
      <w:pPr>
        <w:rPr>
          <w:lang w:val="en-US"/>
        </w:rPr>
      </w:pPr>
    </w:p>
    <w:p w:rsidR="005E098C" w:rsidRDefault="005E098C">
      <w:pPr>
        <w:rPr>
          <w:lang w:val="en-US"/>
        </w:rPr>
      </w:pPr>
    </w:p>
    <w:p w:rsidR="005E098C" w:rsidRDefault="005E098C">
      <w:pPr>
        <w:rPr>
          <w:lang w:val="en-US"/>
        </w:rPr>
      </w:pPr>
    </w:p>
    <w:p w:rsidR="005E098C" w:rsidRDefault="005E098C">
      <w:pPr>
        <w:rPr>
          <w:lang w:val="en-US"/>
        </w:rPr>
      </w:pPr>
    </w:p>
    <w:p w:rsidR="005E098C" w:rsidRDefault="005E098C">
      <w:pPr>
        <w:rPr>
          <w:lang w:val="en-US"/>
        </w:rPr>
      </w:pPr>
    </w:p>
    <w:p w:rsidR="005E098C" w:rsidRDefault="005E098C">
      <w:pPr>
        <w:rPr>
          <w:lang w:val="en-US"/>
        </w:rPr>
      </w:pPr>
    </w:p>
    <w:p w:rsidR="005E098C" w:rsidRDefault="005E098C">
      <w:pPr>
        <w:rPr>
          <w:lang w:val="en-US"/>
        </w:rPr>
      </w:pPr>
    </w:p>
    <w:p w:rsidR="005E098C" w:rsidRDefault="005E098C">
      <w:pPr>
        <w:rPr>
          <w:lang w:val="en-US"/>
        </w:rPr>
      </w:pPr>
    </w:p>
    <w:p w:rsidR="005E098C" w:rsidRDefault="005E098C">
      <w:pPr>
        <w:rPr>
          <w:lang w:val="en-US"/>
        </w:rPr>
      </w:pPr>
    </w:p>
    <w:p w:rsidR="005E098C" w:rsidRPr="005E098C" w:rsidRDefault="005E098C">
      <w:pPr>
        <w:rPr>
          <w:lang w:val="en-US"/>
        </w:rPr>
      </w:pPr>
    </w:p>
    <w:p w:rsidR="007E080B" w:rsidRPr="002138CD" w:rsidRDefault="007E080B" w:rsidP="007E080B">
      <w:pPr>
        <w:pStyle w:val="CAROLTTULO1"/>
      </w:pPr>
      <w:bookmarkStart w:id="0" w:name="_Toc388447469"/>
      <w:r w:rsidRPr="002138CD">
        <w:lastRenderedPageBreak/>
        <w:t>1 INTRODUÇÃO</w:t>
      </w:r>
      <w:bookmarkEnd w:id="0"/>
    </w:p>
    <w:p w:rsidR="007E080B" w:rsidRPr="00807719" w:rsidRDefault="007E080B" w:rsidP="007E080B">
      <w:pPr>
        <w:pStyle w:val="CAROLTEXTOS"/>
        <w:rPr>
          <w:b/>
        </w:rPr>
      </w:pPr>
      <w:r>
        <w:t>Após atravessar um longo período inflacionário, nos anos 90,</w:t>
      </w:r>
      <w:r w:rsidRPr="000034BF">
        <w:t xml:space="preserve"> alguns países emergentes da América Latina e da Ásia voltaram sua</w:t>
      </w:r>
      <w:r>
        <w:t>s</w:t>
      </w:r>
      <w:r w:rsidRPr="000034BF">
        <w:t xml:space="preserve"> economia</w:t>
      </w:r>
      <w:r>
        <w:t>s</w:t>
      </w:r>
      <w:r w:rsidRPr="000034BF">
        <w:t xml:space="preserve"> para um pr</w:t>
      </w:r>
      <w:r>
        <w:t>ocesso de controle da inflação</w:t>
      </w:r>
      <w:r w:rsidRPr="000034BF">
        <w:t xml:space="preserve">, baseados em âncoras cambiais que, de acordo com </w:t>
      </w:r>
      <w:proofErr w:type="spellStart"/>
      <w:r w:rsidRPr="000034BF">
        <w:t>Iahn</w:t>
      </w:r>
      <w:proofErr w:type="spellEnd"/>
      <w:r w:rsidRPr="000034BF">
        <w:t xml:space="preserve"> e </w:t>
      </w:r>
      <w:proofErr w:type="spellStart"/>
      <w:r w:rsidRPr="000034BF">
        <w:t>Missio</w:t>
      </w:r>
      <w:proofErr w:type="spellEnd"/>
      <w:r w:rsidRPr="000034BF">
        <w:t xml:space="preserve"> (2009), mantinham o valor da moeda vigente indexado ao valor do dólar, </w:t>
      </w:r>
      <w:r>
        <w:t xml:space="preserve">com o intuito de </w:t>
      </w:r>
      <w:r w:rsidRPr="000034BF">
        <w:t>assegurar o nível de preços internos e, assim, a</w:t>
      </w:r>
      <w:r>
        <w:t xml:space="preserve"> confiança na moeda local, mas </w:t>
      </w:r>
      <w:r w:rsidRPr="000034BF">
        <w:t>o resultado desta política foi pouco satisf</w:t>
      </w:r>
      <w:r>
        <w:t xml:space="preserve">atório. Segundo </w:t>
      </w:r>
      <w:proofErr w:type="spellStart"/>
      <w:r>
        <w:t>Biondi</w:t>
      </w:r>
      <w:proofErr w:type="spellEnd"/>
      <w:r>
        <w:t xml:space="preserve"> e </w:t>
      </w:r>
      <w:proofErr w:type="spellStart"/>
      <w:r>
        <w:t>Toneto</w:t>
      </w:r>
      <w:proofErr w:type="spellEnd"/>
      <w:r>
        <w:t xml:space="preserve"> </w:t>
      </w:r>
      <w:r w:rsidRPr="000034BF">
        <w:t>Jr</w:t>
      </w:r>
      <w:r>
        <w:t>.</w:t>
      </w:r>
      <w:r w:rsidRPr="000034BF">
        <w:t>(2005), os países emergentes, bem como o Brasil,</w:t>
      </w:r>
      <w:r>
        <w:t xml:space="preserve"> </w:t>
      </w:r>
      <w:r w:rsidRPr="000034BF">
        <w:t>enfrentaram profundas crises financeiras e foram obrigados a encontrar outras alternativas de âncora nominal. Desta maneira, a política econômica baseada no sistema de metas se tornou a alternativa mais viável a ser seguida por governos de países emergentes, inclusive o Brasil, que passou a adot</w:t>
      </w:r>
      <w:r>
        <w:t>á-lo em 1999.</w:t>
      </w:r>
      <w:r w:rsidRPr="000034BF">
        <w:t xml:space="preserve"> Este sistema já havia sido implantado,</w:t>
      </w:r>
      <w:r>
        <w:t xml:space="preserve"> previamente, com êxito em alguns países desenvolvidos e emergentes</w:t>
      </w:r>
      <w:r>
        <w:rPr>
          <w:rStyle w:val="Refdenotaderodap"/>
        </w:rPr>
        <w:footnoteReference w:id="2"/>
      </w:r>
      <w:r>
        <w:t xml:space="preserve">. </w:t>
      </w:r>
    </w:p>
    <w:p w:rsidR="007E080B" w:rsidRDefault="007E080B" w:rsidP="007E080B">
      <w:pPr>
        <w:pStyle w:val="CAROLTEXTOS"/>
      </w:pPr>
      <w:r>
        <w:t>No</w:t>
      </w:r>
      <w:r w:rsidRPr="000034BF">
        <w:t xml:space="preserve"> regime de metas</w:t>
      </w:r>
      <w:r>
        <w:t>, a</w:t>
      </w:r>
      <w:r w:rsidRPr="000034BF">
        <w:t xml:space="preserve"> i</w:t>
      </w:r>
      <w:r>
        <w:t>nflação é basicamente controlada</w:t>
      </w:r>
      <w:r w:rsidRPr="000034BF">
        <w:t xml:space="preserve"> pel</w:t>
      </w:r>
      <w:r>
        <w:t>a taxa de juros da economia, porém</w:t>
      </w:r>
      <w:r w:rsidRPr="000034BF">
        <w:t xml:space="preserve"> variáveis como o câmbio e o crescimento econômico são levados em conta para verificar qual seria o patamar ideal desta taxa de juros. </w:t>
      </w:r>
    </w:p>
    <w:p w:rsidR="007E080B" w:rsidRDefault="007E080B" w:rsidP="007E080B">
      <w:pPr>
        <w:pStyle w:val="CAROLTEXTOS"/>
      </w:pPr>
      <w:r>
        <w:t>Dessa forma,</w:t>
      </w:r>
      <w:r w:rsidRPr="00CC7B46">
        <w:t xml:space="preserve"> de acordo com Carvalho (2012),</w:t>
      </w:r>
      <w:r>
        <w:t xml:space="preserve"> tornou-se necessária a implementação da "tríplice mudança do regime",</w:t>
      </w:r>
      <w:r w:rsidRPr="00CC7B46">
        <w:t xml:space="preserve"> a partir de 1999, </w:t>
      </w:r>
      <w:r>
        <w:t>devido à</w:t>
      </w:r>
      <w:r w:rsidRPr="00CC7B46">
        <w:t xml:space="preserve"> </w:t>
      </w:r>
      <w:r>
        <w:t xml:space="preserve">grande instabilidade brasileira </w:t>
      </w:r>
      <w:r w:rsidRPr="00CC7B46">
        <w:t>gerada por choques externos</w:t>
      </w:r>
      <w:r>
        <w:t xml:space="preserve">. Este sistema estabelecia a utilização do sistema </w:t>
      </w:r>
      <w:r w:rsidRPr="00CC7B46">
        <w:t xml:space="preserve">de âncoras cambiais </w:t>
      </w:r>
      <w:r>
        <w:t>caracterizada por uma flutuação suja - em que o Banco C</w:t>
      </w:r>
      <w:r w:rsidRPr="00CC7B46">
        <w:t>entral intervinha por meio de títulos indexados ao câmbio</w:t>
      </w:r>
      <w:r>
        <w:t>, no intuito de equilibrar o balanço de pagamentos</w:t>
      </w:r>
      <w:r w:rsidRPr="00CC7B46">
        <w:t xml:space="preserve">. </w:t>
      </w:r>
      <w:r>
        <w:t xml:space="preserve">Além disso, segundo </w:t>
      </w:r>
      <w:proofErr w:type="spellStart"/>
      <w:r>
        <w:t>Biondi</w:t>
      </w:r>
      <w:proofErr w:type="spellEnd"/>
      <w:r>
        <w:t xml:space="preserve"> e </w:t>
      </w:r>
      <w:proofErr w:type="spellStart"/>
      <w:r>
        <w:t>Tonetto</w:t>
      </w:r>
      <w:proofErr w:type="spellEnd"/>
      <w:r>
        <w:t xml:space="preserve"> Jr. (2005), </w:t>
      </w:r>
      <w:r w:rsidRPr="00CC7B46">
        <w:t>o regime fiscal foi alterado a partir da introdução de</w:t>
      </w:r>
      <w:r>
        <w:t xml:space="preserve"> um</w:t>
      </w:r>
      <w:r w:rsidRPr="00CC7B46">
        <w:t xml:space="preserve"> ajuste voltado para a geração de super</w:t>
      </w:r>
      <w:r>
        <w:t>ávits primários</w:t>
      </w:r>
      <w:r w:rsidRPr="00CC7B46">
        <w:t xml:space="preserve"> e uma estabilização entre a ra</w:t>
      </w:r>
      <w:r>
        <w:t>zão da dívida pública com o Produto Interno Bruto (PIB). Essa ferramenta evitou amplas flutuações cambiais, e passou a ganhar relevância à medida que permitiu à liberalização da taxa de juros para o controle inflacionário. Já o</w:t>
      </w:r>
      <w:r w:rsidRPr="00CC7B46">
        <w:t xml:space="preserve"> regime monetário, anterio</w:t>
      </w:r>
      <w:r>
        <w:t xml:space="preserve">rmente atrelado ao </w:t>
      </w:r>
      <w:r>
        <w:lastRenderedPageBreak/>
        <w:t>câmbio, passou</w:t>
      </w:r>
      <w:r w:rsidRPr="00CC7B46">
        <w:t xml:space="preserve"> a seguir um modelo de metas de inflação definida</w:t>
      </w:r>
      <w:r>
        <w:t>s</w:t>
      </w:r>
      <w:r w:rsidRPr="00CC7B46">
        <w:t xml:space="preserve"> pelo </w:t>
      </w:r>
      <w:r>
        <w:t>Conselho Monetário Nacional (CMN) e pelo Banco Central (BACEN), surgindo como uma alternativa necessária para o controle inflacionário no longo prazo.</w:t>
      </w:r>
    </w:p>
    <w:p w:rsidR="007E080B" w:rsidRDefault="007E080B" w:rsidP="007E080B">
      <w:pPr>
        <w:pStyle w:val="CAROLTEXTOS"/>
      </w:pPr>
      <w:r>
        <w:t>Porém, é importante destacar que estas mudanças na condução das políticas econômicas brasileiras somente foram possíveis de serem realizadas devido ao controle da hiperinflação estabelecido pelo sucesso do Plano Real.</w:t>
      </w:r>
      <w:r w:rsidRPr="002F6D07">
        <w:t xml:space="preserve"> Desta forma, para que haja o melhor entendimento, torna-se importante a elaboração de uma análise econômica histórica mais profunda sobre o caso brasileiro durante o período de 1994 até 2013.</w:t>
      </w:r>
    </w:p>
    <w:p w:rsidR="007E080B" w:rsidRDefault="007E080B" w:rsidP="007E080B">
      <w:pPr>
        <w:pStyle w:val="CAROLTEXTOS"/>
      </w:pPr>
      <w:r w:rsidRPr="000034BF">
        <w:t>O Brasil viveu um período caracteriz</w:t>
      </w:r>
      <w:r>
        <w:t>ado por um processo inflacionário que se</w:t>
      </w:r>
      <w:r w:rsidRPr="000034BF">
        <w:rPr>
          <w:bCs/>
        </w:rPr>
        <w:t xml:space="preserve"> tornou crítico </w:t>
      </w:r>
      <w:r>
        <w:t>após tentativas fracassadas</w:t>
      </w:r>
      <w:r w:rsidRPr="000034BF">
        <w:t xml:space="preserve"> de implementação de alguns planos </w:t>
      </w:r>
      <w:r>
        <w:t>estabilização</w:t>
      </w:r>
      <w:r>
        <w:rPr>
          <w:rStyle w:val="Refdenotaderodap"/>
        </w:rPr>
        <w:footnoteReference w:id="3"/>
      </w:r>
      <w:r>
        <w:t>. A</w:t>
      </w:r>
      <w:r w:rsidRPr="000034BF">
        <w:t>penas em 1994</w:t>
      </w:r>
      <w:r>
        <w:t>,</w:t>
      </w:r>
      <w:r w:rsidRPr="000034BF">
        <w:t xml:space="preserve"> </w:t>
      </w:r>
      <w:r>
        <w:t xml:space="preserve">após a adoção de </w:t>
      </w:r>
      <w:r w:rsidRPr="000034BF">
        <w:t xml:space="preserve">medidas </w:t>
      </w:r>
      <w:r>
        <w:t xml:space="preserve">restritivas </w:t>
      </w:r>
      <w:r w:rsidRPr="000034BF">
        <w:t>e conservadoras, houve a implementação do Plano Real, período no qual o Brasil</w:t>
      </w:r>
      <w:r>
        <w:t xml:space="preserve"> visava alcançar a estabilização monetária.</w:t>
      </w:r>
    </w:p>
    <w:p w:rsidR="007E080B" w:rsidRDefault="007E080B" w:rsidP="007E080B">
      <w:pPr>
        <w:pStyle w:val="CAROLTEXTOS"/>
      </w:pPr>
      <w:r>
        <w:t xml:space="preserve">Após atingir o controle da inflação inercial, segundo Mercadante </w:t>
      </w:r>
      <w:r w:rsidRPr="000034BF">
        <w:t xml:space="preserve">citado por </w:t>
      </w:r>
      <w:proofErr w:type="spellStart"/>
      <w:r w:rsidRPr="000034BF">
        <w:t>Iahn</w:t>
      </w:r>
      <w:proofErr w:type="spellEnd"/>
      <w:r w:rsidRPr="000034BF">
        <w:t xml:space="preserve"> e </w:t>
      </w:r>
      <w:proofErr w:type="spellStart"/>
      <w:r w:rsidRPr="000034BF">
        <w:t>Missio</w:t>
      </w:r>
      <w:proofErr w:type="spellEnd"/>
      <w:r w:rsidRPr="000034BF">
        <w:t xml:space="preserve"> (2009)</w:t>
      </w:r>
      <w:r>
        <w:t>,</w:t>
      </w:r>
      <w:r w:rsidRPr="000034BF">
        <w:t xml:space="preserve"> a estabilidade monetária</w:t>
      </w:r>
      <w:r>
        <w:t xml:space="preserve"> se manteve durante o processo, </w:t>
      </w:r>
      <w:r w:rsidRPr="000034BF">
        <w:t xml:space="preserve">apesar de apresentar um desequilíbrio </w:t>
      </w:r>
      <w:r>
        <w:t>macroeconômico. Nesse sentido, as alta</w:t>
      </w:r>
      <w:r w:rsidRPr="000034BF">
        <w:t>s taxa</w:t>
      </w:r>
      <w:r>
        <w:t>s</w:t>
      </w:r>
      <w:r w:rsidRPr="000034BF">
        <w:t xml:space="preserve"> de juros a</w:t>
      </w:r>
      <w:r>
        <w:t xml:space="preserve">carretaram o surgimento de </w:t>
      </w:r>
      <w:r w:rsidRPr="000034BF">
        <w:t>custos</w:t>
      </w:r>
      <w:r>
        <w:t xml:space="preserve"> econômicos,</w:t>
      </w:r>
      <w:r w:rsidRPr="000034BF">
        <w:t xml:space="preserve"> </w:t>
      </w:r>
      <w:r>
        <w:t xml:space="preserve">decorrentes dos </w:t>
      </w:r>
      <w:r w:rsidRPr="000034BF">
        <w:t>baixo</w:t>
      </w:r>
      <w:r>
        <w:t>s</w:t>
      </w:r>
      <w:r w:rsidRPr="000034BF">
        <w:t xml:space="preserve"> níve</w:t>
      </w:r>
      <w:r>
        <w:t>is de crédito e de investimento que, por sua vez, afetaram o grau de eficiência econômica.</w:t>
      </w:r>
    </w:p>
    <w:p w:rsidR="007E080B" w:rsidRDefault="007E080B" w:rsidP="007E080B">
      <w:pPr>
        <w:pStyle w:val="CAROLTEXTOS"/>
      </w:pPr>
      <w:r>
        <w:t>Portanto</w:t>
      </w:r>
      <w:r w:rsidRPr="000034BF">
        <w:t>,</w:t>
      </w:r>
      <w:r>
        <w:t xml:space="preserve"> observa-se que </w:t>
      </w:r>
      <w:r w:rsidRPr="000034BF">
        <w:t>a política monetária</w:t>
      </w:r>
      <w:r>
        <w:t xml:space="preserve">, </w:t>
      </w:r>
      <w:r w:rsidRPr="000034BF">
        <w:t xml:space="preserve">segundo </w:t>
      </w:r>
      <w:proofErr w:type="spellStart"/>
      <w:r w:rsidRPr="000034BF">
        <w:t>Modenesi</w:t>
      </w:r>
      <w:proofErr w:type="spellEnd"/>
      <w:r w:rsidRPr="000034BF">
        <w:t xml:space="preserve"> (2010), foi bastante rígida no período, pois </w:t>
      </w:r>
      <w:r>
        <w:t xml:space="preserve">objetivava </w:t>
      </w:r>
      <w:r w:rsidRPr="000034BF">
        <w:t xml:space="preserve">atingir alguns pré-requisitos do processo de estabilização, </w:t>
      </w:r>
      <w:r>
        <w:t xml:space="preserve">bem </w:t>
      </w:r>
      <w:r w:rsidRPr="000034BF">
        <w:t>como o aumento do nível de reservas internacionais e o financiamento dos déficits do balanço de pagamentos</w:t>
      </w:r>
      <w:r>
        <w:t xml:space="preserve">. </w:t>
      </w:r>
      <w:r w:rsidRPr="000034BF">
        <w:t xml:space="preserve">Assim, </w:t>
      </w:r>
      <w:r>
        <w:t>de acordo com Wu</w:t>
      </w:r>
      <w:r w:rsidRPr="000034BF">
        <w:t xml:space="preserve"> citado por </w:t>
      </w:r>
      <w:proofErr w:type="spellStart"/>
      <w:r w:rsidRPr="000034BF">
        <w:t>Biondi</w:t>
      </w:r>
      <w:proofErr w:type="spellEnd"/>
      <w:r w:rsidRPr="000034BF">
        <w:t xml:space="preserve"> e </w:t>
      </w:r>
      <w:proofErr w:type="spellStart"/>
      <w:r w:rsidRPr="000034BF">
        <w:t>Toneto</w:t>
      </w:r>
      <w:proofErr w:type="spellEnd"/>
      <w:r>
        <w:t xml:space="preserve"> Jr.</w:t>
      </w:r>
      <w:r w:rsidRPr="000034BF">
        <w:t xml:space="preserve"> (2005), vê-se que a tendência da alta taxa de juros da economia </w:t>
      </w:r>
      <w:r>
        <w:t xml:space="preserve">inicia-se </w:t>
      </w:r>
      <w:r w:rsidRPr="000034BF">
        <w:t>no processo</w:t>
      </w:r>
      <w:r>
        <w:t xml:space="preserve"> de estabilização de preços no P</w:t>
      </w:r>
      <w:r w:rsidRPr="000034BF">
        <w:t>lano</w:t>
      </w:r>
      <w:r>
        <w:t xml:space="preserve"> R</w:t>
      </w:r>
      <w:r w:rsidRPr="000034BF">
        <w:t>eal</w:t>
      </w:r>
      <w:r>
        <w:t xml:space="preserve">. </w:t>
      </w:r>
    </w:p>
    <w:p w:rsidR="007E080B" w:rsidRDefault="007E080B" w:rsidP="007E080B">
      <w:pPr>
        <w:autoSpaceDE w:val="0"/>
        <w:autoSpaceDN w:val="0"/>
        <w:adjustRightInd w:val="0"/>
        <w:spacing w:after="0" w:line="360" w:lineRule="auto"/>
        <w:ind w:firstLine="708"/>
        <w:contextualSpacing/>
        <w:jc w:val="both"/>
        <w:rPr>
          <w:rFonts w:ascii="Arial" w:hAnsi="Arial" w:cs="Arial"/>
          <w:sz w:val="24"/>
          <w:szCs w:val="24"/>
        </w:rPr>
      </w:pPr>
      <w:r>
        <w:rPr>
          <w:rFonts w:ascii="Arial" w:hAnsi="Arial" w:cs="Arial"/>
          <w:sz w:val="24"/>
          <w:szCs w:val="24"/>
        </w:rPr>
        <w:t xml:space="preserve">Neste cenário, </w:t>
      </w:r>
      <w:r w:rsidRPr="000034BF">
        <w:rPr>
          <w:rFonts w:ascii="Arial" w:hAnsi="Arial" w:cs="Arial"/>
          <w:sz w:val="24"/>
          <w:szCs w:val="24"/>
        </w:rPr>
        <w:t>observou</w:t>
      </w:r>
      <w:r>
        <w:rPr>
          <w:rFonts w:ascii="Arial" w:hAnsi="Arial" w:cs="Arial"/>
          <w:sz w:val="24"/>
          <w:szCs w:val="24"/>
        </w:rPr>
        <w:t>-se</w:t>
      </w:r>
      <w:r w:rsidRPr="000034BF">
        <w:rPr>
          <w:rFonts w:ascii="Arial" w:hAnsi="Arial" w:cs="Arial"/>
          <w:sz w:val="24"/>
          <w:szCs w:val="24"/>
        </w:rPr>
        <w:t xml:space="preserve"> uma tendência à retração da atividade econômica, junto a uma valorização cambial e uma piora nas contas públicas, além do aumento do nível de desemprego</w:t>
      </w:r>
      <w:r>
        <w:rPr>
          <w:rFonts w:ascii="Arial" w:hAnsi="Arial" w:cs="Arial"/>
          <w:sz w:val="24"/>
          <w:szCs w:val="24"/>
        </w:rPr>
        <w:t>.</w:t>
      </w:r>
      <w:r w:rsidRPr="00A16B43">
        <w:rPr>
          <w:rFonts w:ascii="Arial" w:hAnsi="Arial" w:cs="Arial"/>
          <w:bCs/>
          <w:sz w:val="24"/>
          <w:szCs w:val="24"/>
        </w:rPr>
        <w:t xml:space="preserve"> </w:t>
      </w:r>
      <w:r w:rsidRPr="00315666">
        <w:rPr>
          <w:rFonts w:ascii="Arial" w:hAnsi="Arial" w:cs="Arial"/>
          <w:bCs/>
          <w:sz w:val="24"/>
          <w:szCs w:val="24"/>
        </w:rPr>
        <w:t xml:space="preserve">Desta maneira, </w:t>
      </w:r>
      <w:proofErr w:type="spellStart"/>
      <w:r w:rsidRPr="00315666">
        <w:rPr>
          <w:rFonts w:ascii="Arial" w:hAnsi="Arial" w:cs="Arial"/>
          <w:bCs/>
          <w:sz w:val="24"/>
          <w:szCs w:val="24"/>
        </w:rPr>
        <w:t>Modenesi</w:t>
      </w:r>
      <w:proofErr w:type="spellEnd"/>
      <w:r w:rsidRPr="00315666">
        <w:rPr>
          <w:rFonts w:ascii="Arial" w:hAnsi="Arial" w:cs="Arial"/>
          <w:bCs/>
          <w:sz w:val="24"/>
          <w:szCs w:val="24"/>
        </w:rPr>
        <w:t xml:space="preserve"> (2010) </w:t>
      </w:r>
      <w:r>
        <w:rPr>
          <w:rFonts w:ascii="Arial" w:hAnsi="Arial" w:cs="Arial"/>
          <w:bCs/>
          <w:sz w:val="24"/>
          <w:szCs w:val="24"/>
        </w:rPr>
        <w:t xml:space="preserve">observa </w:t>
      </w:r>
      <w:r w:rsidRPr="00315666">
        <w:rPr>
          <w:rFonts w:ascii="Arial" w:hAnsi="Arial" w:cs="Arial"/>
          <w:bCs/>
          <w:sz w:val="24"/>
          <w:szCs w:val="24"/>
        </w:rPr>
        <w:t>que políticas</w:t>
      </w:r>
      <w:r w:rsidRPr="00315666">
        <w:rPr>
          <w:rFonts w:ascii="Arial" w:hAnsi="Arial" w:cs="Arial"/>
          <w:b/>
          <w:bCs/>
          <w:sz w:val="24"/>
          <w:szCs w:val="24"/>
        </w:rPr>
        <w:t xml:space="preserve"> </w:t>
      </w:r>
      <w:r>
        <w:rPr>
          <w:rFonts w:ascii="Arial" w:hAnsi="Arial" w:cs="Arial"/>
          <w:bCs/>
          <w:sz w:val="24"/>
          <w:szCs w:val="24"/>
        </w:rPr>
        <w:t>ortodoxas</w:t>
      </w:r>
      <w:r w:rsidRPr="00315666">
        <w:rPr>
          <w:rFonts w:ascii="Arial" w:hAnsi="Arial" w:cs="Arial"/>
          <w:bCs/>
          <w:sz w:val="24"/>
          <w:szCs w:val="24"/>
        </w:rPr>
        <w:t xml:space="preserve"> geravam resultados menos eficientes </w:t>
      </w:r>
      <w:r>
        <w:rPr>
          <w:rFonts w:ascii="Arial" w:hAnsi="Arial" w:cs="Arial"/>
          <w:bCs/>
          <w:sz w:val="24"/>
          <w:szCs w:val="24"/>
        </w:rPr>
        <w:t xml:space="preserve">no </w:t>
      </w:r>
      <w:r>
        <w:rPr>
          <w:rFonts w:ascii="Arial" w:hAnsi="Arial" w:cs="Arial"/>
          <w:bCs/>
          <w:sz w:val="24"/>
          <w:szCs w:val="24"/>
        </w:rPr>
        <w:lastRenderedPageBreak/>
        <w:t>controle da inflação, pois o aumento das</w:t>
      </w:r>
      <w:r w:rsidRPr="00315666">
        <w:rPr>
          <w:rFonts w:ascii="Arial" w:hAnsi="Arial" w:cs="Arial"/>
          <w:bCs/>
          <w:sz w:val="24"/>
          <w:szCs w:val="24"/>
        </w:rPr>
        <w:t xml:space="preserve"> taxas de juros </w:t>
      </w:r>
      <w:r>
        <w:rPr>
          <w:rFonts w:ascii="Arial" w:hAnsi="Arial" w:cs="Arial"/>
          <w:bCs/>
          <w:sz w:val="24"/>
          <w:szCs w:val="24"/>
        </w:rPr>
        <w:t>geravam</w:t>
      </w:r>
      <w:r w:rsidRPr="00315666">
        <w:rPr>
          <w:rFonts w:ascii="Arial" w:hAnsi="Arial" w:cs="Arial"/>
          <w:bCs/>
          <w:sz w:val="24"/>
          <w:szCs w:val="24"/>
        </w:rPr>
        <w:t xml:space="preserve"> altos custos </w:t>
      </w:r>
      <w:r>
        <w:rPr>
          <w:rFonts w:ascii="Arial" w:hAnsi="Arial" w:cs="Arial"/>
          <w:bCs/>
          <w:sz w:val="24"/>
          <w:szCs w:val="24"/>
        </w:rPr>
        <w:t xml:space="preserve">econômicos, indicando a existência de </w:t>
      </w:r>
      <w:r w:rsidRPr="000034BF">
        <w:rPr>
          <w:rFonts w:ascii="Arial" w:hAnsi="Arial" w:cs="Arial"/>
          <w:sz w:val="24"/>
          <w:szCs w:val="24"/>
        </w:rPr>
        <w:t>problemas no mecanismo de transmissão d</w:t>
      </w:r>
      <w:r>
        <w:rPr>
          <w:rFonts w:ascii="Arial" w:hAnsi="Arial" w:cs="Arial"/>
          <w:sz w:val="24"/>
          <w:szCs w:val="24"/>
        </w:rPr>
        <w:t>a política monetária brasileira.</w:t>
      </w:r>
    </w:p>
    <w:p w:rsidR="007E080B" w:rsidRPr="008817ED" w:rsidRDefault="007E080B" w:rsidP="007E080B">
      <w:pPr>
        <w:pStyle w:val="CAROLTEXTOS"/>
        <w:rPr>
          <w:u w:val="single"/>
        </w:rPr>
      </w:pPr>
      <w:r w:rsidRPr="00315666">
        <w:t>De acordo com Leal e Feijó (2011), a análise da eficiência baseia-se na contraposição entre a</w:t>
      </w:r>
      <w:r>
        <w:t>s metas estabelecidas e as</w:t>
      </w:r>
      <w:r w:rsidRPr="00315666">
        <w:t xml:space="preserve"> cumpridas junto a um equilíbrio macroeconômico vigente, principalmente, pela relação taxa de juros – produto – nível de desemprego.</w:t>
      </w:r>
      <w:r w:rsidRPr="00B12E4A">
        <w:t xml:space="preserve"> Dessa forma, ao se buscar o controle inflacionário,</w:t>
      </w:r>
      <w:r>
        <w:t xml:space="preserve"> </w:t>
      </w:r>
      <w:r w:rsidRPr="00B12E4A">
        <w:t>utilizando-se de taxa de juros junto ao conceito da regra de Taylor</w:t>
      </w:r>
      <w:r>
        <w:rPr>
          <w:rStyle w:val="Refdenotaderodap"/>
        </w:rPr>
        <w:footnoteReference w:id="4"/>
      </w:r>
      <w:r w:rsidRPr="00B12E4A">
        <w:t>, os autores mostram que a queda da produção e o aument</w:t>
      </w:r>
      <w:r>
        <w:t>o do desemprego</w:t>
      </w:r>
      <w:r w:rsidRPr="00B12E4A">
        <w:t xml:space="preserve"> podem ser considerados custos avaliativos </w:t>
      </w:r>
      <w:r>
        <w:t>da política monetária.</w:t>
      </w:r>
    </w:p>
    <w:p w:rsidR="007E080B" w:rsidRPr="00E14AE3" w:rsidRDefault="007E080B" w:rsidP="007E080B">
      <w:pPr>
        <w:pStyle w:val="CAROLTEXTOS"/>
      </w:pPr>
      <w:r>
        <w:t>Desta forma, observa-se a relevância econômica do trabalho uma vez que mostra as mudanças na condução da política monetária, a partir da implementação do Plano Real e, posteriormente, do Sistema de metas.</w:t>
      </w:r>
      <w:r w:rsidRPr="00E14AE3">
        <w:t xml:space="preserve"> </w:t>
      </w:r>
      <w:r>
        <w:t xml:space="preserve">Ademais, através do estudo, será possível mensurar o nível de custos e benefícios gerados por políticas monetárias restritivas que, por sua vez, apresentam um </w:t>
      </w:r>
      <w:proofErr w:type="spellStart"/>
      <w:r w:rsidRPr="004A62F6">
        <w:rPr>
          <w:i/>
        </w:rPr>
        <w:t>trade-off</w:t>
      </w:r>
      <w:proofErr w:type="spellEnd"/>
      <w:r w:rsidRPr="004A62F6">
        <w:rPr>
          <w:i/>
        </w:rPr>
        <w:t xml:space="preserve"> </w:t>
      </w:r>
      <w:r>
        <w:t>entre estabilidade de preços e crescimento econômico.</w:t>
      </w:r>
    </w:p>
    <w:p w:rsidR="007E080B" w:rsidRDefault="007E080B" w:rsidP="007E080B">
      <w:pPr>
        <w:pStyle w:val="CAROLTEXTOS"/>
      </w:pPr>
      <w:r>
        <w:t>Assim, o trabalho tem como objetivo descrever e analisar o cenário macroeconômico brasileiro no período de 1994 a 2013 e relacionar a aplicação das políticas monetárias ao controle do nível dos preços contrapostos ao desemprego e ao crescimento do país.</w:t>
      </w:r>
    </w:p>
    <w:p w:rsidR="007E080B" w:rsidRDefault="007E080B" w:rsidP="007E080B">
      <w:pPr>
        <w:pStyle w:val="CAROLTEXTOS"/>
      </w:pPr>
      <w:r>
        <w:tab/>
        <w:t xml:space="preserve">Portanto, ao se analisar a eficácia das políticas econômicas, verifica-se se houve o cumprimento das metas inflacionárias propostas. Além disso, a análise da eficiência é feita à partir da mensuração dos  custos relacionados  à política monetária, o que  permite verificar se o controle inflacionário ocorreu junto a um cenário macroeconômico favorável ou não. </w:t>
      </w:r>
      <w:r w:rsidRPr="008F5339">
        <w:t xml:space="preserve">Desta forma, </w:t>
      </w:r>
      <w:r>
        <w:t xml:space="preserve">será possível avaliar se </w:t>
      </w:r>
      <w:r w:rsidRPr="008F5339">
        <w:t>a</w:t>
      </w:r>
      <w:r>
        <w:t xml:space="preserve"> condução das </w:t>
      </w:r>
      <w:r w:rsidRPr="008F5339">
        <w:t>políticas monetárias</w:t>
      </w:r>
      <w:r>
        <w:t xml:space="preserve"> brasileiras</w:t>
      </w:r>
      <w:r w:rsidRPr="008F5339">
        <w:t xml:space="preserve"> </w:t>
      </w:r>
      <w:r>
        <w:t xml:space="preserve">é </w:t>
      </w:r>
      <w:r w:rsidRPr="008F5339">
        <w:t xml:space="preserve"> eficiente </w:t>
      </w:r>
      <w:r>
        <w:t xml:space="preserve">e adequada </w:t>
      </w:r>
      <w:r w:rsidRPr="008F5339">
        <w:t>ou não. Ou seja, analisar a capacidade de se a</w:t>
      </w:r>
      <w:r>
        <w:t xml:space="preserve">tingir o controle inflacionário </w:t>
      </w:r>
      <w:r w:rsidRPr="008F5339">
        <w:t>junto ao melhor desempenho de variáveis macroeconômicas que possam ser vistas como medida de eficácia e eficiência respectivamente.</w:t>
      </w:r>
    </w:p>
    <w:p w:rsidR="007E080B" w:rsidRPr="006058C1" w:rsidRDefault="007E080B" w:rsidP="007E080B">
      <w:pPr>
        <w:pStyle w:val="CAROLTEXTOS"/>
      </w:pPr>
    </w:p>
    <w:p w:rsidR="007E080B" w:rsidRPr="006F56DD" w:rsidRDefault="00ED526C" w:rsidP="007E080B">
      <w:pPr>
        <w:pStyle w:val="CAROLTTULO2"/>
      </w:pPr>
      <w:bookmarkStart w:id="1" w:name="_Toc388302208"/>
      <w:bookmarkStart w:id="2" w:name="_Toc388306367"/>
      <w:bookmarkStart w:id="3" w:name="_Toc388306458"/>
      <w:bookmarkStart w:id="4" w:name="_Toc388447473"/>
      <w:r>
        <w:lastRenderedPageBreak/>
        <w:t xml:space="preserve">2. </w:t>
      </w:r>
      <w:r w:rsidR="007E080B" w:rsidRPr="006F56DD">
        <w:t xml:space="preserve"> O </w:t>
      </w:r>
      <w:r w:rsidR="007E080B">
        <w:t>Plano R</w:t>
      </w:r>
      <w:r w:rsidR="007E080B" w:rsidRPr="006F56DD">
        <w:t>eal</w:t>
      </w:r>
      <w:bookmarkEnd w:id="1"/>
      <w:bookmarkEnd w:id="2"/>
      <w:bookmarkEnd w:id="3"/>
      <w:bookmarkEnd w:id="4"/>
    </w:p>
    <w:p w:rsidR="007E080B" w:rsidRPr="00ED526C" w:rsidRDefault="007E080B" w:rsidP="00ED526C">
      <w:pPr>
        <w:pStyle w:val="CAROLTEXTOS"/>
      </w:pPr>
      <w:r>
        <w:t xml:space="preserve">De acordo com </w:t>
      </w:r>
      <w:proofErr w:type="spellStart"/>
      <w:r>
        <w:t>Grasel</w:t>
      </w:r>
      <w:proofErr w:type="spellEnd"/>
      <w:r>
        <w:t xml:space="preserve"> (2003), o objetivo prioritário do plano real era atingir a estabilidade monetária, pressuposto fundamental para a formação de uma base sólida capaz de gerar um crescimento sustentado. O autor ainda diferencia o conceito de estabilidade monetária do conceito de estabilidade econômica, sendo o primeiro relacionado ao controle da inflação e o segundo ao equilíbrio macroeconômico.</w:t>
      </w:r>
      <w:bookmarkStart w:id="5" w:name="_Toc388302209"/>
      <w:bookmarkStart w:id="6" w:name="_Toc388306368"/>
      <w:bookmarkStart w:id="7" w:name="_Toc388306459"/>
      <w:bookmarkStart w:id="8" w:name="_Toc388447474"/>
    </w:p>
    <w:p w:rsidR="007E080B" w:rsidRPr="006F56DD" w:rsidRDefault="007E080B" w:rsidP="007E080B">
      <w:pPr>
        <w:pStyle w:val="CAROLTTULO3"/>
      </w:pPr>
      <w:r w:rsidRPr="007D55E9">
        <w:rPr>
          <w:i w:val="0"/>
        </w:rPr>
        <w:t>2.</w:t>
      </w:r>
      <w:r w:rsidR="00ED526C">
        <w:rPr>
          <w:i w:val="0"/>
        </w:rPr>
        <w:t>1</w:t>
      </w:r>
      <w:r w:rsidRPr="006F56DD">
        <w:t xml:space="preserve"> O cenário inflacionário brasileiro</w:t>
      </w:r>
      <w:bookmarkEnd w:id="5"/>
      <w:bookmarkEnd w:id="6"/>
      <w:bookmarkEnd w:id="7"/>
      <w:bookmarkEnd w:id="8"/>
    </w:p>
    <w:p w:rsidR="007E080B" w:rsidRDefault="007E080B" w:rsidP="007E080B">
      <w:pPr>
        <w:pStyle w:val="CAROLTEXTOS"/>
      </w:pPr>
      <w:r>
        <w:t xml:space="preserve">Em seu estudo, </w:t>
      </w:r>
      <w:proofErr w:type="spellStart"/>
      <w:r>
        <w:t>Grasel</w:t>
      </w:r>
      <w:proofErr w:type="spellEnd"/>
      <w:r>
        <w:t xml:space="preserve"> (2003) afirma que o cenário brasileiro era marcado pela existência de um processo de aculturamento inflacionário que, segundo os monetaristas, seria formado pelo aumento da base monetária decorrente da emissão de moeda para o financiamento de déficits públicos. Desta maneira, os agentes começaram a associar a inflação passada à futura e os preços aumentavam além do nível dos custos de produção, configurando-se, assim, a inflação inercial. Nessa realidade, as medidas ortodoxas </w:t>
      </w:r>
      <w:proofErr w:type="spellStart"/>
      <w:r>
        <w:t>keynesianas</w:t>
      </w:r>
      <w:proofErr w:type="spellEnd"/>
      <w:r>
        <w:t xml:space="preserve"> perdem o efeito, gerando altos custos para a economia.</w:t>
      </w:r>
    </w:p>
    <w:p w:rsidR="007E080B" w:rsidRDefault="007E080B" w:rsidP="007E080B">
      <w:pPr>
        <w:pStyle w:val="CAROLTEXTOS"/>
      </w:pPr>
      <w:r>
        <w:t xml:space="preserve">Portanto, o objetivo do Plano Real era acabar com a inflação inercial que gerou a perda de credibilidade na moeda vigente além de esta ter perdido sua função de reserva de valor. Tornou-se assim, segundo </w:t>
      </w:r>
      <w:proofErr w:type="spellStart"/>
      <w:r>
        <w:t>Grasel</w:t>
      </w:r>
      <w:proofErr w:type="spellEnd"/>
      <w:r>
        <w:t xml:space="preserve"> (2003), imprescindível a criação de uma nova moeda.</w:t>
      </w:r>
    </w:p>
    <w:p w:rsidR="007E080B" w:rsidRPr="006F56DD" w:rsidRDefault="00ED526C" w:rsidP="007E080B">
      <w:pPr>
        <w:pStyle w:val="CAROLTTULO3"/>
      </w:pPr>
      <w:bookmarkStart w:id="9" w:name="_Toc388302210"/>
      <w:bookmarkStart w:id="10" w:name="_Toc388306369"/>
      <w:bookmarkStart w:id="11" w:name="_Toc388306460"/>
      <w:bookmarkStart w:id="12" w:name="_Toc388447475"/>
      <w:r>
        <w:rPr>
          <w:i w:val="0"/>
        </w:rPr>
        <w:t>2.1</w:t>
      </w:r>
      <w:r w:rsidR="007E080B" w:rsidRPr="007D55E9">
        <w:rPr>
          <w:i w:val="0"/>
        </w:rPr>
        <w:t>.</w:t>
      </w:r>
      <w:r>
        <w:rPr>
          <w:i w:val="0"/>
        </w:rPr>
        <w:t>1</w:t>
      </w:r>
      <w:r w:rsidR="007E080B" w:rsidRPr="006F56DD">
        <w:t xml:space="preserve"> A estruturação do Plano Real</w:t>
      </w:r>
      <w:bookmarkEnd w:id="9"/>
      <w:bookmarkEnd w:id="10"/>
      <w:bookmarkEnd w:id="11"/>
      <w:bookmarkEnd w:id="12"/>
      <w:r w:rsidR="007E080B" w:rsidRPr="006F56DD">
        <w:t xml:space="preserve"> </w:t>
      </w:r>
    </w:p>
    <w:p w:rsidR="007E080B" w:rsidRDefault="007E080B" w:rsidP="007E080B">
      <w:pPr>
        <w:pStyle w:val="CAROLTEXTOS"/>
      </w:pPr>
      <w:r w:rsidRPr="000034BF">
        <w:t>Vale ressaltar que apenas em 1994 com utilização de medidas ortodoxas e conservadoras, representadas por contenção fiscal e monetária, houve a implementação do Plano Real</w:t>
      </w:r>
      <w:r>
        <w:t xml:space="preserve">. </w:t>
      </w:r>
      <w:proofErr w:type="spellStart"/>
      <w:r>
        <w:t>Iahn</w:t>
      </w:r>
      <w:proofErr w:type="spellEnd"/>
      <w:r>
        <w:t xml:space="preserve"> e </w:t>
      </w:r>
      <w:proofErr w:type="spellStart"/>
      <w:r>
        <w:t>Missio</w:t>
      </w:r>
      <w:proofErr w:type="spellEnd"/>
      <w:r>
        <w:t xml:space="preserve"> (2009) destacam que</w:t>
      </w:r>
      <w:r w:rsidRPr="000034BF">
        <w:t xml:space="preserve"> o Brasil estava inserido em um cenári</w:t>
      </w:r>
      <w:r>
        <w:t>o favorável à estabilização devido à</w:t>
      </w:r>
      <w:r w:rsidRPr="000034BF">
        <w:t xml:space="preserve"> existência de al</w:t>
      </w:r>
      <w:r>
        <w:t>ta liquidez internacional e à</w:t>
      </w:r>
      <w:r w:rsidRPr="000034BF">
        <w:t xml:space="preserve"> liberalização financeira, que possibilitou o maior acúmulo de reservas internacionais e o sucesso do Plano Real.</w:t>
      </w:r>
      <w:r w:rsidRPr="00203361">
        <w:t xml:space="preserve"> </w:t>
      </w:r>
      <w:r w:rsidRPr="000034BF">
        <w:t>Basicamente, o Plano Real se sustentou em trê</w:t>
      </w:r>
      <w:r>
        <w:t xml:space="preserve">s pilares básicos, conforme destaca </w:t>
      </w:r>
      <w:proofErr w:type="spellStart"/>
      <w:r>
        <w:t>Modenesi</w:t>
      </w:r>
      <w:proofErr w:type="spellEnd"/>
      <w:r>
        <w:t xml:space="preserve"> (2010):</w:t>
      </w:r>
    </w:p>
    <w:p w:rsidR="007E080B" w:rsidRDefault="007E080B" w:rsidP="007E080B">
      <w:pPr>
        <w:pStyle w:val="CAROLTEXTOS"/>
        <w:spacing w:line="240" w:lineRule="auto"/>
        <w:ind w:left="2268" w:firstLine="0"/>
        <w:rPr>
          <w:sz w:val="20"/>
          <w:szCs w:val="20"/>
        </w:rPr>
      </w:pPr>
      <w:r w:rsidRPr="00EF7E12">
        <w:rPr>
          <w:sz w:val="20"/>
          <w:szCs w:val="20"/>
        </w:rPr>
        <w:t xml:space="preserve">As etapas do Plano podem ser assim sumariadas: i) realização de ajuste fiscal de curto prazo – com a criação do Plano de Ação </w:t>
      </w:r>
      <w:r w:rsidRPr="00EF7E12">
        <w:rPr>
          <w:sz w:val="20"/>
          <w:szCs w:val="20"/>
        </w:rPr>
        <w:lastRenderedPageBreak/>
        <w:t>Imediata e do Fundo Social de Emergência; ii) desindexação da economia por meio de uma reforma monetária – criando-se uma unidade de conta plenamente indexada, a Unidade Real de Valor, posteriormente transformada em moeda, o real, que substituiu o cruzeiro real; e iii) utilização de âncora cambial – caracterizada pela manutenção do real artificialmente sobrevalorizado por parte do Banco Central do Brasil (BCB).</w:t>
      </w:r>
      <w:r>
        <w:rPr>
          <w:sz w:val="20"/>
          <w:szCs w:val="20"/>
        </w:rPr>
        <w:t xml:space="preserve"> (MODENESI, 2010, p.1 -2)</w:t>
      </w:r>
    </w:p>
    <w:p w:rsidR="007E080B" w:rsidRPr="000034BF" w:rsidRDefault="007E080B" w:rsidP="007E080B">
      <w:pPr>
        <w:pStyle w:val="CAROLTEXTOS"/>
        <w:spacing w:line="240" w:lineRule="auto"/>
        <w:ind w:left="2268" w:firstLine="0"/>
        <w:rPr>
          <w:bCs/>
          <w:u w:val="single"/>
        </w:rPr>
      </w:pPr>
    </w:p>
    <w:p w:rsidR="007E080B" w:rsidRPr="0069430D" w:rsidRDefault="007E080B" w:rsidP="007E080B">
      <w:pPr>
        <w:pStyle w:val="CAROLTEXTOS"/>
      </w:pPr>
      <w:proofErr w:type="spellStart"/>
      <w:r>
        <w:t>Grasel</w:t>
      </w:r>
      <w:proofErr w:type="spellEnd"/>
      <w:r>
        <w:t xml:space="preserve"> (2003) mostra que houve o controle rígido da base monetária através da forte elevação das taxas de juros da economia. O objetivo era controlar a demanda efetiva e gerar maior estabilidade econômica através do desestímulo ao consumo e ao investimento e incentivo à poupança. Porém, d</w:t>
      </w:r>
      <w:r w:rsidRPr="0069430D">
        <w:t>e acordo com o BRASIL,</w:t>
      </w:r>
      <w:r>
        <w:t xml:space="preserve"> estas medidas somente foram possíveis após a implantação do Plano de Ação I</w:t>
      </w:r>
      <w:r w:rsidRPr="0069430D">
        <w:t>mediata, elaborad</w:t>
      </w:r>
      <w:r>
        <w:t>o</w:t>
      </w:r>
      <w:r w:rsidRPr="0069430D">
        <w:t xml:space="preserve"> em julho de 1993,</w:t>
      </w:r>
      <w:r>
        <w:t xml:space="preserve"> que visava </w:t>
      </w:r>
      <w:r w:rsidRPr="0069430D">
        <w:t>organizar as fi</w:t>
      </w:r>
      <w:r>
        <w:t xml:space="preserve">nanças públicas, </w:t>
      </w:r>
      <w:r w:rsidRPr="0069430D">
        <w:t>vistas como uma das</w:t>
      </w:r>
      <w:r>
        <w:t xml:space="preserve"> principais</w:t>
      </w:r>
      <w:r w:rsidRPr="0069430D">
        <w:t xml:space="preserve"> causas do processo inflacionário. Desta forma, propôs-se estabelecer uma maior eficiência nos gastos públicos, trazer uma recuperação tributária, buscar o fim da inadimplência dos estados frente à união,</w:t>
      </w:r>
      <w:r>
        <w:t xml:space="preserve"> </w:t>
      </w:r>
      <w:r w:rsidRPr="0069430D">
        <w:t>atingir um maior controle e fiscalização dos bancos estaduais,</w:t>
      </w:r>
      <w:r>
        <w:t xml:space="preserve"> </w:t>
      </w:r>
      <w:r w:rsidRPr="0069430D">
        <w:t>saneamento dos bancos federais e iniciar um intenso processo de privatização.</w:t>
      </w:r>
      <w:r>
        <w:t xml:space="preserve"> </w:t>
      </w:r>
      <w:r w:rsidRPr="00C80F7E">
        <w:t>Assim, haveria uma maior transparência no orçamento</w:t>
      </w:r>
      <w:r>
        <w:t xml:space="preserve"> e uma reorganização do setor pú</w:t>
      </w:r>
      <w:r w:rsidRPr="00C80F7E">
        <w:t>blico</w:t>
      </w:r>
      <w:r>
        <w:t>, fundamentais</w:t>
      </w:r>
      <w:r w:rsidRPr="00C80F7E">
        <w:t xml:space="preserve"> para </w:t>
      </w:r>
      <w:r>
        <w:t xml:space="preserve">a </w:t>
      </w:r>
      <w:r w:rsidRPr="00C80F7E">
        <w:t>implantação da nova moeda</w:t>
      </w:r>
      <w:r>
        <w:t>.</w:t>
      </w:r>
    </w:p>
    <w:p w:rsidR="007E080B" w:rsidRDefault="007E080B" w:rsidP="007E080B">
      <w:pPr>
        <w:pStyle w:val="CAROLTEXTOS"/>
      </w:pPr>
      <w:r>
        <w:t>Criou-se o mecanismo da Unidade Real de Valor (URV), um processo de transição econô</w:t>
      </w:r>
      <w:r w:rsidRPr="00C80F7E">
        <w:t>mica basead</w:t>
      </w:r>
      <w:r>
        <w:t>o</w:t>
      </w:r>
      <w:r w:rsidRPr="00C80F7E">
        <w:t xml:space="preserve"> na introdução de uma moeda</w:t>
      </w:r>
      <w:r>
        <w:t xml:space="preserve"> paralela no mercado</w:t>
      </w:r>
      <w:r w:rsidRPr="00C80F7E">
        <w:t>. Esta mo</w:t>
      </w:r>
      <w:r>
        <w:t xml:space="preserve">eda </w:t>
      </w:r>
      <w:r w:rsidRPr="00C80F7E">
        <w:t>teria sua conversi</w:t>
      </w:r>
      <w:r>
        <w:t>bilidade garantida pelo governo,</w:t>
      </w:r>
      <w:r w:rsidRPr="00C80F7E">
        <w:t xml:space="preserve"> sua indexação baseada no dólar como forma de garantir credibilidade, correção automática real</w:t>
      </w:r>
      <w:r>
        <w:t>izada pelo Banco Central, além d</w:t>
      </w:r>
      <w:r w:rsidRPr="00C80F7E">
        <w:t>a cotação de salários expressas nessa unidade.</w:t>
      </w:r>
      <w:r w:rsidRPr="00612DFB">
        <w:t xml:space="preserve"> </w:t>
      </w:r>
      <w:r>
        <w:t xml:space="preserve">De acordo com Oliveira, citado por </w:t>
      </w:r>
      <w:proofErr w:type="spellStart"/>
      <w:r>
        <w:t>Grasel</w:t>
      </w:r>
      <w:proofErr w:type="spellEnd"/>
      <w:r>
        <w:t xml:space="preserve"> (2003) </w:t>
      </w:r>
      <w:r w:rsidRPr="0056495E">
        <w:t xml:space="preserve">o mecanismo da URV permitiu uma transição mais suave do regime </w:t>
      </w:r>
      <w:r>
        <w:t xml:space="preserve">inflacionário </w:t>
      </w:r>
      <w:r w:rsidRPr="0056495E">
        <w:t xml:space="preserve">para </w:t>
      </w:r>
      <w:r>
        <w:t xml:space="preserve">o período de controle de preços </w:t>
      </w:r>
      <w:r w:rsidRPr="0056495E">
        <w:t>sem</w:t>
      </w:r>
      <w:r>
        <w:t xml:space="preserve"> que fosse necessária uma </w:t>
      </w:r>
      <w:r w:rsidRPr="0056495E">
        <w:t>intervenção no mercado.</w:t>
      </w:r>
      <w:r w:rsidRPr="00C80F7E">
        <w:t xml:space="preserve"> Desta forma, os agentes da sociedade poderiam ter maior confiança na moeda sem que o viés inflacionário do cruzado</w:t>
      </w:r>
      <w:r>
        <w:t xml:space="preserve"> "contaminasse" a nova moeda </w:t>
      </w:r>
      <w:r w:rsidRPr="007A2EB8">
        <w:t>(BRASIL, 2013).</w:t>
      </w:r>
    </w:p>
    <w:p w:rsidR="007E080B" w:rsidRPr="00C80F7E" w:rsidRDefault="007E080B" w:rsidP="007E080B">
      <w:pPr>
        <w:pStyle w:val="CAROLTEXTOS"/>
      </w:pPr>
      <w:r w:rsidRPr="00433480">
        <w:t xml:space="preserve">Junto à </w:t>
      </w:r>
      <w:r>
        <w:t xml:space="preserve">desindexação da economia, segundo </w:t>
      </w:r>
      <w:proofErr w:type="spellStart"/>
      <w:r>
        <w:t>Grasel</w:t>
      </w:r>
      <w:proofErr w:type="spellEnd"/>
      <w:r>
        <w:t xml:space="preserve"> (2003) , houve </w:t>
      </w:r>
      <w:r w:rsidRPr="00433480">
        <w:t>também</w:t>
      </w:r>
      <w:r>
        <w:t xml:space="preserve"> </w:t>
      </w:r>
      <w:r w:rsidRPr="00433480">
        <w:t xml:space="preserve">a utilização da âncora cambial, caracterizada </w:t>
      </w:r>
      <w:r>
        <w:t xml:space="preserve">pela sobrevalorização artificial </w:t>
      </w:r>
      <w:r w:rsidRPr="00433480">
        <w:t xml:space="preserve">do Real </w:t>
      </w:r>
      <w:r>
        <w:t>garantida pelo Banco Central através da Taxa Básica C</w:t>
      </w:r>
      <w:r w:rsidRPr="00433480">
        <w:t>entral (TBC) e da taxa de assistência do Banco Central (TBAN).</w:t>
      </w:r>
      <w:r>
        <w:t xml:space="preserve"> </w:t>
      </w:r>
      <w:r w:rsidRPr="00433480">
        <w:t>Esta</w:t>
      </w:r>
      <w:r>
        <w:t xml:space="preserve"> medida, junto </w:t>
      </w:r>
      <w:r>
        <w:lastRenderedPageBreak/>
        <w:t xml:space="preserve">ao processo de abertura da economia, visava gerar maior competitividade à economia brasileira frente ao cenário internacional. Portanto, com a taxa de câmbio sobrevalorizada, empresas brasileiras passaram a enfrentar maior concorrência externa, pois os produtos nacionais tornavam-se, comparativamente mais caros no exterior e as mercadorias estrangeiras mais baratas no mercado interno. Contudo, </w:t>
      </w:r>
      <w:proofErr w:type="spellStart"/>
      <w:r>
        <w:t>Grasel</w:t>
      </w:r>
      <w:proofErr w:type="spellEnd"/>
      <w:r>
        <w:t xml:space="preserve"> (2003) destaca que  houve um incentivo à importação de máquinas e equipamentos, essenciais para a reestruturação do parque industrial brasileiro e a formação de uma economia interna mais sólida e menos dependente do mercado externo.</w:t>
      </w:r>
    </w:p>
    <w:p w:rsidR="007E080B" w:rsidRPr="007D55E9" w:rsidRDefault="007E080B" w:rsidP="007E080B">
      <w:pPr>
        <w:pStyle w:val="CAROLTEXTOS"/>
      </w:pPr>
      <w:r w:rsidRPr="007D55E9">
        <w:t xml:space="preserve">Segundo </w:t>
      </w:r>
      <w:r>
        <w:t>Mercadante</w:t>
      </w:r>
      <w:r w:rsidRPr="000034BF">
        <w:t xml:space="preserve"> citado por </w:t>
      </w:r>
      <w:proofErr w:type="spellStart"/>
      <w:r w:rsidRPr="000034BF">
        <w:t>Iahn</w:t>
      </w:r>
      <w:proofErr w:type="spellEnd"/>
      <w:r w:rsidRPr="000034BF">
        <w:t xml:space="preserve"> e </w:t>
      </w:r>
      <w:proofErr w:type="spellStart"/>
      <w:r w:rsidRPr="000034BF">
        <w:t>Missio</w:t>
      </w:r>
      <w:proofErr w:type="spellEnd"/>
      <w:r w:rsidRPr="000034BF">
        <w:t xml:space="preserve"> (2009) a</w:t>
      </w:r>
      <w:r>
        <w:t xml:space="preserve">pesar de se ter alcançado a </w:t>
      </w:r>
      <w:r w:rsidRPr="000034BF">
        <w:t>estabilidade monetária, os altos níveis da taxa de juros passaram a afetar o equilíbrio macroeconômico através da presença de custos embutido</w:t>
      </w:r>
      <w:r>
        <w:t>s, através</w:t>
      </w:r>
      <w:r w:rsidRPr="000034BF">
        <w:t xml:space="preserve"> </w:t>
      </w:r>
      <w:r>
        <w:t xml:space="preserve">do </w:t>
      </w:r>
      <w:r w:rsidRPr="000034BF">
        <w:t>baixo níve</w:t>
      </w:r>
      <w:r>
        <w:t>l de crédito e de investimento que, por sua vez, poderia gerar perda de eficiência no processo</w:t>
      </w:r>
      <w:r w:rsidRPr="007D55E9">
        <w:t>.</w:t>
      </w:r>
    </w:p>
    <w:p w:rsidR="007E080B" w:rsidRPr="006F56DD" w:rsidRDefault="008167E4" w:rsidP="007E080B">
      <w:pPr>
        <w:pStyle w:val="CAROLTTULO2"/>
      </w:pPr>
      <w:bookmarkStart w:id="13" w:name="_Toc388302211"/>
      <w:bookmarkStart w:id="14" w:name="_Toc388306370"/>
      <w:bookmarkStart w:id="15" w:name="_Toc388306461"/>
      <w:bookmarkStart w:id="16" w:name="_Toc388447476"/>
      <w:r>
        <w:t>2.2</w:t>
      </w:r>
      <w:r w:rsidR="007E080B" w:rsidRPr="006F56DD">
        <w:t xml:space="preserve"> Regime de Âncoras Cambiais</w:t>
      </w:r>
      <w:bookmarkEnd w:id="13"/>
      <w:bookmarkEnd w:id="14"/>
      <w:bookmarkEnd w:id="15"/>
      <w:bookmarkEnd w:id="16"/>
    </w:p>
    <w:p w:rsidR="007E080B" w:rsidRDefault="007E080B" w:rsidP="007E080B">
      <w:pPr>
        <w:pStyle w:val="CAROLTEXTOS"/>
      </w:pPr>
      <w:r>
        <w:t>Durante a implementação do Plano Real, o Regime de Âncoras Cambiais tornou-se necessário e, d</w:t>
      </w:r>
      <w:r w:rsidRPr="009E15CC">
        <w:t>e acordo com Silva (2002),</w:t>
      </w:r>
      <w:r>
        <w:t xml:space="preserve"> caracteriza-se pelo estabelecimento de limites para a variação do câmbio, de forma que este flutue livremente dentro da banda pré-estabelecida. </w:t>
      </w:r>
      <w:r w:rsidRPr="009E15CC">
        <w:t>Poré</w:t>
      </w:r>
      <w:r>
        <w:t>m, é importante ressaltar que, a adoção deste regime leva à</w:t>
      </w:r>
      <w:r w:rsidRPr="009E15CC">
        <w:t xml:space="preserve"> </w:t>
      </w:r>
      <w:r>
        <w:t xml:space="preserve">submissão da </w:t>
      </w:r>
      <w:r w:rsidRPr="009E15CC">
        <w:t>política monetária</w:t>
      </w:r>
      <w:r>
        <w:t xml:space="preserve"> que passa a ser utilizada</w:t>
      </w:r>
      <w:r w:rsidRPr="009E15CC">
        <w:t xml:space="preserve"> como instrumento de controle de</w:t>
      </w:r>
      <w:r>
        <w:t xml:space="preserve"> câmbio. Assim, Silva (2002) destaca que à medida que a taxa de câmbio se aproxima dos limites, a autoridade monetária deverá intervir no mercado, como forma de manter o regime estável e passar credibilidade aos agentes econômicos.</w:t>
      </w:r>
    </w:p>
    <w:p w:rsidR="007E080B" w:rsidRPr="009E15CC" w:rsidRDefault="007E080B" w:rsidP="007E080B">
      <w:pPr>
        <w:pStyle w:val="CAROLTEXTOS"/>
      </w:pPr>
      <w:r w:rsidRPr="009E15CC">
        <w:t>Silva (2002) destaca que este regime é bastante utilizado em programas de estabilizaç</w:t>
      </w:r>
      <w:r>
        <w:t>ão e</w:t>
      </w:r>
      <w:r w:rsidRPr="009E15CC">
        <w:t xml:space="preserve">, portanto, </w:t>
      </w:r>
      <w:proofErr w:type="spellStart"/>
      <w:r w:rsidRPr="009E15CC">
        <w:t>Meotti</w:t>
      </w:r>
      <w:proofErr w:type="spellEnd"/>
      <w:r w:rsidRPr="009E15CC">
        <w:t xml:space="preserve"> (2009) apresenta algumas vantagens:</w:t>
      </w:r>
    </w:p>
    <w:p w:rsidR="007E080B" w:rsidRDefault="007E080B" w:rsidP="007E080B">
      <w:pPr>
        <w:pStyle w:val="CAROLTEXTOS"/>
        <w:spacing w:line="240" w:lineRule="auto"/>
      </w:pPr>
    </w:p>
    <w:p w:rsidR="007E080B" w:rsidRDefault="007E080B" w:rsidP="007E080B">
      <w:pPr>
        <w:pStyle w:val="CAROLCITAO"/>
      </w:pPr>
      <w:r w:rsidRPr="00B130D9">
        <w:t xml:space="preserve">Primeiramente, a âncora cambial fixa a taxa de inflação para mercadorias negociadas internacionalmente e, assim, contribui diretamente para a manutenção da inflação sob controle. Segundo, se a taxa de câmbio alvo é crível, ela ancora a expectativa de inflação à taxa de inflação do país na qual a moeda é ancorada. Terceiro, uma taxa de câmbio alvo fornece uma regra automática de conduta de política monetária que evita o problema </w:t>
      </w:r>
      <w:r>
        <w:t xml:space="preserve">da inconsistência dinâmica. </w:t>
      </w:r>
      <w:r w:rsidRPr="00B130D9">
        <w:t xml:space="preserve">Força um aperto da política monetária quando há uma tendência da moeda doméstica depreciar, ou um afrouxamento da </w:t>
      </w:r>
      <w:r w:rsidRPr="00B130D9">
        <w:lastRenderedPageBreak/>
        <w:t>política quando há uma tendência para que a moeda doméstica aprecie. Finalmente, uma taxa de câmbio alvo tem a vantagem da simplicidade e clareza, que faz dela facilmente compreendida pelo público.</w:t>
      </w:r>
      <w:r>
        <w:t xml:space="preserve"> (MEOTTI, 2009, p.20-21) </w:t>
      </w:r>
    </w:p>
    <w:p w:rsidR="007E080B" w:rsidRPr="009E15CC" w:rsidRDefault="007E080B" w:rsidP="007E080B">
      <w:pPr>
        <w:pStyle w:val="CAROLTEXTOS"/>
      </w:pPr>
    </w:p>
    <w:p w:rsidR="007E080B" w:rsidRDefault="007E080B" w:rsidP="007E080B">
      <w:pPr>
        <w:pStyle w:val="CAROLTEXTOS"/>
      </w:pPr>
      <w:r>
        <w:t>Silva (2002) destaca que  tornou</w:t>
      </w:r>
      <w:r w:rsidRPr="009E15CC">
        <w:t>-se necessária a adoção de altas taxas de juros internas</w:t>
      </w:r>
      <w:r>
        <w:t xml:space="preserve"> no intuito de </w:t>
      </w:r>
      <w:r w:rsidRPr="009E15CC">
        <w:t>atrair grande quantidade de moeda estrang</w:t>
      </w:r>
      <w:r>
        <w:t xml:space="preserve">eira e, portanto, possibilitar que  </w:t>
      </w:r>
      <w:r w:rsidRPr="009E15CC">
        <w:t xml:space="preserve">o câmbio </w:t>
      </w:r>
      <w:r>
        <w:t xml:space="preserve">fosse mantido fixo. </w:t>
      </w:r>
      <w:r w:rsidRPr="009E15CC">
        <w:t>Porém,</w:t>
      </w:r>
      <w:r>
        <w:t xml:space="preserve"> apesar das vantagens apresentadas,</w:t>
      </w:r>
      <w:r w:rsidRPr="009E15CC">
        <w:t xml:space="preserve"> a autora alerta que a elevação dos juros </w:t>
      </w:r>
      <w:r>
        <w:t xml:space="preserve">levaram a existência de altos custos uma vez que , gerou </w:t>
      </w:r>
      <w:r w:rsidRPr="009E15CC">
        <w:t>um aumento do déficit público e da dívida interna,</w:t>
      </w:r>
      <w:r>
        <w:t xml:space="preserve"> queda no nível de investimento e produto, aumento do desemprego,</w:t>
      </w:r>
      <w:r w:rsidRPr="009E15CC">
        <w:t xml:space="preserve"> além de</w:t>
      </w:r>
      <w:r>
        <w:t xml:space="preserve"> ter</w:t>
      </w:r>
      <w:r w:rsidRPr="009E15CC">
        <w:t xml:space="preserve"> el</w:t>
      </w:r>
      <w:r>
        <w:t>evado</w:t>
      </w:r>
      <w:r w:rsidRPr="009E15CC">
        <w:t xml:space="preserve"> a vulnerabilidade do país a ataques especulativos </w:t>
      </w:r>
      <w:r>
        <w:t xml:space="preserve">à moeda, o que contribuiu para que </w:t>
      </w:r>
      <w:r w:rsidRPr="009E15CC">
        <w:t xml:space="preserve">o modelo </w:t>
      </w:r>
      <w:r>
        <w:t>fracasse</w:t>
      </w:r>
      <w:r w:rsidRPr="009E15CC">
        <w:t>.</w:t>
      </w:r>
    </w:p>
    <w:p w:rsidR="007E080B" w:rsidRPr="006F56DD" w:rsidRDefault="007E080B" w:rsidP="007E080B">
      <w:pPr>
        <w:pStyle w:val="CAROLTEXTOS"/>
      </w:pPr>
      <w:r w:rsidRPr="00683146">
        <w:t>Portanto, o</w:t>
      </w:r>
      <w:r>
        <w:t xml:space="preserve"> Regime de Bandas C</w:t>
      </w:r>
      <w:r w:rsidRPr="00683146">
        <w:t>ambiais teve que ser abandonado em 1999, após o ataque especulativo ao Real advindo da crise asiática</w:t>
      </w:r>
      <w:r>
        <w:t xml:space="preserve"> e da moratória russa</w:t>
      </w:r>
      <w:r w:rsidRPr="00683146">
        <w:t>. Silva</w:t>
      </w:r>
      <w:r>
        <w:t xml:space="preserve"> </w:t>
      </w:r>
      <w:r w:rsidRPr="00683146">
        <w:t xml:space="preserve">(2002) </w:t>
      </w:r>
      <w:r>
        <w:t>destaca que</w:t>
      </w:r>
      <w:r w:rsidRPr="00683146">
        <w:t xml:space="preserve">, a fuga de capitais levou a uma deterioração do Balanço de pagamentos e </w:t>
      </w:r>
      <w:r>
        <w:t xml:space="preserve">a </w:t>
      </w:r>
      <w:r w:rsidRPr="00683146">
        <w:t>diminuição das reservas internacionais, o que impossibilitou a continuidade da âncora</w:t>
      </w:r>
      <w:r>
        <w:t xml:space="preserve">. </w:t>
      </w:r>
      <w:proofErr w:type="spellStart"/>
      <w:r>
        <w:t>Arestis</w:t>
      </w:r>
      <w:proofErr w:type="spellEnd"/>
      <w:r>
        <w:t xml:space="preserve">, Paula e Ferrari-Filho </w:t>
      </w:r>
      <w:r w:rsidRPr="00286309">
        <w:t>(2009)</w:t>
      </w:r>
      <w:r>
        <w:t xml:space="preserve"> afirmam que</w:t>
      </w:r>
      <w:r w:rsidRPr="00286309">
        <w:t xml:space="preserve"> </w:t>
      </w:r>
      <w:r>
        <w:t xml:space="preserve">em </w:t>
      </w:r>
      <w:r w:rsidRPr="00286309">
        <w:t>um cont</w:t>
      </w:r>
      <w:r>
        <w:t>exto de rigidez monetária exigiu</w:t>
      </w:r>
      <w:r w:rsidRPr="00286309">
        <w:t>-s</w:t>
      </w:r>
      <w:r>
        <w:t>e a adoção de um regime de câmbio flutuante</w:t>
      </w:r>
      <w:r w:rsidRPr="00286309">
        <w:t>, capaz de atingi</w:t>
      </w:r>
      <w:r>
        <w:t xml:space="preserve">r o equilíbrio do setor externo. </w:t>
      </w:r>
      <w:r w:rsidRPr="00286309">
        <w:t>Desta forma, em 1999, o Brasil passou a seguir o regime de metas de inflação</w:t>
      </w:r>
      <w:r w:rsidRPr="00683146">
        <w:t>.</w:t>
      </w:r>
    </w:p>
    <w:p w:rsidR="007E080B" w:rsidRPr="006F56DD" w:rsidRDefault="008167E4" w:rsidP="007E080B">
      <w:pPr>
        <w:pStyle w:val="CAROLTTULO2"/>
      </w:pPr>
      <w:bookmarkStart w:id="17" w:name="_Toc388302212"/>
      <w:bookmarkStart w:id="18" w:name="_Toc388306371"/>
      <w:bookmarkStart w:id="19" w:name="_Toc388306462"/>
      <w:bookmarkStart w:id="20" w:name="_Toc388447477"/>
      <w:r>
        <w:t>2.3</w:t>
      </w:r>
      <w:r w:rsidR="007E080B">
        <w:t xml:space="preserve"> R</w:t>
      </w:r>
      <w:r w:rsidR="007E080B" w:rsidRPr="006F56DD">
        <w:t>egime de metas de inflação</w:t>
      </w:r>
      <w:bookmarkEnd w:id="17"/>
      <w:bookmarkEnd w:id="18"/>
      <w:bookmarkEnd w:id="19"/>
      <w:bookmarkEnd w:id="20"/>
    </w:p>
    <w:p w:rsidR="007E080B" w:rsidRPr="00286309" w:rsidRDefault="007E080B" w:rsidP="007E080B">
      <w:pPr>
        <w:spacing w:line="360" w:lineRule="auto"/>
        <w:ind w:firstLine="708"/>
        <w:contextualSpacing/>
        <w:jc w:val="both"/>
        <w:rPr>
          <w:rFonts w:ascii="Arial" w:hAnsi="Arial" w:cs="Arial"/>
          <w:sz w:val="24"/>
          <w:szCs w:val="24"/>
        </w:rPr>
      </w:pPr>
      <w:r>
        <w:rPr>
          <w:rFonts w:ascii="Arial" w:hAnsi="Arial" w:cs="Arial"/>
          <w:sz w:val="24"/>
          <w:szCs w:val="24"/>
        </w:rPr>
        <w:t xml:space="preserve">Conforme destacado por </w:t>
      </w:r>
      <w:proofErr w:type="spellStart"/>
      <w:r>
        <w:rPr>
          <w:rFonts w:ascii="Arial" w:hAnsi="Arial" w:cs="Arial"/>
          <w:sz w:val="24"/>
          <w:szCs w:val="24"/>
        </w:rPr>
        <w:t>Arestis</w:t>
      </w:r>
      <w:proofErr w:type="spellEnd"/>
      <w:r>
        <w:rPr>
          <w:rFonts w:ascii="Arial" w:hAnsi="Arial" w:cs="Arial"/>
          <w:sz w:val="24"/>
          <w:szCs w:val="24"/>
        </w:rPr>
        <w:t xml:space="preserve">, Paula e Ferrari-Filho </w:t>
      </w:r>
      <w:r w:rsidRPr="00286309">
        <w:rPr>
          <w:rFonts w:ascii="Arial" w:hAnsi="Arial" w:cs="Arial"/>
          <w:sz w:val="24"/>
          <w:szCs w:val="24"/>
        </w:rPr>
        <w:t>(2009)</w:t>
      </w:r>
      <w:r>
        <w:rPr>
          <w:rFonts w:ascii="Arial" w:hAnsi="Arial" w:cs="Arial"/>
          <w:sz w:val="24"/>
          <w:szCs w:val="24"/>
        </w:rPr>
        <w:t xml:space="preserve"> o regime de metas possuem algumas características peculiares que garantem seu modo de funcionamento. Assim, inicialmente</w:t>
      </w:r>
      <w:r w:rsidRPr="00286309">
        <w:rPr>
          <w:rFonts w:ascii="Arial" w:hAnsi="Arial" w:cs="Arial"/>
          <w:sz w:val="24"/>
          <w:szCs w:val="24"/>
        </w:rPr>
        <w:t xml:space="preserve"> destacam que:</w:t>
      </w:r>
    </w:p>
    <w:p w:rsidR="007E080B" w:rsidRDefault="007E080B" w:rsidP="007E080B">
      <w:pPr>
        <w:numPr>
          <w:ilvl w:val="0"/>
          <w:numId w:val="1"/>
        </w:numPr>
        <w:spacing w:line="360" w:lineRule="auto"/>
        <w:contextualSpacing/>
        <w:jc w:val="both"/>
        <w:rPr>
          <w:rFonts w:ascii="Arial" w:hAnsi="Arial" w:cs="Arial"/>
          <w:sz w:val="24"/>
          <w:szCs w:val="24"/>
        </w:rPr>
      </w:pPr>
      <w:r w:rsidRPr="00F627FA">
        <w:rPr>
          <w:rFonts w:ascii="Arial" w:hAnsi="Arial" w:cs="Arial"/>
          <w:sz w:val="24"/>
          <w:szCs w:val="24"/>
        </w:rPr>
        <w:t xml:space="preserve">o regime de metas de inflação </w:t>
      </w:r>
      <w:r>
        <w:rPr>
          <w:rFonts w:ascii="Arial" w:hAnsi="Arial" w:cs="Arial"/>
          <w:sz w:val="24"/>
          <w:szCs w:val="24"/>
        </w:rPr>
        <w:t>relaciona-se à</w:t>
      </w:r>
      <w:r w:rsidRPr="00F627FA">
        <w:rPr>
          <w:rFonts w:ascii="Arial" w:hAnsi="Arial" w:cs="Arial"/>
          <w:sz w:val="24"/>
          <w:szCs w:val="24"/>
        </w:rPr>
        <w:t xml:space="preserve"> política monetária</w:t>
      </w:r>
      <w:r>
        <w:rPr>
          <w:rFonts w:ascii="Arial" w:hAnsi="Arial" w:cs="Arial"/>
          <w:sz w:val="24"/>
          <w:szCs w:val="24"/>
        </w:rPr>
        <w:t xml:space="preserve"> e caracteriza-se pelo anúncio</w:t>
      </w:r>
      <w:r w:rsidRPr="00F627FA">
        <w:rPr>
          <w:rFonts w:ascii="Arial" w:hAnsi="Arial" w:cs="Arial"/>
          <w:sz w:val="24"/>
          <w:szCs w:val="24"/>
        </w:rPr>
        <w:t xml:space="preserve"> das metas oficiais de inflação visam estabelecer um equilíbrio de longo prazo do nível de preços. Ressaltam também que pode existir a estabilidade do produto desde que não haja a violação do primeiro pressuposto. Neste contexto, as metas são anunciadas e assim, estabelece-se um limite temporal para o cumprimento do objetivo traçado. Desta forma, o sistema de metas promove uma melhora na </w:t>
      </w:r>
      <w:r w:rsidRPr="00F627FA">
        <w:rPr>
          <w:rFonts w:ascii="Arial" w:hAnsi="Arial" w:cs="Arial"/>
          <w:sz w:val="24"/>
          <w:szCs w:val="24"/>
        </w:rPr>
        <w:lastRenderedPageBreak/>
        <w:t>comunicação entre os agentes componentes do mercado e as instituições responsáveis pela aplicação das políticas monetárias. Assim, utiliza-se da c</w:t>
      </w:r>
      <w:r>
        <w:rPr>
          <w:rFonts w:ascii="Arial" w:hAnsi="Arial" w:cs="Arial"/>
          <w:sz w:val="24"/>
          <w:szCs w:val="24"/>
        </w:rPr>
        <w:t>redibilidade das instituições e</w:t>
      </w:r>
      <w:r w:rsidRPr="00F627FA">
        <w:rPr>
          <w:rFonts w:ascii="Arial" w:hAnsi="Arial" w:cs="Arial"/>
          <w:sz w:val="24"/>
          <w:szCs w:val="24"/>
        </w:rPr>
        <w:t xml:space="preserve"> da flexibilidade das políticas na tentativa de promover o controle dos preços. </w:t>
      </w:r>
    </w:p>
    <w:p w:rsidR="007E080B" w:rsidRPr="00F627FA" w:rsidRDefault="007E080B" w:rsidP="007E080B">
      <w:pPr>
        <w:numPr>
          <w:ilvl w:val="0"/>
          <w:numId w:val="1"/>
        </w:numPr>
        <w:spacing w:line="360" w:lineRule="auto"/>
        <w:contextualSpacing/>
        <w:jc w:val="both"/>
        <w:rPr>
          <w:rFonts w:ascii="Arial" w:hAnsi="Arial" w:cs="Arial"/>
          <w:sz w:val="24"/>
          <w:szCs w:val="24"/>
        </w:rPr>
      </w:pPr>
      <w:r w:rsidRPr="00F627FA">
        <w:rPr>
          <w:rFonts w:ascii="Arial" w:hAnsi="Arial" w:cs="Arial"/>
          <w:sz w:val="24"/>
          <w:szCs w:val="24"/>
        </w:rPr>
        <w:t xml:space="preserve">A política monetária é o principal instrumento para condução da política macroeconômica, sendo esta flexível para o alcance da estabilidade de preços. Assim, é o principal meio para se obter um controle </w:t>
      </w:r>
      <w:r>
        <w:rPr>
          <w:rFonts w:ascii="Arial" w:hAnsi="Arial" w:cs="Arial"/>
          <w:sz w:val="24"/>
          <w:szCs w:val="24"/>
        </w:rPr>
        <w:t>da inflação</w:t>
      </w:r>
      <w:r w:rsidRPr="00F627FA">
        <w:rPr>
          <w:rFonts w:ascii="Arial" w:hAnsi="Arial" w:cs="Arial"/>
          <w:sz w:val="24"/>
          <w:szCs w:val="24"/>
        </w:rPr>
        <w:t xml:space="preserve"> no longo prazo.</w:t>
      </w:r>
    </w:p>
    <w:p w:rsidR="007E080B" w:rsidRPr="00286309" w:rsidRDefault="007E080B" w:rsidP="007E080B">
      <w:pPr>
        <w:numPr>
          <w:ilvl w:val="0"/>
          <w:numId w:val="1"/>
        </w:numPr>
        <w:spacing w:line="360" w:lineRule="auto"/>
        <w:contextualSpacing/>
        <w:jc w:val="both"/>
        <w:rPr>
          <w:rFonts w:ascii="Arial" w:hAnsi="Arial" w:cs="Arial"/>
          <w:sz w:val="24"/>
          <w:szCs w:val="24"/>
        </w:rPr>
      </w:pPr>
      <w:r w:rsidRPr="00286309">
        <w:rPr>
          <w:rFonts w:ascii="Arial" w:hAnsi="Arial" w:cs="Arial"/>
          <w:sz w:val="24"/>
          <w:szCs w:val="24"/>
        </w:rPr>
        <w:t>A política monetária, de acordo com Kydland e P</w:t>
      </w:r>
      <w:r>
        <w:rPr>
          <w:rFonts w:ascii="Arial" w:hAnsi="Arial" w:cs="Arial"/>
          <w:sz w:val="24"/>
          <w:szCs w:val="24"/>
        </w:rPr>
        <w:t xml:space="preserve">rescott, citados por </w:t>
      </w:r>
      <w:proofErr w:type="spellStart"/>
      <w:r>
        <w:rPr>
          <w:rFonts w:ascii="Arial" w:hAnsi="Arial" w:cs="Arial"/>
          <w:sz w:val="24"/>
          <w:szCs w:val="24"/>
        </w:rPr>
        <w:t>Arestis</w:t>
      </w:r>
      <w:proofErr w:type="spellEnd"/>
      <w:r>
        <w:rPr>
          <w:rFonts w:ascii="Arial" w:hAnsi="Arial" w:cs="Arial"/>
          <w:sz w:val="24"/>
          <w:szCs w:val="24"/>
        </w:rPr>
        <w:t>, Paula e Ferrari-Filho</w:t>
      </w:r>
      <w:r w:rsidRPr="00286309">
        <w:rPr>
          <w:rFonts w:ascii="Arial" w:hAnsi="Arial" w:cs="Arial"/>
          <w:sz w:val="24"/>
          <w:szCs w:val="24"/>
        </w:rPr>
        <w:t xml:space="preserve"> (2009), deve ser conduzida por uma instituição</w:t>
      </w:r>
      <w:r>
        <w:rPr>
          <w:rFonts w:ascii="Arial" w:hAnsi="Arial" w:cs="Arial"/>
          <w:sz w:val="24"/>
          <w:szCs w:val="24"/>
        </w:rPr>
        <w:t xml:space="preserve"> como o Banco central</w:t>
      </w:r>
      <w:r w:rsidRPr="00286309">
        <w:rPr>
          <w:rFonts w:ascii="Arial" w:hAnsi="Arial" w:cs="Arial"/>
          <w:sz w:val="24"/>
          <w:szCs w:val="24"/>
        </w:rPr>
        <w:t>,</w:t>
      </w:r>
      <w:r>
        <w:rPr>
          <w:rFonts w:ascii="Arial" w:hAnsi="Arial" w:cs="Arial"/>
          <w:sz w:val="24"/>
          <w:szCs w:val="24"/>
        </w:rPr>
        <w:t xml:space="preserve"> independente do governo</w:t>
      </w:r>
      <w:r w:rsidRPr="00286309">
        <w:rPr>
          <w:rFonts w:ascii="Arial" w:hAnsi="Arial" w:cs="Arial"/>
          <w:sz w:val="24"/>
          <w:szCs w:val="24"/>
        </w:rPr>
        <w:t>,</w:t>
      </w:r>
      <w:r>
        <w:rPr>
          <w:rFonts w:ascii="Arial" w:hAnsi="Arial" w:cs="Arial"/>
          <w:sz w:val="24"/>
          <w:szCs w:val="24"/>
        </w:rPr>
        <w:t xml:space="preserve"> </w:t>
      </w:r>
      <w:r w:rsidRPr="00286309">
        <w:rPr>
          <w:rFonts w:ascii="Arial" w:hAnsi="Arial" w:cs="Arial"/>
          <w:sz w:val="24"/>
          <w:szCs w:val="24"/>
        </w:rPr>
        <w:t>para que não haja a existên</w:t>
      </w:r>
      <w:r>
        <w:rPr>
          <w:rFonts w:ascii="Arial" w:hAnsi="Arial" w:cs="Arial"/>
          <w:sz w:val="24"/>
          <w:szCs w:val="24"/>
        </w:rPr>
        <w:t xml:space="preserve">cia de ganhos de curto prazo e </w:t>
      </w:r>
      <w:r w:rsidRPr="00286309">
        <w:rPr>
          <w:rFonts w:ascii="Arial" w:hAnsi="Arial" w:cs="Arial"/>
          <w:sz w:val="24"/>
          <w:szCs w:val="24"/>
        </w:rPr>
        <w:t>“problemas de inconsistência intertemporal” não sejam recorrentes. Além disso, os autores destacam que a existência de um Banco central independente proporciona maior credibilidade das instituições perante os agentes quanto ao controle da inflação.</w:t>
      </w:r>
    </w:p>
    <w:p w:rsidR="007E080B" w:rsidRPr="00286309" w:rsidRDefault="007E080B" w:rsidP="007E080B">
      <w:pPr>
        <w:numPr>
          <w:ilvl w:val="0"/>
          <w:numId w:val="1"/>
        </w:numPr>
        <w:spacing w:line="360" w:lineRule="auto"/>
        <w:contextualSpacing/>
        <w:jc w:val="both"/>
        <w:rPr>
          <w:rFonts w:ascii="Arial" w:hAnsi="Arial" w:cs="Arial"/>
          <w:sz w:val="24"/>
          <w:szCs w:val="24"/>
        </w:rPr>
      </w:pPr>
      <w:r w:rsidRPr="00286309">
        <w:rPr>
          <w:rFonts w:ascii="Arial" w:hAnsi="Arial" w:cs="Arial"/>
          <w:sz w:val="24"/>
          <w:szCs w:val="24"/>
        </w:rPr>
        <w:t>A adoção das políticas monetár</w:t>
      </w:r>
      <w:r>
        <w:rPr>
          <w:rFonts w:ascii="Arial" w:hAnsi="Arial" w:cs="Arial"/>
          <w:sz w:val="24"/>
          <w:szCs w:val="24"/>
        </w:rPr>
        <w:t>ias deve estar alinhada</w:t>
      </w:r>
      <w:r w:rsidRPr="00286309">
        <w:rPr>
          <w:rFonts w:ascii="Arial" w:hAnsi="Arial" w:cs="Arial"/>
          <w:sz w:val="24"/>
          <w:szCs w:val="24"/>
        </w:rPr>
        <w:t xml:space="preserve"> com os princípios de abertura, transparência e responsabilidade de forma a melhorar a credibilidade das instituições e diminuir as incertezas relativas às preferências do Banco Central.</w:t>
      </w:r>
    </w:p>
    <w:p w:rsidR="007E080B" w:rsidRPr="007A2EB8" w:rsidRDefault="007E080B" w:rsidP="007E080B">
      <w:pPr>
        <w:numPr>
          <w:ilvl w:val="0"/>
          <w:numId w:val="1"/>
        </w:numPr>
        <w:spacing w:line="360" w:lineRule="auto"/>
        <w:contextualSpacing/>
        <w:jc w:val="both"/>
        <w:rPr>
          <w:rFonts w:ascii="Arial" w:hAnsi="Arial" w:cs="Arial"/>
          <w:sz w:val="24"/>
          <w:szCs w:val="24"/>
        </w:rPr>
      </w:pPr>
      <w:r w:rsidRPr="00286309">
        <w:rPr>
          <w:rFonts w:ascii="Arial" w:hAnsi="Arial" w:cs="Arial"/>
          <w:sz w:val="24"/>
          <w:szCs w:val="24"/>
        </w:rPr>
        <w:t>No caso de economias abertas, as políticas monetárias,</w:t>
      </w:r>
      <w:r>
        <w:rPr>
          <w:rFonts w:ascii="Arial" w:hAnsi="Arial" w:cs="Arial"/>
          <w:sz w:val="24"/>
          <w:szCs w:val="24"/>
        </w:rPr>
        <w:t xml:space="preserve"> </w:t>
      </w:r>
      <w:r w:rsidRPr="00286309">
        <w:rPr>
          <w:rFonts w:ascii="Arial" w:hAnsi="Arial" w:cs="Arial"/>
          <w:sz w:val="24"/>
          <w:szCs w:val="24"/>
        </w:rPr>
        <w:t>através do patamar da taxa de juros adotada, exercem influencia sobre o câmbio flutuante que, por sua vez, podem impactar no nível do produto.</w:t>
      </w:r>
    </w:p>
    <w:p w:rsidR="007E080B" w:rsidRPr="00286309" w:rsidRDefault="007E080B" w:rsidP="007E080B">
      <w:pPr>
        <w:pStyle w:val="CAROLTEXTOS"/>
      </w:pPr>
      <w:r w:rsidRPr="00286309">
        <w:t xml:space="preserve">Ainda de acordo com </w:t>
      </w:r>
      <w:proofErr w:type="spellStart"/>
      <w:r>
        <w:t>Arestis</w:t>
      </w:r>
      <w:proofErr w:type="spellEnd"/>
      <w:r>
        <w:t>, Paula e Ferrari-Filho</w:t>
      </w:r>
      <w:r w:rsidRPr="00286309">
        <w:t xml:space="preserve"> </w:t>
      </w:r>
      <w:r>
        <w:t>(2009), o Sistema de Metas de I</w:t>
      </w:r>
      <w:r w:rsidRPr="00286309">
        <w:t xml:space="preserve">nflação </w:t>
      </w:r>
      <w:r>
        <w:t xml:space="preserve">terá o auxílio do </w:t>
      </w:r>
      <w:r w:rsidRPr="00286309">
        <w:t>Conselho Monetário Nacional (CMN) como órgão responsável por estabelec</w:t>
      </w:r>
      <w:r>
        <w:t xml:space="preserve">er e atingir as metas de inflação </w:t>
      </w:r>
      <w:r w:rsidRPr="00286309">
        <w:t>através da utilização das taxas de juros de curto prazo.</w:t>
      </w:r>
      <w:r>
        <w:t xml:space="preserve"> </w:t>
      </w:r>
      <w:r w:rsidRPr="00286309">
        <w:t>Além disso,</w:t>
      </w:r>
      <w:r>
        <w:t xml:space="preserve"> </w:t>
      </w:r>
      <w:r w:rsidRPr="00286309">
        <w:t>a meta de in</w:t>
      </w:r>
      <w:r>
        <w:t>flação brasileira é baseada no Í</w:t>
      </w:r>
      <w:r w:rsidRPr="00286309">
        <w:t>ndice de preços ao consumidor amplo (IPCA) e possui um determinado grau de flexibilidade devido à margem de erro de dois pontos percentuais para cima ou para baixo da meta central,</w:t>
      </w:r>
      <w:r>
        <w:t xml:space="preserve"> fator este que auxilia o Banco Central (BACEN)</w:t>
      </w:r>
      <w:r w:rsidRPr="00286309">
        <w:t xml:space="preserve"> a atingir s</w:t>
      </w:r>
      <w:r>
        <w:t xml:space="preserve">ua meta em momentos de choques </w:t>
      </w:r>
      <w:r w:rsidRPr="00286309">
        <w:lastRenderedPageBreak/>
        <w:t>econômicos internos ou externos.</w:t>
      </w:r>
    </w:p>
    <w:p w:rsidR="007E080B" w:rsidRPr="00286309" w:rsidRDefault="007E080B" w:rsidP="007E080B">
      <w:pPr>
        <w:pStyle w:val="CAROLTEXTOS"/>
      </w:pPr>
      <w:r w:rsidRPr="00286309">
        <w:t>Os autores</w:t>
      </w:r>
      <w:r>
        <w:t xml:space="preserve"> </w:t>
      </w:r>
      <w:r w:rsidRPr="00286309">
        <w:t xml:space="preserve">Os autores ainda </w:t>
      </w:r>
      <w:r>
        <w:t>explicam</w:t>
      </w:r>
      <w:r w:rsidRPr="00286309">
        <w:t xml:space="preserve"> que, o cumprimento da meta se dá quando a variação anual no nível de preços</w:t>
      </w:r>
      <w:r>
        <w:t xml:space="preserve"> estiver dentro dos limites pré-estabelecidos</w:t>
      </w:r>
      <w:r w:rsidRPr="00286309">
        <w:t xml:space="preserve">. </w:t>
      </w:r>
      <w:r>
        <w:t>C</w:t>
      </w:r>
      <w:r w:rsidRPr="00286309">
        <w:t>aso não haja o cumprimento da meta, cabe ao</w:t>
      </w:r>
      <w:r>
        <w:t xml:space="preserve"> Banco Central </w:t>
      </w:r>
      <w:r w:rsidRPr="00286309">
        <w:t xml:space="preserve"> </w:t>
      </w:r>
      <w:r>
        <w:t>(</w:t>
      </w:r>
      <w:r w:rsidRPr="00286309">
        <w:t>BACEN</w:t>
      </w:r>
      <w:r>
        <w:t>)</w:t>
      </w:r>
      <w:r w:rsidRPr="00286309">
        <w:t xml:space="preserve"> a explicaç</w:t>
      </w:r>
      <w:r>
        <w:t>ão</w:t>
      </w:r>
      <w:r w:rsidRPr="00286309">
        <w:t xml:space="preserve"> do fracasso e a proposta para o retorno à meta dentro do prazo posteriormente estipulado. É importante ressaltar que a meta da taxa SEL</w:t>
      </w:r>
      <w:r>
        <w:t>IC é fixada em cada reunião do Comitê de Política M</w:t>
      </w:r>
      <w:r w:rsidRPr="00286309">
        <w:t>onetária (COPOM), sendo esta passível de alterações nas reuniões</w:t>
      </w:r>
      <w:r>
        <w:t xml:space="preserve"> posteriores</w:t>
      </w:r>
      <w:r w:rsidRPr="00286309">
        <w:t>. Além disso, ao final de cada trimestre o COPOM é responsável por publicar o Relatório de inflação que fornece informações do cenário econômico e as previsões para o desempenho inflacionário.</w:t>
      </w:r>
    </w:p>
    <w:p w:rsidR="007E080B" w:rsidRPr="006F56DD" w:rsidRDefault="007E080B" w:rsidP="007E080B">
      <w:pPr>
        <w:pStyle w:val="CAROLTEXTOS"/>
      </w:pPr>
      <w:r w:rsidRPr="00286309">
        <w:t xml:space="preserve">Ao analisar o contexto histórico brasileiro, após a adoção do sistema de metas de inflação, </w:t>
      </w:r>
      <w:proofErr w:type="spellStart"/>
      <w:r>
        <w:t>Arestis</w:t>
      </w:r>
      <w:proofErr w:type="spellEnd"/>
      <w:r>
        <w:t>, Paula e Ferrari Filho</w:t>
      </w:r>
      <w:r w:rsidRPr="00286309">
        <w:t xml:space="preserve"> </w:t>
      </w:r>
      <w:r>
        <w:t>(2009) afirmam que o Brasil</w:t>
      </w:r>
      <w:r w:rsidRPr="00286309">
        <w:t xml:space="preserve">, apesar de estar em consonância com a regra de Taylor, ainda possui uma inflação considerada alta, </w:t>
      </w:r>
      <w:r>
        <w:t>quando</w:t>
      </w:r>
      <w:r w:rsidRPr="00286309">
        <w:t xml:space="preserve"> comparada aos demais países da América latina, apresentando uma média de 8,2% ao ano no período de 1999-2005.</w:t>
      </w:r>
      <w:r>
        <w:t xml:space="preserve"> J</w:t>
      </w:r>
      <w:r w:rsidRPr="00286309">
        <w:t>unto a es</w:t>
      </w:r>
      <w:r>
        <w:t>s</w:t>
      </w:r>
      <w:r w:rsidRPr="00286309">
        <w:t>e cenário, observa-se a adoção de altas taxas de juros como meio de atingir o centro da meta pré-estabelecida que, contribuem para a formação de um cenário de baixo crescimen</w:t>
      </w:r>
      <w:r>
        <w:t>to econômico e para a deterior</w:t>
      </w:r>
      <w:r w:rsidRPr="00286309">
        <w:t xml:space="preserve">ação de variáveis como a dívida pública. Assim, </w:t>
      </w:r>
      <w:proofErr w:type="spellStart"/>
      <w:r w:rsidRPr="00286309">
        <w:t>Modenesi</w:t>
      </w:r>
      <w:proofErr w:type="spellEnd"/>
      <w:r w:rsidRPr="00286309">
        <w:t xml:space="preserve"> (2010) afirma haver problemas no mecanismo de condução da política monetária brasileira e</w:t>
      </w:r>
      <w:r>
        <w:t>nquanto</w:t>
      </w:r>
      <w:r w:rsidRPr="00286309">
        <w:t xml:space="preserve"> </w:t>
      </w:r>
      <w:proofErr w:type="spellStart"/>
      <w:r>
        <w:t>Arestis</w:t>
      </w:r>
      <w:proofErr w:type="spellEnd"/>
      <w:r>
        <w:t>, Paula e Ferrari Filho</w:t>
      </w:r>
      <w:r w:rsidRPr="00286309">
        <w:t xml:space="preserve"> </w:t>
      </w:r>
      <w:r>
        <w:t xml:space="preserve">(2009) </w:t>
      </w:r>
      <w:r w:rsidRPr="00286309">
        <w:t>questiona</w:t>
      </w:r>
      <w:r>
        <w:t>m</w:t>
      </w:r>
      <w:r w:rsidRPr="00286309">
        <w:t xml:space="preserve"> a eficiência da política monetária </w:t>
      </w:r>
      <w:r>
        <w:t>como forma principal de se atingir o</w:t>
      </w:r>
      <w:r w:rsidRPr="00286309">
        <w:t xml:space="preserve"> controle inflacionário.</w:t>
      </w:r>
    </w:p>
    <w:p w:rsidR="007E080B" w:rsidRDefault="007E080B"/>
    <w:p w:rsidR="007E080B" w:rsidRPr="00F11193" w:rsidRDefault="008167E4" w:rsidP="007E080B">
      <w:pPr>
        <w:pStyle w:val="CAROLTTULO2"/>
      </w:pPr>
      <w:bookmarkStart w:id="21" w:name="_Toc388447479"/>
      <w:r>
        <w:t>2.4</w:t>
      </w:r>
      <w:r w:rsidR="007E080B" w:rsidRPr="00F11193">
        <w:t xml:space="preserve"> O papel da taxa de juros</w:t>
      </w:r>
      <w:bookmarkEnd w:id="21"/>
    </w:p>
    <w:p w:rsidR="007E080B" w:rsidRDefault="007E080B" w:rsidP="007E080B">
      <w:pPr>
        <w:pStyle w:val="CAROLTEXTOS"/>
      </w:pPr>
      <w:proofErr w:type="spellStart"/>
      <w:r w:rsidRPr="00945BEA">
        <w:t>Biondi</w:t>
      </w:r>
      <w:proofErr w:type="spellEnd"/>
      <w:r w:rsidRPr="00945BEA">
        <w:t xml:space="preserve"> (2006) avalia que a taxa de juros </w:t>
      </w:r>
      <w:r>
        <w:t xml:space="preserve">como </w:t>
      </w:r>
      <w:r w:rsidRPr="00945BEA">
        <w:t xml:space="preserve">o principal mecanismo utilizado para a aplicação de uma política monetária, através da regra de Taylor, a qual a taxa de juros </w:t>
      </w:r>
      <w:r>
        <w:t>deve ser elevada quando houver</w:t>
      </w:r>
      <w:r w:rsidRPr="00945BEA">
        <w:t xml:space="preserve"> uma pressão inflacionária e reduzida quand</w:t>
      </w:r>
      <w:r>
        <w:t>o os níveis de preços estiverem</w:t>
      </w:r>
      <w:r w:rsidRPr="00945BEA">
        <w:t xml:space="preserve"> apresentando uma tendência de queda. Assim, </w:t>
      </w:r>
      <w:proofErr w:type="spellStart"/>
      <w:r w:rsidRPr="00945BEA">
        <w:t>Biondi</w:t>
      </w:r>
      <w:proofErr w:type="spellEnd"/>
      <w:r w:rsidRPr="00945BEA">
        <w:t xml:space="preserve"> (2006) acredita que é possível pensar no controle inflacionário como um efeit</w:t>
      </w:r>
      <w:r>
        <w:t>o gerado pelo mecanismo da Cur</w:t>
      </w:r>
      <w:r w:rsidRPr="00945BEA">
        <w:t>va de Philips, onde a taxa de juros seria a ferramenta responsável por este controle</w:t>
      </w:r>
      <w:r>
        <w:t>.</w:t>
      </w:r>
    </w:p>
    <w:p w:rsidR="007E080B" w:rsidRDefault="007E080B" w:rsidP="007E080B">
      <w:pPr>
        <w:pStyle w:val="CAROLTEXTOS"/>
      </w:pPr>
      <w:r>
        <w:lastRenderedPageBreak/>
        <w:t xml:space="preserve">A partir desta idéia </w:t>
      </w:r>
      <w:proofErr w:type="spellStart"/>
      <w:r>
        <w:t>Biondi</w:t>
      </w:r>
      <w:proofErr w:type="spellEnd"/>
      <w:r>
        <w:t xml:space="preserve"> apresenta a relação proposta pela Regra de Taylor:</w:t>
      </w:r>
    </w:p>
    <w:p w:rsidR="007E080B" w:rsidRDefault="007E080B" w:rsidP="007E080B">
      <w:pPr>
        <w:spacing w:line="360" w:lineRule="auto"/>
        <w:contextualSpacing/>
        <w:jc w:val="both"/>
        <w:rPr>
          <w:rFonts w:ascii="Arial" w:hAnsi="Arial" w:cs="Arial"/>
          <w:sz w:val="24"/>
          <w:szCs w:val="24"/>
        </w:rPr>
      </w:pPr>
    </w:p>
    <w:p w:rsidR="007E080B" w:rsidRPr="00FB39F3" w:rsidRDefault="007E080B" w:rsidP="007E080B">
      <w:pPr>
        <w:pStyle w:val="CAROLTEXTOS"/>
      </w:pPr>
      <m:oMath>
        <m:r>
          <w:rPr>
            <w:rFonts w:ascii="Cambria Math" w:hAnsi="Cambria Math"/>
            <w:lang w:val="en-US"/>
          </w:rPr>
          <m:t>i</m:t>
        </m:r>
        <m:r>
          <w:rPr>
            <w:rFonts w:ascii="Cambria Math"/>
          </w:rPr>
          <m:t>=</m:t>
        </m:r>
        <m:r>
          <w:rPr>
            <w:rFonts w:ascii="Cambria Math" w:hAnsi="Cambria Math"/>
            <w:lang w:val="en-US"/>
          </w:rPr>
          <m:t>i</m:t>
        </m:r>
        <m:r>
          <w:rPr>
            <w:rFonts w:hAnsi="Cambria Math"/>
          </w:rPr>
          <m:t>*</m:t>
        </m:r>
        <m:r>
          <w:rPr>
            <w:rFonts w:ascii="Cambria Math"/>
          </w:rPr>
          <m:t xml:space="preserve"> + </m:t>
        </m:r>
        <m:r>
          <w:rPr>
            <w:rFonts w:ascii="Cambria Math" w:hAnsi="Cambria Math"/>
            <w:lang w:val="en-US"/>
          </w:rPr>
          <m:t>α</m:t>
        </m:r>
        <m:r>
          <w:rPr>
            <w:rFonts w:ascii="Cambria Math"/>
          </w:rPr>
          <m:t>(</m:t>
        </m:r>
        <m:r>
          <w:rPr>
            <w:rFonts w:ascii="Cambria Math" w:hAnsi="Cambria Math"/>
            <w:lang w:val="en-US"/>
          </w:rPr>
          <m:t>π</m:t>
        </m:r>
        <m:r>
          <m:t>-</m:t>
        </m:r>
        <m:r>
          <w:rPr>
            <w:rFonts w:ascii="Cambria Math" w:hAnsi="Cambria Math"/>
            <w:lang w:val="en-US"/>
          </w:rPr>
          <m:t>π</m:t>
        </m:r>
        <m:r>
          <w:rPr>
            <w:rFonts w:hAnsi="Cambria Math"/>
          </w:rPr>
          <m:t>*</m:t>
        </m:r>
        <m:r>
          <w:rPr>
            <w:rFonts w:ascii="Cambria Math"/>
          </w:rPr>
          <m:t>)</m:t>
        </m:r>
      </m:oMath>
      <w:r w:rsidRPr="00FB39F3">
        <w:t xml:space="preserve">                       </w:t>
      </w:r>
      <w:r>
        <w:t xml:space="preserve">  </w:t>
      </w:r>
      <w:r w:rsidR="008167E4">
        <w:t xml:space="preserve">                       </w:t>
      </w:r>
      <w:r>
        <w:t xml:space="preserve">   </w:t>
      </w:r>
      <w:r w:rsidR="008167E4">
        <w:t xml:space="preserve">                             </w:t>
      </w:r>
      <w:r w:rsidRPr="00FB39F3">
        <w:t>(2)</w:t>
      </w:r>
    </w:p>
    <w:p w:rsidR="007E080B" w:rsidRDefault="007E080B" w:rsidP="007E080B">
      <w:pPr>
        <w:pStyle w:val="CAROLTEXTOS"/>
      </w:pPr>
    </w:p>
    <w:p w:rsidR="007E080B" w:rsidRPr="00FB39F3" w:rsidRDefault="007E080B" w:rsidP="007E080B">
      <w:pPr>
        <w:pStyle w:val="CAROLTEXTOS"/>
      </w:pPr>
      <w:r w:rsidRPr="00FB39F3">
        <w:t xml:space="preserve">Onde: </w:t>
      </w:r>
    </w:p>
    <w:p w:rsidR="007E080B" w:rsidRPr="00FB39F3" w:rsidRDefault="007E080B" w:rsidP="007E080B">
      <w:pPr>
        <w:pStyle w:val="CAROLTEXTOS"/>
      </w:pPr>
      <m:oMath>
        <m:r>
          <w:rPr>
            <w:rFonts w:ascii="Cambria Math" w:hAnsi="Cambria Math"/>
            <w:lang w:val="en-US"/>
          </w:rPr>
          <m:t>i</m:t>
        </m:r>
      </m:oMath>
      <w:r w:rsidRPr="00FB39F3">
        <w:t>= taxa de juros;</w:t>
      </w:r>
    </w:p>
    <w:p w:rsidR="007E080B" w:rsidRPr="00FB39F3" w:rsidRDefault="007E080B" w:rsidP="007E080B">
      <w:pPr>
        <w:pStyle w:val="CAROLTEXTOS"/>
      </w:pPr>
      <m:oMath>
        <m:r>
          <w:rPr>
            <w:rFonts w:ascii="Cambria Math" w:hAnsi="Cambria Math"/>
            <w:lang w:val="en-US"/>
          </w:rPr>
          <m:t>i</m:t>
        </m:r>
        <m:r>
          <w:rPr>
            <w:rFonts w:hAnsi="Cambria Math"/>
          </w:rPr>
          <m:t>*</m:t>
        </m:r>
      </m:oMath>
      <w:r w:rsidRPr="00FB39F3">
        <w:t>= taxa de juros compatível com a taxa de desemprego natural;</w:t>
      </w:r>
    </w:p>
    <w:p w:rsidR="007E080B" w:rsidRPr="00FB39F3" w:rsidRDefault="007E080B" w:rsidP="007E080B">
      <w:pPr>
        <w:pStyle w:val="CAROLTEXTOS"/>
      </w:pPr>
      <m:oMath>
        <m:r>
          <w:rPr>
            <w:rFonts w:ascii="Cambria Math" w:hAnsi="Cambria Math"/>
            <w:lang w:val="en-US"/>
          </w:rPr>
          <m:t>α</m:t>
        </m:r>
      </m:oMath>
      <w:r>
        <w:t>= parâmetro</w:t>
      </w:r>
      <w:r w:rsidRPr="00FB39F3">
        <w:t xml:space="preserve"> representa</w:t>
      </w:r>
      <w:r>
        <w:t>tivo</w:t>
      </w:r>
      <w:r w:rsidRPr="00FB39F3">
        <w:t xml:space="preserve"> o impacto de desvios da inflação na taxa de juros;</w:t>
      </w:r>
    </w:p>
    <w:p w:rsidR="007E080B" w:rsidRPr="00FB39F3" w:rsidRDefault="007E080B" w:rsidP="007E080B">
      <w:pPr>
        <w:pStyle w:val="CAROLTEXTOS"/>
      </w:pPr>
      <m:oMath>
        <m:r>
          <w:rPr>
            <w:rFonts w:ascii="Cambria Math" w:hAnsi="Cambria Math"/>
            <w:lang w:val="en-US"/>
          </w:rPr>
          <m:t>π</m:t>
        </m:r>
      </m:oMath>
      <w:r w:rsidRPr="00FB39F3">
        <w:t>= taxa de inflação corrente;</w:t>
      </w:r>
    </w:p>
    <w:p w:rsidR="007E080B" w:rsidRPr="00FB39F3" w:rsidRDefault="007E080B" w:rsidP="007E080B">
      <w:pPr>
        <w:pStyle w:val="CAROLTEXTOS"/>
      </w:pPr>
      <m:oMath>
        <m:r>
          <w:rPr>
            <w:rFonts w:ascii="Cambria Math" w:hAnsi="Cambria Math"/>
            <w:lang w:val="en-US"/>
          </w:rPr>
          <m:t>π</m:t>
        </m:r>
        <m:r>
          <w:rPr>
            <w:rFonts w:hAnsi="Cambria Math"/>
          </w:rPr>
          <m:t>*</m:t>
        </m:r>
      </m:oMath>
      <w:r w:rsidRPr="00FB39F3">
        <w:t>= meta de inflação;</w:t>
      </w:r>
    </w:p>
    <w:p w:rsidR="007E080B" w:rsidRDefault="007E080B" w:rsidP="007E080B">
      <w:pPr>
        <w:pStyle w:val="CAROLTEXTOS"/>
      </w:pPr>
      <w:r>
        <w:t xml:space="preserve">Desta forma, </w:t>
      </w:r>
      <w:proofErr w:type="spellStart"/>
      <w:r>
        <w:t>Biondi</w:t>
      </w:r>
      <w:proofErr w:type="spellEnd"/>
      <w:r>
        <w:t xml:space="preserve"> (2006) afirma que, caso o governo estabeleça uma meta de inflação e houver um desvio em relação ao centro desta, a inflação será controlada pela demanda que, por sua vez será controlada pelo nível da taxa de juros, expressa pela Regra de Taylor</w:t>
      </w:r>
      <w:r>
        <w:rPr>
          <w:rStyle w:val="Refdenotaderodap"/>
        </w:rPr>
        <w:footnoteReference w:id="5"/>
      </w:r>
      <w:r>
        <w:t>.</w:t>
      </w:r>
    </w:p>
    <w:p w:rsidR="007E080B" w:rsidRDefault="007E080B" w:rsidP="007E080B">
      <w:pPr>
        <w:pStyle w:val="CAROLTEXTOS"/>
      </w:pPr>
      <w:r>
        <w:t xml:space="preserve">Porém, a eficiência da política monetária anti-inflacionária tem sido questionada por </w:t>
      </w:r>
      <w:proofErr w:type="spellStart"/>
      <w:r>
        <w:t>Modenesi</w:t>
      </w:r>
      <w:proofErr w:type="spellEnd"/>
      <w:r>
        <w:t xml:space="preserve"> (2010) e </w:t>
      </w:r>
      <w:proofErr w:type="spellStart"/>
      <w:r>
        <w:t>Grasel</w:t>
      </w:r>
      <w:proofErr w:type="spellEnd"/>
      <w:r>
        <w:t xml:space="preserve"> (2003) pois, segundo eles, o forte aumento da taxa de juros não reflete uma diminuição proporcional no nível de inflação, conduzindo, cada vez mais, a política monetária à forte restrição e à existência de custos.</w:t>
      </w:r>
    </w:p>
    <w:p w:rsidR="007E080B" w:rsidRDefault="007E080B"/>
    <w:p w:rsidR="007E080B" w:rsidRPr="00F11193" w:rsidRDefault="007E080B" w:rsidP="007E080B">
      <w:pPr>
        <w:pStyle w:val="CAROLTTULO1"/>
      </w:pPr>
      <w:bookmarkStart w:id="22" w:name="_Toc388447481"/>
      <w:r w:rsidRPr="00F11193">
        <w:t>3</w:t>
      </w:r>
      <w:r>
        <w:t xml:space="preserve"> </w:t>
      </w:r>
      <w:r w:rsidRPr="00F11193">
        <w:t>METODOLOGIA</w:t>
      </w:r>
      <w:bookmarkEnd w:id="22"/>
    </w:p>
    <w:p w:rsidR="007E080B" w:rsidRDefault="007E080B" w:rsidP="007E080B">
      <w:pPr>
        <w:pStyle w:val="CAROLTEXTOS"/>
      </w:pPr>
      <w:r>
        <w:t xml:space="preserve">No intuito de verificar </w:t>
      </w:r>
      <w:r w:rsidRPr="0072557C">
        <w:t xml:space="preserve">o desempenho da política monetária, será utilizado a metodologia exposta no trabalho </w:t>
      </w:r>
      <w:r>
        <w:t>de Leal e Feijó (2011), baseado em Leal (2010)</w:t>
      </w:r>
      <w:r>
        <w:rPr>
          <w:rStyle w:val="Refdenotaderodap"/>
        </w:rPr>
        <w:footnoteReference w:id="6"/>
      </w:r>
      <w:r>
        <w:t>. Em seu trabalho, os autores verificam</w:t>
      </w:r>
      <w:r w:rsidRPr="0072557C">
        <w:t xml:space="preserve"> o nível de eficácia e eficiência da política monetária brasileira no período de 2000 a 2009</w:t>
      </w:r>
      <w:r>
        <w:rPr>
          <w:rStyle w:val="Refdenotaderodap"/>
        </w:rPr>
        <w:footnoteReference w:id="7"/>
      </w:r>
      <w:r w:rsidRPr="0072557C">
        <w:t xml:space="preserve"> através de variáveis como in</w:t>
      </w:r>
      <w:r>
        <w:t>flação, taxa de juros, nível do</w:t>
      </w:r>
      <w:r w:rsidRPr="0072557C">
        <w:t xml:space="preserve"> desemprego e </w:t>
      </w:r>
      <w:r>
        <w:t xml:space="preserve">do </w:t>
      </w:r>
      <w:r w:rsidRPr="0072557C">
        <w:t xml:space="preserve">produto. Além </w:t>
      </w:r>
      <w:r w:rsidRPr="0072557C">
        <w:lastRenderedPageBreak/>
        <w:t xml:space="preserve">disso, vale dizer que a metodologia utilizada por Leal </w:t>
      </w:r>
      <w:r>
        <w:t>e Feijó (2011</w:t>
      </w:r>
      <w:r w:rsidRPr="0072557C">
        <w:t>) aplicada à política monetária é uma adaptação feita pelo autor, à partir do trabalho de Garcia (2001) relativo às políticas fiscais brasileiras adotadas no Plano Plurianual.</w:t>
      </w:r>
    </w:p>
    <w:p w:rsidR="007E080B" w:rsidRDefault="00ED526C" w:rsidP="007E080B">
      <w:pPr>
        <w:pStyle w:val="CAROLTTULO2"/>
      </w:pPr>
      <w:bookmarkStart w:id="23" w:name="_Toc388302218"/>
      <w:bookmarkStart w:id="24" w:name="_Toc388306377"/>
      <w:bookmarkStart w:id="25" w:name="_Toc388306468"/>
      <w:bookmarkStart w:id="26" w:name="_Toc388447483"/>
      <w:r>
        <w:t>3.1</w:t>
      </w:r>
      <w:r w:rsidR="007E080B" w:rsidRPr="00F11193">
        <w:t xml:space="preserve"> Desenvolvimento da Metodologia</w:t>
      </w:r>
      <w:bookmarkEnd w:id="23"/>
      <w:bookmarkEnd w:id="24"/>
      <w:bookmarkEnd w:id="25"/>
      <w:bookmarkEnd w:id="26"/>
      <w:r w:rsidR="007E080B" w:rsidRPr="00F11193">
        <w:t xml:space="preserve"> </w:t>
      </w:r>
    </w:p>
    <w:p w:rsidR="007E080B" w:rsidRPr="00FA0C60" w:rsidRDefault="007E080B" w:rsidP="007E080B">
      <w:pPr>
        <w:pStyle w:val="CAROLTEXTOS"/>
      </w:pPr>
      <w:r w:rsidRPr="00FA0C60">
        <w:t>Inicialmente,</w:t>
      </w:r>
      <w:r w:rsidRPr="00110986">
        <w:t xml:space="preserve"> </w:t>
      </w:r>
      <w:r>
        <w:t>Leal e Feijó (2011</w:t>
      </w:r>
      <w:r w:rsidRPr="0072557C">
        <w:t xml:space="preserve">) </w:t>
      </w:r>
      <w:r>
        <w:t xml:space="preserve">esclarecem </w:t>
      </w:r>
      <w:r w:rsidRPr="0072557C">
        <w:t>que o principal objetivo da polí</w:t>
      </w:r>
      <w:r>
        <w:t xml:space="preserve">tica monetária, mas não único, </w:t>
      </w:r>
      <w:r w:rsidRPr="0072557C">
        <w:t xml:space="preserve">é </w:t>
      </w:r>
      <w:r>
        <w:t xml:space="preserve">manter a estabilidade de preços e, portanto, o </w:t>
      </w:r>
      <w:r w:rsidRPr="0072557C">
        <w:t>objetivo central</w:t>
      </w:r>
      <w:r>
        <w:t>, utilizado como parâmetro de avaliação, será alcançar</w:t>
      </w:r>
      <w:r w:rsidRPr="0072557C">
        <w:t xml:space="preserve"> </w:t>
      </w:r>
      <w:r>
        <w:t>a</w:t>
      </w:r>
      <w:r w:rsidRPr="0072557C">
        <w:t xml:space="preserve"> meta </w:t>
      </w:r>
      <w:r>
        <w:t>(</w:t>
      </w:r>
      <w:r w:rsidRPr="0072557C">
        <w:t>ponto ótimo da função - objetivo</w:t>
      </w:r>
      <w:r>
        <w:t>)</w:t>
      </w:r>
      <w:r>
        <w:rPr>
          <w:rStyle w:val="Refdenotaderodap"/>
        </w:rPr>
        <w:footnoteReference w:id="8"/>
      </w:r>
      <w:r>
        <w:t xml:space="preserve"> estabelecida </w:t>
      </w:r>
      <w:r w:rsidRPr="0072557C">
        <w:t>pelo Conselho Monetário Nacional (CMN). Desta forma,</w:t>
      </w:r>
      <w:r>
        <w:t xml:space="preserve"> e</w:t>
      </w:r>
      <w:r w:rsidRPr="0072557C">
        <w:t xml:space="preserve">le afirma que o controle do nível de preços é um pressuposto necessário para </w:t>
      </w:r>
      <w:r>
        <w:t xml:space="preserve">se atingir </w:t>
      </w:r>
      <w:r w:rsidRPr="0072557C">
        <w:t>os objetivos secundários da política monetária brasileira - maximização do nível de produto e emprego, proposto pelo Ministério da Fazenda em 1999.</w:t>
      </w:r>
      <w:r>
        <w:t xml:space="preserve"> </w:t>
      </w:r>
      <w:r w:rsidRPr="0072557C">
        <w:t xml:space="preserve">Desta forma, estabelece-se como função objetivo do trabalho a estabilidade de preços junto </w:t>
      </w:r>
      <w:r>
        <w:t>ao equilíbrio macroeconômico</w:t>
      </w:r>
      <w:r w:rsidRPr="0072557C">
        <w:t>, tendo como base o horizonte temporal de um ano relativo à meta</w:t>
      </w:r>
      <w:r w:rsidRPr="00FA0C60">
        <w:t>.</w:t>
      </w:r>
    </w:p>
    <w:p w:rsidR="007E080B" w:rsidRPr="0072557C" w:rsidRDefault="007E080B" w:rsidP="007E080B">
      <w:pPr>
        <w:pStyle w:val="CAROLTEXTOS"/>
      </w:pPr>
      <w:r w:rsidRPr="0072557C">
        <w:t>De acordo com Garcia (2001),</w:t>
      </w:r>
      <w:r>
        <w:t xml:space="preserve"> citado por Leal e Feijó (2011)</w:t>
      </w:r>
      <w:r w:rsidRPr="0072557C">
        <w:t xml:space="preserve"> torna-se importante a </w:t>
      </w:r>
      <w:r>
        <w:t>escolha por indicadores de fácil visualização quanto à</w:t>
      </w:r>
      <w:r w:rsidRPr="0072557C">
        <w:t xml:space="preserve"> análise do desempenho das medidas propostas pelas autoridades. </w:t>
      </w:r>
      <w:r>
        <w:t>Assim</w:t>
      </w:r>
      <w:r w:rsidRPr="0072557C">
        <w:t>, propõe a utilização dos conceitos de eficácia e eficiência como medida de desempenho do governo:</w:t>
      </w:r>
    </w:p>
    <w:p w:rsidR="007E080B" w:rsidRPr="002D5DAD" w:rsidRDefault="007E080B" w:rsidP="007E080B">
      <w:pPr>
        <w:numPr>
          <w:ilvl w:val="0"/>
          <w:numId w:val="2"/>
        </w:numPr>
        <w:spacing w:after="0" w:line="360" w:lineRule="auto"/>
        <w:ind w:left="1134" w:hanging="425"/>
        <w:contextualSpacing/>
        <w:jc w:val="both"/>
        <w:rPr>
          <w:rFonts w:ascii="Arial" w:hAnsi="Arial" w:cs="Arial"/>
          <w:sz w:val="24"/>
          <w:szCs w:val="24"/>
        </w:rPr>
      </w:pPr>
      <w:r w:rsidRPr="0072557C">
        <w:rPr>
          <w:rFonts w:ascii="Arial" w:hAnsi="Arial" w:cs="Arial"/>
          <w:sz w:val="24"/>
          <w:szCs w:val="24"/>
        </w:rPr>
        <w:t>A eficácia</w:t>
      </w:r>
      <w:r>
        <w:rPr>
          <w:rFonts w:ascii="Arial" w:hAnsi="Arial" w:cs="Arial"/>
          <w:sz w:val="24"/>
          <w:szCs w:val="24"/>
        </w:rPr>
        <w:t xml:space="preserve"> </w:t>
      </w:r>
      <w:r w:rsidRPr="002D5DAD">
        <w:rPr>
          <w:rFonts w:ascii="Arial" w:hAnsi="Arial" w:cs="Arial"/>
          <w:sz w:val="24"/>
          <w:szCs w:val="24"/>
        </w:rPr>
        <w:t>seria o “[...] grau em que se atingem os objetivos e as metas de uma ação orientada para um alvo particular, em um determinado período de tempo, independentemente dos  custos nos quais se incorra.”</w:t>
      </w:r>
      <w:r>
        <w:rPr>
          <w:rFonts w:ascii="Arial" w:hAnsi="Arial" w:cs="Arial"/>
          <w:sz w:val="24"/>
          <w:szCs w:val="24"/>
        </w:rPr>
        <w:t>(GARCIA</w:t>
      </w:r>
      <w:r>
        <w:rPr>
          <w:rStyle w:val="Refdenotaderodap"/>
          <w:rFonts w:ascii="Arial" w:hAnsi="Arial" w:cs="Arial"/>
          <w:sz w:val="24"/>
          <w:szCs w:val="24"/>
        </w:rPr>
        <w:footnoteReference w:id="9"/>
      </w:r>
      <w:r>
        <w:rPr>
          <w:rFonts w:ascii="Arial" w:hAnsi="Arial" w:cs="Arial"/>
          <w:sz w:val="24"/>
          <w:szCs w:val="24"/>
        </w:rPr>
        <w:t xml:space="preserve"> , apud LEAL E FEIJÓ 2011, p.04)</w:t>
      </w:r>
    </w:p>
    <w:p w:rsidR="007E080B" w:rsidRPr="00110986" w:rsidRDefault="007E080B" w:rsidP="007E080B">
      <w:pPr>
        <w:numPr>
          <w:ilvl w:val="0"/>
          <w:numId w:val="2"/>
        </w:numPr>
        <w:spacing w:after="0" w:line="360" w:lineRule="auto"/>
        <w:ind w:left="1134" w:hanging="425"/>
        <w:contextualSpacing/>
        <w:jc w:val="both"/>
        <w:rPr>
          <w:rFonts w:ascii="Arial" w:hAnsi="Arial" w:cs="Arial"/>
          <w:sz w:val="24"/>
          <w:szCs w:val="24"/>
        </w:rPr>
      </w:pPr>
      <w:r w:rsidRPr="0072557C">
        <w:rPr>
          <w:rFonts w:ascii="Arial" w:hAnsi="Arial" w:cs="Arial"/>
          <w:sz w:val="24"/>
          <w:szCs w:val="24"/>
        </w:rPr>
        <w:t xml:space="preserve"> Já a eficiência seria “[...] a relação existente entre os produtos resultantes da realização de uma ação governamental programada e os custos incorridos diretamente em </w:t>
      </w:r>
      <w:r>
        <w:rPr>
          <w:rFonts w:ascii="Arial" w:hAnsi="Arial" w:cs="Arial"/>
          <w:sz w:val="24"/>
          <w:szCs w:val="24"/>
        </w:rPr>
        <w:t>sua execução.” (GARCIA, apud LEAL E FEIJÓ, 2011, p. 04</w:t>
      </w:r>
      <w:r w:rsidRPr="0072557C">
        <w:rPr>
          <w:rFonts w:ascii="Arial" w:hAnsi="Arial" w:cs="Arial"/>
          <w:sz w:val="24"/>
          <w:szCs w:val="24"/>
        </w:rPr>
        <w:t>).</w:t>
      </w:r>
    </w:p>
    <w:p w:rsidR="007E080B" w:rsidRPr="00EF5C50" w:rsidRDefault="007E080B" w:rsidP="007E080B">
      <w:pPr>
        <w:pStyle w:val="CAROLTEXTOS"/>
      </w:pPr>
      <w:r>
        <w:lastRenderedPageBreak/>
        <w:t>Em seu estudo, Leal e Feijó (2011) consideram como sua meta principal a inflação vinculada ao horizonte de tempo de referência da meta. Ele defende, portanto, que as metas  devem ser cumpridas em um dado intervalo de tempo pré-estabelecido e o alcance destas está vinculado ao seu horizonte de referência, sendo impossível  a variação da variável tempo</w:t>
      </w:r>
      <w:r>
        <w:rPr>
          <w:rStyle w:val="Refdenotaderodap"/>
        </w:rPr>
        <w:footnoteReference w:id="10"/>
      </w:r>
      <w:r>
        <w:t xml:space="preserve">. Assim, utilizam a variável </w:t>
      </w:r>
      <w:r w:rsidRPr="005C5156">
        <w:rPr>
          <w:i/>
        </w:rPr>
        <w:t>taxa de juros nominal de curto prazo</w:t>
      </w:r>
      <w:r>
        <w:rPr>
          <w:i/>
        </w:rPr>
        <w:t xml:space="preserve">, </w:t>
      </w:r>
      <w:r>
        <w:t xml:space="preserve">como referência temporal para o estudo pois , segundo ele , caracteriza a " meta operacional do </w:t>
      </w:r>
      <w:proofErr w:type="spellStart"/>
      <w:r w:rsidRPr="00454B78">
        <w:rPr>
          <w:i/>
        </w:rPr>
        <w:t>modus</w:t>
      </w:r>
      <w:proofErr w:type="spellEnd"/>
      <w:r w:rsidRPr="00454B78">
        <w:rPr>
          <w:i/>
        </w:rPr>
        <w:t xml:space="preserve"> </w:t>
      </w:r>
      <w:proofErr w:type="spellStart"/>
      <w:r w:rsidRPr="00454B78">
        <w:rPr>
          <w:i/>
        </w:rPr>
        <w:t>operandi</w:t>
      </w:r>
      <w:proofErr w:type="spellEnd"/>
      <w:r>
        <w:t xml:space="preserve"> brasileiro" (Leal e Feijó 2011, p. 06). Ademais, o autor afirma que esta variável está fortemente ligada ao alcance da meta de inflação, além de se relacionar com  o comportamento das autoridades monetárias, que se modifica de acordo com diferentes níveis da taxa de juros.</w:t>
      </w:r>
    </w:p>
    <w:p w:rsidR="007E080B" w:rsidRPr="00F11193" w:rsidRDefault="00ED526C" w:rsidP="007E080B">
      <w:pPr>
        <w:pStyle w:val="CAROLTTULO2"/>
      </w:pPr>
      <w:bookmarkStart w:id="27" w:name="_Toc388302219"/>
      <w:bookmarkStart w:id="28" w:name="_Toc388306378"/>
      <w:bookmarkStart w:id="29" w:name="_Toc388306469"/>
      <w:bookmarkStart w:id="30" w:name="_Toc388447484"/>
      <w:r>
        <w:t>3.2</w:t>
      </w:r>
      <w:r w:rsidR="007E080B" w:rsidRPr="00F11193">
        <w:t xml:space="preserve"> Formação dos indicadores</w:t>
      </w:r>
      <w:bookmarkEnd w:id="27"/>
      <w:bookmarkEnd w:id="28"/>
      <w:bookmarkEnd w:id="29"/>
      <w:bookmarkEnd w:id="30"/>
    </w:p>
    <w:p w:rsidR="007E080B" w:rsidRDefault="007E080B" w:rsidP="007E080B">
      <w:pPr>
        <w:pStyle w:val="CAROLTEXTOS"/>
      </w:pPr>
      <w:r>
        <w:t>Para a realização do cálculo da eficácia, Leal e Feijó (2011) utilizam-se de proporções como:</w:t>
      </w:r>
    </w:p>
    <w:p w:rsidR="007E080B" w:rsidRDefault="007E080B" w:rsidP="007E080B">
      <w:pPr>
        <w:pStyle w:val="CAROLTEXTOS"/>
      </w:pPr>
      <w:r>
        <w:rPr>
          <w:noProof/>
        </w:rPr>
        <w:drawing>
          <wp:inline distT="0" distB="0" distL="0" distR="0">
            <wp:extent cx="1162050" cy="523875"/>
            <wp:effectExtent l="19050" t="0" r="0" b="0"/>
            <wp:docPr id="25" name="Imagem 27" descr="foto eficacia monetá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descr="foto eficacia monetária"/>
                    <pic:cNvPicPr>
                      <a:picLocks noChangeAspect="1" noChangeArrowheads="1"/>
                    </pic:cNvPicPr>
                  </pic:nvPicPr>
                  <pic:blipFill>
                    <a:blip r:embed="rId7"/>
                    <a:srcRect l="16890" t="31157" r="20276" b="17918"/>
                    <a:stretch>
                      <a:fillRect/>
                    </a:stretch>
                  </pic:blipFill>
                  <pic:spPr bwMode="auto">
                    <a:xfrm>
                      <a:off x="0" y="0"/>
                      <a:ext cx="1162050" cy="523875"/>
                    </a:xfrm>
                    <a:prstGeom prst="rect">
                      <a:avLst/>
                    </a:prstGeom>
                    <a:noFill/>
                    <a:ln w="9525">
                      <a:noFill/>
                      <a:miter lim="800000"/>
                      <a:headEnd/>
                      <a:tailEnd/>
                    </a:ln>
                  </pic:spPr>
                </pic:pic>
              </a:graphicData>
            </a:graphic>
          </wp:inline>
        </w:drawing>
      </w:r>
      <w:r>
        <w:t xml:space="preserve">                                                           </w:t>
      </w:r>
      <w:r w:rsidR="008167E4">
        <w:t xml:space="preserve">               (3)</w:t>
      </w:r>
      <w:r>
        <w:t xml:space="preserve">               </w:t>
      </w:r>
      <w:r w:rsidR="00ED526C">
        <w:t xml:space="preserve">  </w:t>
      </w:r>
    </w:p>
    <w:p w:rsidR="007E080B" w:rsidRDefault="007E080B" w:rsidP="007E080B">
      <w:pPr>
        <w:pStyle w:val="CAROLTEXTOS"/>
      </w:pPr>
      <w:r>
        <w:t>Onde:</w:t>
      </w:r>
    </w:p>
    <w:p w:rsidR="007E080B" w:rsidRPr="008F08DF" w:rsidRDefault="007E080B" w:rsidP="007E080B">
      <w:pPr>
        <w:pStyle w:val="CAROLTEXTOS"/>
      </w:pPr>
      <w:proofErr w:type="spellStart"/>
      <w:r>
        <w:t>E</w:t>
      </w:r>
      <w:r w:rsidRPr="008F08DF">
        <w:rPr>
          <w:sz w:val="16"/>
          <w:szCs w:val="16"/>
        </w:rPr>
        <w:t>atm</w:t>
      </w:r>
      <w:proofErr w:type="spellEnd"/>
      <w:r>
        <w:t>= Grau de desempenho da política</w:t>
      </w:r>
    </w:p>
    <w:p w:rsidR="007E080B" w:rsidRDefault="007E080B" w:rsidP="007E080B">
      <w:pPr>
        <w:pStyle w:val="CAROLTEXTOS"/>
      </w:pPr>
      <m:oMath>
        <m:r>
          <w:rPr>
            <w:rFonts w:ascii="Cambria Math" w:hAnsi="Cambria Math"/>
          </w:rPr>
          <m:t>πp</m:t>
        </m:r>
      </m:oMath>
      <w:r>
        <w:t>= inflação programada para o ano t</w:t>
      </w:r>
    </w:p>
    <w:p w:rsidR="007E080B" w:rsidRDefault="007E080B" w:rsidP="007E080B">
      <w:pPr>
        <w:pStyle w:val="CAROLTEXTOS"/>
      </w:pPr>
      <m:oMath>
        <m:r>
          <w:rPr>
            <w:rFonts w:ascii="Cambria Math" w:hAnsi="Cambria Math"/>
          </w:rPr>
          <m:t>π</m:t>
        </m:r>
      </m:oMath>
      <w:r>
        <w:t xml:space="preserve"> = inflação efetiva no ano t</w:t>
      </w:r>
    </w:p>
    <w:p w:rsidR="007E080B" w:rsidRDefault="007E080B" w:rsidP="007E080B">
      <w:pPr>
        <w:pStyle w:val="CAROLTEXTOS"/>
      </w:pPr>
      <m:oMath>
        <m:r>
          <w:rPr>
            <w:rFonts w:ascii="Cambria Math" w:hAnsi="Cambria Math"/>
          </w:rPr>
          <m:t>ip</m:t>
        </m:r>
      </m:oMath>
      <w:r>
        <w:t xml:space="preserve"> = taxa de juros programada para o ano t</w:t>
      </w:r>
    </w:p>
    <w:p w:rsidR="007E080B" w:rsidRDefault="007E080B" w:rsidP="007E080B">
      <w:pPr>
        <w:pStyle w:val="CAROLTEXTOS"/>
      </w:pPr>
      <m:oMath>
        <m:r>
          <w:rPr>
            <w:rFonts w:ascii="Cambria Math" w:hAnsi="Cambria Math"/>
          </w:rPr>
          <m:t xml:space="preserve">i </m:t>
        </m:r>
      </m:oMath>
      <w:r>
        <w:t>= taxa de juros efetiva no ano t</w:t>
      </w:r>
    </w:p>
    <w:p w:rsidR="007E080B" w:rsidRDefault="007E080B" w:rsidP="007E080B">
      <w:pPr>
        <w:pStyle w:val="CAROLTEXTOS"/>
      </w:pPr>
    </w:p>
    <w:p w:rsidR="007E080B" w:rsidRDefault="007E080B" w:rsidP="007E080B">
      <w:pPr>
        <w:spacing w:after="0" w:line="360" w:lineRule="auto"/>
        <w:contextualSpacing/>
        <w:jc w:val="both"/>
        <w:rPr>
          <w:rFonts w:ascii="Arial" w:hAnsi="Arial" w:cs="Arial"/>
          <w:sz w:val="24"/>
          <w:szCs w:val="24"/>
        </w:rPr>
      </w:pPr>
      <w:r>
        <w:rPr>
          <w:rFonts w:ascii="Arial" w:hAnsi="Arial" w:cs="Arial"/>
          <w:sz w:val="24"/>
          <w:szCs w:val="24"/>
        </w:rPr>
        <w:tab/>
        <w:t xml:space="preserve">Nesta análise, </w:t>
      </w:r>
      <w:proofErr w:type="spellStart"/>
      <w:r>
        <w:rPr>
          <w:rFonts w:ascii="Arial" w:hAnsi="Arial" w:cs="Arial"/>
          <w:sz w:val="24"/>
          <w:szCs w:val="24"/>
        </w:rPr>
        <w:t>Ea</w:t>
      </w:r>
      <w:proofErr w:type="spellEnd"/>
      <w:r>
        <w:rPr>
          <w:rFonts w:ascii="Arial" w:hAnsi="Arial" w:cs="Arial"/>
          <w:sz w:val="24"/>
          <w:szCs w:val="24"/>
        </w:rPr>
        <w:t xml:space="preserve">  deve ser interpretado de forma que:</w:t>
      </w:r>
    </w:p>
    <w:p w:rsidR="007E080B" w:rsidRDefault="007E080B" w:rsidP="007E080B">
      <w:pPr>
        <w:numPr>
          <w:ilvl w:val="0"/>
          <w:numId w:val="3"/>
        </w:numPr>
        <w:spacing w:after="0" w:line="360" w:lineRule="auto"/>
        <w:contextualSpacing/>
        <w:jc w:val="both"/>
        <w:rPr>
          <w:rFonts w:ascii="Arial" w:hAnsi="Arial" w:cs="Arial"/>
          <w:sz w:val="24"/>
          <w:szCs w:val="24"/>
        </w:rPr>
      </w:pPr>
      <w:r>
        <w:rPr>
          <w:rFonts w:ascii="Arial" w:hAnsi="Arial" w:cs="Arial"/>
          <w:sz w:val="24"/>
          <w:szCs w:val="24"/>
        </w:rPr>
        <w:tab/>
        <w:t xml:space="preserve">Se </w:t>
      </w:r>
      <w:proofErr w:type="spellStart"/>
      <w:r>
        <w:rPr>
          <w:rFonts w:ascii="Arial" w:hAnsi="Arial" w:cs="Arial"/>
          <w:sz w:val="24"/>
          <w:szCs w:val="24"/>
        </w:rPr>
        <w:t>Ea</w:t>
      </w:r>
      <w:proofErr w:type="spellEnd"/>
      <w:r>
        <w:rPr>
          <w:rFonts w:ascii="Arial" w:hAnsi="Arial" w:cs="Arial"/>
          <w:sz w:val="24"/>
          <w:szCs w:val="24"/>
        </w:rPr>
        <w:t xml:space="preserve"> &gt;1 , a ação é ,mais do que eficaz</w:t>
      </w:r>
    </w:p>
    <w:p w:rsidR="00ED526C" w:rsidRDefault="007E080B" w:rsidP="00ED526C">
      <w:pPr>
        <w:numPr>
          <w:ilvl w:val="0"/>
          <w:numId w:val="3"/>
        </w:numPr>
        <w:spacing w:after="0" w:line="360" w:lineRule="auto"/>
        <w:contextualSpacing/>
        <w:jc w:val="both"/>
        <w:rPr>
          <w:rFonts w:ascii="Arial" w:hAnsi="Arial" w:cs="Arial"/>
          <w:sz w:val="24"/>
          <w:szCs w:val="24"/>
        </w:rPr>
      </w:pPr>
      <w:r>
        <w:rPr>
          <w:rFonts w:ascii="Arial" w:hAnsi="Arial" w:cs="Arial"/>
          <w:sz w:val="24"/>
          <w:szCs w:val="24"/>
        </w:rPr>
        <w:tab/>
        <w:t xml:space="preserve">Se </w:t>
      </w:r>
      <w:proofErr w:type="spellStart"/>
      <w:r>
        <w:rPr>
          <w:rFonts w:ascii="Arial" w:hAnsi="Arial" w:cs="Arial"/>
          <w:sz w:val="24"/>
          <w:szCs w:val="24"/>
        </w:rPr>
        <w:t>Ea</w:t>
      </w:r>
      <w:proofErr w:type="spellEnd"/>
      <w:r>
        <w:rPr>
          <w:rFonts w:ascii="Arial" w:hAnsi="Arial" w:cs="Arial"/>
          <w:sz w:val="24"/>
          <w:szCs w:val="24"/>
        </w:rPr>
        <w:t xml:space="preserve"> = 1 , a ação é eficaz</w:t>
      </w:r>
      <w:r w:rsidR="00ED526C">
        <w:rPr>
          <w:rFonts w:ascii="Arial" w:hAnsi="Arial" w:cs="Arial"/>
          <w:sz w:val="24"/>
          <w:szCs w:val="24"/>
        </w:rPr>
        <w:t xml:space="preserve"> </w:t>
      </w:r>
    </w:p>
    <w:p w:rsidR="007E080B" w:rsidRPr="00ED526C" w:rsidRDefault="00ED526C" w:rsidP="00ED526C">
      <w:pPr>
        <w:numPr>
          <w:ilvl w:val="0"/>
          <w:numId w:val="3"/>
        </w:numPr>
        <w:spacing w:after="0" w:line="360" w:lineRule="auto"/>
        <w:contextualSpacing/>
        <w:jc w:val="both"/>
        <w:rPr>
          <w:rFonts w:ascii="Arial" w:hAnsi="Arial" w:cs="Arial"/>
          <w:sz w:val="24"/>
          <w:szCs w:val="24"/>
        </w:rPr>
      </w:pPr>
      <w:r>
        <w:rPr>
          <w:rFonts w:ascii="Arial" w:hAnsi="Arial" w:cs="Arial"/>
          <w:sz w:val="24"/>
          <w:szCs w:val="24"/>
        </w:rPr>
        <w:t xml:space="preserve">      </w:t>
      </w:r>
      <w:r w:rsidR="007E080B" w:rsidRPr="00ED526C">
        <w:rPr>
          <w:rFonts w:ascii="Arial" w:hAnsi="Arial" w:cs="Arial"/>
          <w:sz w:val="24"/>
          <w:szCs w:val="24"/>
        </w:rPr>
        <w:t xml:space="preserve">Se </w:t>
      </w:r>
      <w:proofErr w:type="spellStart"/>
      <w:r w:rsidR="007E080B" w:rsidRPr="00ED526C">
        <w:rPr>
          <w:rFonts w:ascii="Arial" w:hAnsi="Arial" w:cs="Arial"/>
          <w:sz w:val="24"/>
          <w:szCs w:val="24"/>
        </w:rPr>
        <w:t>Ea</w:t>
      </w:r>
      <w:proofErr w:type="spellEnd"/>
      <w:r w:rsidR="007E080B" w:rsidRPr="00ED526C">
        <w:rPr>
          <w:rFonts w:ascii="Arial" w:hAnsi="Arial" w:cs="Arial"/>
          <w:sz w:val="24"/>
          <w:szCs w:val="24"/>
        </w:rPr>
        <w:t xml:space="preserve"> &lt;1, a ação é ineficaz                                       </w:t>
      </w:r>
      <w:r>
        <w:rPr>
          <w:rFonts w:ascii="Arial" w:hAnsi="Arial" w:cs="Arial"/>
          <w:sz w:val="24"/>
          <w:szCs w:val="24"/>
        </w:rPr>
        <w:t xml:space="preserve">            (4)             </w:t>
      </w:r>
    </w:p>
    <w:p w:rsidR="007E080B" w:rsidRDefault="007E080B" w:rsidP="007E080B">
      <w:pPr>
        <w:pStyle w:val="CAROLTEXTOS"/>
      </w:pPr>
    </w:p>
    <w:p w:rsidR="007E080B" w:rsidRDefault="007E080B" w:rsidP="007E080B">
      <w:pPr>
        <w:pStyle w:val="CAROLTEXTOS"/>
      </w:pPr>
      <w:r>
        <w:t>À partir da equação acima,</w:t>
      </w:r>
      <w:r w:rsidR="00ED526C">
        <w:t xml:space="preserve"> </w:t>
      </w:r>
      <w:r>
        <w:t xml:space="preserve">será observada a relação entre o valor </w:t>
      </w:r>
      <w:r>
        <w:lastRenderedPageBreak/>
        <w:t>programado e o efetivo de cada variável onde, será analisado o quanto do valor programado foi atingido e em que grau isso ocorreu, utilizando-se como exemplo a contraposição da inflação programada e efetiva , bem como a da taxa de juros programada e efetiva.</w:t>
      </w:r>
      <w:r>
        <w:rPr>
          <w:rStyle w:val="Refdenotaderodap"/>
        </w:rPr>
        <w:footnoteReference w:id="11"/>
      </w:r>
    </w:p>
    <w:p w:rsidR="007E080B" w:rsidRDefault="007E080B" w:rsidP="007E080B">
      <w:pPr>
        <w:pStyle w:val="CAROLTEXTOS"/>
      </w:pPr>
      <w:r>
        <w:t xml:space="preserve">De acordo com Leal e Feijó (2011), a inflação programada seria um valor constante, capaz de manter a estabilidade econômica, definida previamente pelo CMN para um determinado ano. Além disso, o autor considera que , relacionado a este cenário de inflação constante, configura a taxa de desemprego natural (NAIRU), conceituada como o nível de desemprego capaz de manter o equilíbrio inflacionário. Esse cenário,  por sua vez, segundo </w:t>
      </w:r>
      <w:proofErr w:type="spellStart"/>
      <w:r>
        <w:t>Blanchard</w:t>
      </w:r>
      <w:proofErr w:type="spellEnd"/>
      <w:r>
        <w:t xml:space="preserve"> citado por Leal e Feijó (2011), seria marcado pela ocorrência do produto potencial, capaz de manter a inflação e o desemprego constantes. Da mesma maneira, define-se taxa de juros natural como sendo o valor da taxa de juros existente nesse cenário.</w:t>
      </w:r>
    </w:p>
    <w:p w:rsidR="007E080B" w:rsidRPr="002B4753" w:rsidRDefault="007E080B" w:rsidP="007E080B">
      <w:pPr>
        <w:pStyle w:val="CAROLTEXTOS"/>
      </w:pPr>
      <w:r>
        <w:t>Como visto, os custos relacionados ao aumento do nível da taxa de juros são a queda da produção e o aumento do desemprego. Vale ressaltar que o nível do produto relacionado à taxa de juros programada será o produto potencial (</w:t>
      </w:r>
      <m:oMath>
        <m:r>
          <w:rPr>
            <w:rFonts w:ascii="Cambria Math" w:hAnsi="Cambria Math"/>
          </w:rPr>
          <m:t>Yp</m:t>
        </m:r>
      </m:oMath>
      <w:r>
        <w:t>). Assim, a relação entre o produto potencial e o produto efetivo  (</w:t>
      </w:r>
      <m:oMath>
        <m:f>
          <m:fPr>
            <m:ctrlPr>
              <w:rPr>
                <w:rFonts w:ascii="Cambria Math" w:hAnsi="Cambria Math"/>
                <w:i/>
              </w:rPr>
            </m:ctrlPr>
          </m:fPr>
          <m:num>
            <m:r>
              <w:rPr>
                <w:rFonts w:ascii="Cambria Math" w:hAnsi="Cambria Math"/>
              </w:rPr>
              <m:t>Y</m:t>
            </m:r>
          </m:num>
          <m:den>
            <m:r>
              <w:rPr>
                <w:rFonts w:ascii="Cambria Math" w:hAnsi="Cambria Math"/>
              </w:rPr>
              <m:t>Yn</m:t>
            </m:r>
          </m:den>
        </m:f>
      </m:oMath>
      <w:r>
        <w:t xml:space="preserve">)  indicará a queda de produção associada ao aumento da taxa de juros. Da mesma forma, considerando-se o nível de desemprego, observa-se que a relação entre o desemprego natural e o efetivo, dado por ( </w:t>
      </w:r>
      <m:oMath>
        <m:f>
          <m:fPr>
            <m:ctrlPr>
              <w:rPr>
                <w:rFonts w:ascii="Cambria Math" w:hAnsi="Cambria Math"/>
                <w:i/>
              </w:rPr>
            </m:ctrlPr>
          </m:fPr>
          <m:num>
            <m:r>
              <w:rPr>
                <w:rFonts w:ascii="Cambria Math" w:hAnsi="Cambria Math"/>
              </w:rPr>
              <m:t>up</m:t>
            </m:r>
          </m:num>
          <m:den>
            <m:r>
              <w:rPr>
                <w:rFonts w:ascii="Cambria Math" w:hAnsi="Cambria Math"/>
              </w:rPr>
              <m:t>u</m:t>
            </m:r>
          </m:den>
        </m:f>
      </m:oMath>
      <w:r>
        <w:t xml:space="preserve">)  indicará o aumento do desemprego consequente de um aumento no nível de juros. Assumindo-se que </w:t>
      </w:r>
      <m:oMath>
        <m:r>
          <w:rPr>
            <w:rFonts w:ascii="Cambria Math" w:hAnsi="Cambria Math"/>
          </w:rPr>
          <m:t>Yn=Yp</m:t>
        </m:r>
      </m:oMath>
      <w:r>
        <w:t xml:space="preserve"> e  </w:t>
      </w:r>
      <m:oMath>
        <m:r>
          <w:rPr>
            <w:rFonts w:ascii="Cambria Math" w:hAnsi="Cambria Math"/>
          </w:rPr>
          <m:t>μp=μn</m:t>
        </m:r>
      </m:oMath>
      <w:r>
        <w:t>, a análise da eficiência será dada por:</w:t>
      </w:r>
    </w:p>
    <w:p w:rsidR="007E080B" w:rsidRDefault="007E080B" w:rsidP="00ED526C">
      <w:pPr>
        <w:pStyle w:val="CAROLTTULO1"/>
      </w:pPr>
      <w:r>
        <w:rPr>
          <w:noProof/>
        </w:rPr>
        <w:drawing>
          <wp:inline distT="0" distB="0" distL="0" distR="0">
            <wp:extent cx="1647825" cy="590550"/>
            <wp:effectExtent l="19050" t="0" r="9525" b="0"/>
            <wp:docPr id="44" name="Imagem 28" descr="foto eficiencia mone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8" descr="foto eficiencia monetaria"/>
                    <pic:cNvPicPr>
                      <a:picLocks noChangeAspect="1" noChangeArrowheads="1"/>
                    </pic:cNvPicPr>
                  </pic:nvPicPr>
                  <pic:blipFill>
                    <a:blip r:embed="rId8"/>
                    <a:srcRect r="16753" b="25636"/>
                    <a:stretch>
                      <a:fillRect/>
                    </a:stretch>
                  </pic:blipFill>
                  <pic:spPr bwMode="auto">
                    <a:xfrm>
                      <a:off x="0" y="0"/>
                      <a:ext cx="1647825" cy="590550"/>
                    </a:xfrm>
                    <a:prstGeom prst="rect">
                      <a:avLst/>
                    </a:prstGeom>
                    <a:noFill/>
                    <a:ln w="9525">
                      <a:noFill/>
                      <a:miter lim="800000"/>
                      <a:headEnd/>
                      <a:tailEnd/>
                    </a:ln>
                  </pic:spPr>
                </pic:pic>
              </a:graphicData>
            </a:graphic>
          </wp:inline>
        </w:drawing>
      </w:r>
      <w:r>
        <w:t xml:space="preserve">                                                                                  (5)</w:t>
      </w:r>
    </w:p>
    <w:p w:rsidR="007E080B" w:rsidRDefault="007E080B" w:rsidP="007E080B">
      <w:pPr>
        <w:pStyle w:val="CAROLTEXTOS"/>
      </w:pPr>
    </w:p>
    <w:p w:rsidR="007E080B" w:rsidRDefault="007E080B" w:rsidP="007E080B">
      <w:pPr>
        <w:pStyle w:val="CAROLTEXTOS"/>
      </w:pPr>
      <w:r>
        <w:t>Introduzindo a variável custo:</w:t>
      </w:r>
    </w:p>
    <w:p w:rsidR="007E080B" w:rsidRDefault="007E080B" w:rsidP="00ED526C">
      <w:pPr>
        <w:pStyle w:val="CAROLTTULO1"/>
      </w:pPr>
      <w:r>
        <w:rPr>
          <w:noProof/>
        </w:rPr>
        <w:drawing>
          <wp:inline distT="0" distB="0" distL="0" distR="0">
            <wp:extent cx="1104900" cy="504825"/>
            <wp:effectExtent l="19050" t="0" r="0" b="0"/>
            <wp:docPr id="45" name="Imagem 29" descr="foto eficiencia cu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foto eficiencia custo"/>
                    <pic:cNvPicPr>
                      <a:picLocks noChangeAspect="1" noChangeArrowheads="1"/>
                    </pic:cNvPicPr>
                  </pic:nvPicPr>
                  <pic:blipFill>
                    <a:blip r:embed="rId9"/>
                    <a:srcRect t="10988" r="20853" b="25557"/>
                    <a:stretch>
                      <a:fillRect/>
                    </a:stretch>
                  </pic:blipFill>
                  <pic:spPr bwMode="auto">
                    <a:xfrm>
                      <a:off x="0" y="0"/>
                      <a:ext cx="1104900" cy="504825"/>
                    </a:xfrm>
                    <a:prstGeom prst="rect">
                      <a:avLst/>
                    </a:prstGeom>
                    <a:noFill/>
                    <a:ln w="9525">
                      <a:noFill/>
                      <a:miter lim="800000"/>
                      <a:headEnd/>
                      <a:tailEnd/>
                    </a:ln>
                  </pic:spPr>
                </pic:pic>
              </a:graphicData>
            </a:graphic>
          </wp:inline>
        </w:drawing>
      </w:r>
      <w:r>
        <w:t xml:space="preserve">                                                                    </w:t>
      </w:r>
      <w:r w:rsidR="00ED526C">
        <w:t xml:space="preserve">                           </w:t>
      </w:r>
      <w:r>
        <w:t>(6)</w:t>
      </w:r>
    </w:p>
    <w:p w:rsidR="007E080B" w:rsidRDefault="007E080B" w:rsidP="007E080B">
      <w:pPr>
        <w:pStyle w:val="CAROLTEXTOS"/>
      </w:pPr>
    </w:p>
    <w:p w:rsidR="007E080B" w:rsidRDefault="007E080B" w:rsidP="007E080B">
      <w:pPr>
        <w:pStyle w:val="CAROLTEXTOS"/>
      </w:pPr>
      <w:r>
        <w:t>Chega-se à:</w:t>
      </w:r>
    </w:p>
    <w:p w:rsidR="007E080B" w:rsidRDefault="007E080B" w:rsidP="00ED526C">
      <w:pPr>
        <w:pStyle w:val="CAROLTTULO1"/>
      </w:pPr>
      <w:r>
        <w:rPr>
          <w:noProof/>
        </w:rPr>
        <w:drawing>
          <wp:inline distT="0" distB="0" distL="0" distR="0">
            <wp:extent cx="1323975" cy="466725"/>
            <wp:effectExtent l="19050" t="0" r="9525" b="0"/>
            <wp:docPr id="46" name="Imagem 30" descr="foto eficiencia cust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 descr="foto eficiencia custo final"/>
                    <pic:cNvPicPr>
                      <a:picLocks noChangeAspect="1" noChangeArrowheads="1"/>
                    </pic:cNvPicPr>
                  </pic:nvPicPr>
                  <pic:blipFill>
                    <a:blip r:embed="rId10"/>
                    <a:srcRect l="8324" t="17194" r="16286" b="31227"/>
                    <a:stretch>
                      <a:fillRect/>
                    </a:stretch>
                  </pic:blipFill>
                  <pic:spPr bwMode="auto">
                    <a:xfrm>
                      <a:off x="0" y="0"/>
                      <a:ext cx="1323975" cy="466725"/>
                    </a:xfrm>
                    <a:prstGeom prst="rect">
                      <a:avLst/>
                    </a:prstGeom>
                    <a:noFill/>
                    <a:ln w="9525">
                      <a:noFill/>
                      <a:miter lim="800000"/>
                      <a:headEnd/>
                      <a:tailEnd/>
                    </a:ln>
                  </pic:spPr>
                </pic:pic>
              </a:graphicData>
            </a:graphic>
          </wp:inline>
        </w:drawing>
      </w:r>
      <w:r>
        <w:t xml:space="preserve">                                                                                         (7)</w:t>
      </w:r>
    </w:p>
    <w:p w:rsidR="007E080B" w:rsidRDefault="007E080B" w:rsidP="007E080B">
      <w:pPr>
        <w:pStyle w:val="CAROLTEXTOS"/>
      </w:pPr>
    </w:p>
    <w:p w:rsidR="007E080B" w:rsidRPr="008F08DF" w:rsidRDefault="007E080B" w:rsidP="007E080B">
      <w:pPr>
        <w:pStyle w:val="CAROLTEXTOS"/>
      </w:pPr>
      <w:r w:rsidRPr="008F08DF">
        <w:t>Onde:</w:t>
      </w:r>
    </w:p>
    <w:p w:rsidR="007E080B" w:rsidRDefault="007E080B" w:rsidP="007E080B">
      <w:pPr>
        <w:pStyle w:val="CAROLTEXTOS"/>
        <w:rPr>
          <w:b/>
        </w:rPr>
      </w:pPr>
      <w:r>
        <w:rPr>
          <w:b/>
          <w:noProof/>
        </w:rPr>
        <w:drawing>
          <wp:inline distT="0" distB="0" distL="0" distR="0">
            <wp:extent cx="2990850" cy="1257300"/>
            <wp:effectExtent l="19050" t="0" r="0" b="0"/>
            <wp:docPr id="47" name="Imagem 31" descr="foto relação efici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1" descr="foto relação eficiencia"/>
                    <pic:cNvPicPr>
                      <a:picLocks noChangeAspect="1" noChangeArrowheads="1"/>
                    </pic:cNvPicPr>
                  </pic:nvPicPr>
                  <pic:blipFill>
                    <a:blip r:embed="rId11"/>
                    <a:srcRect/>
                    <a:stretch>
                      <a:fillRect/>
                    </a:stretch>
                  </pic:blipFill>
                  <pic:spPr bwMode="auto">
                    <a:xfrm>
                      <a:off x="0" y="0"/>
                      <a:ext cx="2990850" cy="1257300"/>
                    </a:xfrm>
                    <a:prstGeom prst="rect">
                      <a:avLst/>
                    </a:prstGeom>
                    <a:noFill/>
                    <a:ln w="9525">
                      <a:noFill/>
                      <a:miter lim="800000"/>
                      <a:headEnd/>
                      <a:tailEnd/>
                    </a:ln>
                  </pic:spPr>
                </pic:pic>
              </a:graphicData>
            </a:graphic>
          </wp:inline>
        </w:drawing>
      </w:r>
    </w:p>
    <w:p w:rsidR="007E080B" w:rsidRDefault="007E080B" w:rsidP="007E080B">
      <w:pPr>
        <w:spacing w:after="0" w:line="360" w:lineRule="auto"/>
        <w:contextualSpacing/>
        <w:jc w:val="both"/>
        <w:rPr>
          <w:rFonts w:ascii="Arial" w:hAnsi="Arial" w:cs="Arial"/>
          <w:sz w:val="24"/>
          <w:szCs w:val="24"/>
        </w:rPr>
      </w:pPr>
      <w:r>
        <w:rPr>
          <w:rFonts w:ascii="Arial" w:hAnsi="Arial" w:cs="Arial"/>
          <w:sz w:val="24"/>
          <w:szCs w:val="24"/>
        </w:rPr>
        <w:tab/>
        <w:t>O resultado deve ser interpretado da seguinte forma</w:t>
      </w:r>
      <w:r>
        <w:rPr>
          <w:rStyle w:val="Refdenotaderodap"/>
          <w:rFonts w:ascii="Arial" w:hAnsi="Arial" w:cs="Arial"/>
          <w:sz w:val="24"/>
          <w:szCs w:val="24"/>
        </w:rPr>
        <w:footnoteReference w:id="12"/>
      </w:r>
      <w:r>
        <w:rPr>
          <w:rFonts w:ascii="Arial" w:hAnsi="Arial" w:cs="Arial"/>
          <w:sz w:val="24"/>
          <w:szCs w:val="24"/>
        </w:rPr>
        <w:t>:</w:t>
      </w:r>
    </w:p>
    <w:p w:rsidR="007E080B" w:rsidRDefault="007E080B" w:rsidP="007E080B">
      <w:pPr>
        <w:numPr>
          <w:ilvl w:val="0"/>
          <w:numId w:val="4"/>
        </w:numPr>
        <w:spacing w:after="0" w:line="360" w:lineRule="auto"/>
        <w:ind w:left="0" w:hanging="709"/>
        <w:contextualSpacing/>
        <w:jc w:val="both"/>
        <w:rPr>
          <w:rFonts w:ascii="Arial" w:hAnsi="Arial" w:cs="Arial"/>
          <w:sz w:val="24"/>
          <w:szCs w:val="24"/>
        </w:rPr>
      </w:pPr>
      <w:r>
        <w:rPr>
          <w:rFonts w:ascii="Arial" w:hAnsi="Arial" w:cs="Arial"/>
          <w:sz w:val="24"/>
          <w:szCs w:val="24"/>
        </w:rPr>
        <w:t xml:space="preserve">Se </w:t>
      </w:r>
      <w:proofErr w:type="spellStart"/>
      <w:r>
        <w:rPr>
          <w:rFonts w:ascii="Arial" w:hAnsi="Arial" w:cs="Arial"/>
          <w:sz w:val="24"/>
          <w:szCs w:val="24"/>
        </w:rPr>
        <w:t>Ee</w:t>
      </w:r>
      <w:proofErr w:type="spellEnd"/>
      <w:r>
        <w:rPr>
          <w:rFonts w:ascii="Arial" w:hAnsi="Arial" w:cs="Arial"/>
          <w:sz w:val="24"/>
          <w:szCs w:val="24"/>
        </w:rPr>
        <w:t xml:space="preserve"> &gt; 1, a ação é mais que eficiente;</w:t>
      </w:r>
    </w:p>
    <w:p w:rsidR="007E080B" w:rsidRDefault="007E080B" w:rsidP="007E080B">
      <w:pPr>
        <w:numPr>
          <w:ilvl w:val="0"/>
          <w:numId w:val="4"/>
        </w:numPr>
        <w:spacing w:after="0" w:line="360" w:lineRule="auto"/>
        <w:ind w:left="0" w:hanging="709"/>
        <w:contextualSpacing/>
        <w:jc w:val="both"/>
        <w:rPr>
          <w:rFonts w:ascii="Arial" w:hAnsi="Arial" w:cs="Arial"/>
          <w:sz w:val="24"/>
          <w:szCs w:val="24"/>
        </w:rPr>
      </w:pPr>
      <w:r>
        <w:rPr>
          <w:rFonts w:ascii="Arial" w:hAnsi="Arial" w:cs="Arial"/>
          <w:sz w:val="24"/>
          <w:szCs w:val="24"/>
        </w:rPr>
        <w:t xml:space="preserve">Se </w:t>
      </w:r>
      <w:proofErr w:type="spellStart"/>
      <w:r>
        <w:rPr>
          <w:rFonts w:ascii="Arial" w:hAnsi="Arial" w:cs="Arial"/>
          <w:sz w:val="24"/>
          <w:szCs w:val="24"/>
        </w:rPr>
        <w:t>Ee</w:t>
      </w:r>
      <w:proofErr w:type="spellEnd"/>
      <w:r>
        <w:rPr>
          <w:rFonts w:ascii="Arial" w:hAnsi="Arial" w:cs="Arial"/>
          <w:sz w:val="24"/>
          <w:szCs w:val="24"/>
        </w:rPr>
        <w:t xml:space="preserve"> = 1, a ação é eficiente;</w:t>
      </w:r>
    </w:p>
    <w:p w:rsidR="007E080B" w:rsidRPr="00ED526C" w:rsidRDefault="007E080B" w:rsidP="007E080B">
      <w:pPr>
        <w:pStyle w:val="PargrafodaLista"/>
        <w:numPr>
          <w:ilvl w:val="0"/>
          <w:numId w:val="4"/>
        </w:numPr>
        <w:spacing w:after="0" w:line="360" w:lineRule="auto"/>
        <w:ind w:left="0"/>
        <w:jc w:val="both"/>
        <w:rPr>
          <w:rFonts w:ascii="Arial" w:hAnsi="Arial" w:cs="Arial"/>
          <w:sz w:val="24"/>
          <w:szCs w:val="24"/>
        </w:rPr>
      </w:pPr>
      <w:r w:rsidRPr="007E080B">
        <w:rPr>
          <w:rFonts w:ascii="Arial" w:hAnsi="Arial" w:cs="Arial"/>
          <w:sz w:val="24"/>
          <w:szCs w:val="24"/>
        </w:rPr>
        <w:t xml:space="preserve">Se </w:t>
      </w:r>
      <w:proofErr w:type="spellStart"/>
      <w:r w:rsidRPr="007E080B">
        <w:rPr>
          <w:rFonts w:ascii="Arial" w:hAnsi="Arial" w:cs="Arial"/>
          <w:sz w:val="24"/>
          <w:szCs w:val="24"/>
        </w:rPr>
        <w:t>Ee</w:t>
      </w:r>
      <w:proofErr w:type="spellEnd"/>
      <w:r w:rsidRPr="007E080B">
        <w:rPr>
          <w:rFonts w:ascii="Arial" w:hAnsi="Arial" w:cs="Arial"/>
          <w:sz w:val="24"/>
          <w:szCs w:val="24"/>
        </w:rPr>
        <w:t xml:space="preserve"> &lt; 1, a ação será ineficiente.                                 </w:t>
      </w:r>
      <w:r>
        <w:rPr>
          <w:rFonts w:ascii="Arial" w:hAnsi="Arial" w:cs="Arial"/>
          <w:sz w:val="24"/>
          <w:szCs w:val="24"/>
        </w:rPr>
        <w:t xml:space="preserve">                         </w:t>
      </w:r>
    </w:p>
    <w:p w:rsidR="007E080B" w:rsidRDefault="007E080B" w:rsidP="007E080B">
      <w:pPr>
        <w:pStyle w:val="CAROLTEXTOS"/>
      </w:pPr>
    </w:p>
    <w:p w:rsidR="007E080B" w:rsidRPr="00F11193" w:rsidRDefault="00ED526C" w:rsidP="007E080B">
      <w:pPr>
        <w:pStyle w:val="CAROLTTULO3"/>
      </w:pPr>
      <w:r>
        <w:rPr>
          <w:i w:val="0"/>
        </w:rPr>
        <w:t>3.2</w:t>
      </w:r>
      <w:r w:rsidR="007E080B" w:rsidRPr="00224579">
        <w:rPr>
          <w:i w:val="0"/>
        </w:rPr>
        <w:t>.1</w:t>
      </w:r>
      <w:r w:rsidR="007E080B" w:rsidRPr="00F11193">
        <w:t xml:space="preserve"> Inflação</w:t>
      </w:r>
    </w:p>
    <w:p w:rsidR="007E080B" w:rsidRDefault="007E080B" w:rsidP="007E080B">
      <w:pPr>
        <w:pStyle w:val="CAROLTEXTOS"/>
      </w:pPr>
      <w:r>
        <w:t>A inflação efetiva é obtida pela variação anual do IPCA , disponível no IBGE. Além disso, serão apresentados os valores do Centro da meta de inflação (λ), o limite inferior (</w:t>
      </w:r>
      <w:proofErr w:type="spellStart"/>
      <w:r>
        <w:t>L¹</w:t>
      </w:r>
      <w:proofErr w:type="spellEnd"/>
      <w:r>
        <w:t>) e o limite superior (</w:t>
      </w:r>
      <w:proofErr w:type="spellStart"/>
      <w:r>
        <w:t>L²</w:t>
      </w:r>
      <w:proofErr w:type="spellEnd"/>
      <w:r>
        <w:t>) da meta que será utilizado como parâmetro</w:t>
      </w:r>
      <w:r>
        <w:rPr>
          <w:rStyle w:val="Refdenotaderodap"/>
        </w:rPr>
        <w:footnoteReference w:id="13"/>
      </w:r>
      <w:r>
        <w:t xml:space="preserve">. A fim de padronizar a análise, nota-se que para os anos de 2003 e 2004, utilizou-se para o cálculo, as metas reajustadas do período, feitas pela </w:t>
      </w:r>
      <w:r w:rsidRPr="00E974F8">
        <w:t>Resoluções 2.972, de 27/06/2002 e 3.108, de 25/06/2003 do CMN</w:t>
      </w:r>
      <w:r>
        <w:rPr>
          <w:rStyle w:val="Refdenotaderodap"/>
        </w:rPr>
        <w:footnoteReference w:id="14"/>
      </w:r>
      <w:r>
        <w:t>.</w:t>
      </w:r>
    </w:p>
    <w:p w:rsidR="008167E4" w:rsidRDefault="008167E4" w:rsidP="007E080B">
      <w:pPr>
        <w:pStyle w:val="CAROLTABELAS"/>
      </w:pPr>
      <w:bookmarkStart w:id="31" w:name="_Toc388447191"/>
    </w:p>
    <w:p w:rsidR="008167E4" w:rsidRDefault="008167E4" w:rsidP="007E080B">
      <w:pPr>
        <w:pStyle w:val="CAROLTABELAS"/>
      </w:pPr>
    </w:p>
    <w:p w:rsidR="008167E4" w:rsidRDefault="008167E4" w:rsidP="007E080B">
      <w:pPr>
        <w:pStyle w:val="CAROLTABELAS"/>
      </w:pPr>
    </w:p>
    <w:p w:rsidR="008167E4" w:rsidRDefault="008167E4" w:rsidP="007E080B">
      <w:pPr>
        <w:pStyle w:val="CAROLTABELAS"/>
      </w:pPr>
    </w:p>
    <w:p w:rsidR="007E080B" w:rsidRPr="007343E4" w:rsidRDefault="007E080B" w:rsidP="007E080B">
      <w:pPr>
        <w:pStyle w:val="CAROLTABELAS"/>
      </w:pPr>
      <w:r>
        <w:lastRenderedPageBreak/>
        <w:t>Tabela 1 -</w:t>
      </w:r>
      <w:r w:rsidRPr="007343E4">
        <w:t xml:space="preserve"> Centro e Limites da Meta de Inflação e Nível efetivo</w:t>
      </w:r>
      <w:bookmarkEnd w:id="31"/>
    </w:p>
    <w:tbl>
      <w:tblPr>
        <w:tblW w:w="9115" w:type="dxa"/>
        <w:tblInd w:w="56" w:type="dxa"/>
        <w:tblCellMar>
          <w:left w:w="70" w:type="dxa"/>
          <w:right w:w="70" w:type="dxa"/>
        </w:tblCellMar>
        <w:tblLook w:val="04A0"/>
      </w:tblPr>
      <w:tblGrid>
        <w:gridCol w:w="1690"/>
        <w:gridCol w:w="1563"/>
        <w:gridCol w:w="1108"/>
        <w:gridCol w:w="1654"/>
        <w:gridCol w:w="1796"/>
        <w:gridCol w:w="1304"/>
      </w:tblGrid>
      <w:tr w:rsidR="007E080B" w:rsidRPr="00B74F77" w:rsidTr="00A27AD3">
        <w:trPr>
          <w:trHeight w:val="297"/>
        </w:trPr>
        <w:tc>
          <w:tcPr>
            <w:tcW w:w="1690" w:type="dxa"/>
            <w:tcBorders>
              <w:top w:val="single" w:sz="4" w:space="0" w:color="auto"/>
              <w:left w:val="nil"/>
              <w:bottom w:val="nil"/>
              <w:right w:val="single" w:sz="4" w:space="0" w:color="auto"/>
            </w:tcBorders>
            <w:shd w:val="clear" w:color="auto" w:fill="8DB3E2"/>
            <w:noWrap/>
            <w:vAlign w:val="center"/>
            <w:hideMark/>
          </w:tcPr>
          <w:p w:rsidR="007E080B" w:rsidRPr="00B74F77" w:rsidRDefault="007E080B" w:rsidP="00A27AD3">
            <w:pPr>
              <w:spacing w:after="0" w:line="240" w:lineRule="auto"/>
              <w:jc w:val="center"/>
              <w:rPr>
                <w:rFonts w:ascii="Arial" w:hAnsi="Arial" w:cs="Arial"/>
                <w:b/>
                <w:bCs/>
                <w:color w:val="000000"/>
                <w:sz w:val="20"/>
                <w:szCs w:val="20"/>
              </w:rPr>
            </w:pPr>
          </w:p>
        </w:tc>
        <w:tc>
          <w:tcPr>
            <w:tcW w:w="6120" w:type="dxa"/>
            <w:gridSpan w:val="4"/>
            <w:tcBorders>
              <w:top w:val="single" w:sz="4" w:space="0" w:color="auto"/>
              <w:left w:val="nil"/>
              <w:bottom w:val="single" w:sz="4" w:space="0" w:color="auto"/>
              <w:right w:val="single" w:sz="4" w:space="0" w:color="auto"/>
            </w:tcBorders>
            <w:shd w:val="clear" w:color="auto" w:fill="8DB3E2"/>
            <w:noWrap/>
            <w:vAlign w:val="center"/>
            <w:hideMark/>
          </w:tcPr>
          <w:p w:rsidR="007E080B" w:rsidRPr="00B74F77" w:rsidRDefault="007E080B" w:rsidP="00A27AD3">
            <w:pPr>
              <w:spacing w:after="0" w:line="240" w:lineRule="auto"/>
              <w:jc w:val="center"/>
              <w:rPr>
                <w:rFonts w:ascii="Arial" w:hAnsi="Arial" w:cs="Arial"/>
                <w:b/>
                <w:bCs/>
                <w:color w:val="000000"/>
                <w:sz w:val="20"/>
                <w:szCs w:val="20"/>
              </w:rPr>
            </w:pPr>
            <w:r w:rsidRPr="00B74F77">
              <w:rPr>
                <w:rFonts w:ascii="Arial" w:hAnsi="Arial" w:cs="Arial"/>
                <w:b/>
                <w:bCs/>
                <w:color w:val="000000"/>
                <w:sz w:val="20"/>
                <w:szCs w:val="20"/>
              </w:rPr>
              <w:t>Meta (%)</w:t>
            </w:r>
          </w:p>
        </w:tc>
        <w:tc>
          <w:tcPr>
            <w:tcW w:w="1304" w:type="dxa"/>
            <w:tcBorders>
              <w:top w:val="single" w:sz="4" w:space="0" w:color="auto"/>
              <w:left w:val="nil"/>
              <w:bottom w:val="single" w:sz="4" w:space="0" w:color="auto"/>
              <w:right w:val="nil"/>
            </w:tcBorders>
            <w:shd w:val="clear" w:color="auto" w:fill="8DB3E2"/>
            <w:noWrap/>
            <w:vAlign w:val="center"/>
            <w:hideMark/>
          </w:tcPr>
          <w:p w:rsidR="007E080B" w:rsidRPr="00B74F77" w:rsidRDefault="007E080B" w:rsidP="00A27AD3">
            <w:pPr>
              <w:spacing w:after="0" w:line="240" w:lineRule="auto"/>
              <w:jc w:val="center"/>
              <w:rPr>
                <w:rFonts w:ascii="Arial" w:hAnsi="Arial" w:cs="Arial"/>
                <w:b/>
                <w:bCs/>
                <w:color w:val="000000"/>
                <w:sz w:val="20"/>
                <w:szCs w:val="20"/>
              </w:rPr>
            </w:pPr>
            <w:r w:rsidRPr="00B74F77">
              <w:rPr>
                <w:rFonts w:ascii="Arial" w:hAnsi="Arial" w:cs="Arial"/>
                <w:b/>
                <w:bCs/>
                <w:color w:val="000000"/>
                <w:sz w:val="20"/>
                <w:szCs w:val="20"/>
              </w:rPr>
              <w:t>Efetiva (%)</w:t>
            </w:r>
          </w:p>
        </w:tc>
      </w:tr>
      <w:tr w:rsidR="007E080B" w:rsidRPr="00B74F77" w:rsidTr="00A27AD3">
        <w:trPr>
          <w:trHeight w:val="297"/>
        </w:trPr>
        <w:tc>
          <w:tcPr>
            <w:tcW w:w="1690" w:type="dxa"/>
            <w:tcBorders>
              <w:top w:val="nil"/>
              <w:left w:val="nil"/>
              <w:bottom w:val="single" w:sz="4" w:space="0" w:color="auto"/>
              <w:right w:val="single" w:sz="4" w:space="0" w:color="auto"/>
            </w:tcBorders>
            <w:shd w:val="clear" w:color="auto" w:fill="8DB3E2"/>
            <w:noWrap/>
            <w:vAlign w:val="center"/>
            <w:hideMark/>
          </w:tcPr>
          <w:p w:rsidR="007E080B" w:rsidRPr="00B74F77" w:rsidRDefault="007E080B" w:rsidP="00A27AD3">
            <w:pPr>
              <w:spacing w:after="0" w:line="240" w:lineRule="auto"/>
              <w:jc w:val="center"/>
              <w:rPr>
                <w:rFonts w:ascii="Arial" w:hAnsi="Arial" w:cs="Arial"/>
                <w:b/>
                <w:bCs/>
                <w:color w:val="000000"/>
                <w:sz w:val="20"/>
                <w:szCs w:val="20"/>
              </w:rPr>
            </w:pPr>
            <w:r w:rsidRPr="00B74F77">
              <w:rPr>
                <w:rFonts w:ascii="Arial" w:hAnsi="Arial" w:cs="Arial"/>
                <w:b/>
                <w:bCs/>
                <w:color w:val="000000"/>
                <w:sz w:val="20"/>
                <w:szCs w:val="20"/>
              </w:rPr>
              <w:t>Data</w:t>
            </w:r>
          </w:p>
        </w:tc>
        <w:tc>
          <w:tcPr>
            <w:tcW w:w="1563" w:type="dxa"/>
            <w:tcBorders>
              <w:top w:val="nil"/>
              <w:left w:val="nil"/>
              <w:bottom w:val="single" w:sz="4" w:space="0" w:color="auto"/>
              <w:right w:val="single" w:sz="4" w:space="0" w:color="auto"/>
            </w:tcBorders>
            <w:shd w:val="clear" w:color="auto" w:fill="8DB3E2"/>
            <w:noWrap/>
            <w:vAlign w:val="center"/>
            <w:hideMark/>
          </w:tcPr>
          <w:p w:rsidR="007E080B" w:rsidRPr="00B74F77" w:rsidRDefault="007E080B" w:rsidP="00A27AD3">
            <w:pPr>
              <w:spacing w:after="0" w:line="240" w:lineRule="auto"/>
              <w:jc w:val="center"/>
              <w:rPr>
                <w:rFonts w:ascii="Arial" w:hAnsi="Arial" w:cs="Arial"/>
                <w:b/>
                <w:bCs/>
                <w:color w:val="000000"/>
                <w:sz w:val="20"/>
                <w:szCs w:val="20"/>
              </w:rPr>
            </w:pPr>
            <w:r w:rsidRPr="00B74F77">
              <w:rPr>
                <w:rFonts w:ascii="Arial" w:hAnsi="Arial" w:cs="Arial"/>
                <w:b/>
                <w:bCs/>
                <w:color w:val="000000"/>
                <w:sz w:val="20"/>
                <w:szCs w:val="20"/>
              </w:rPr>
              <w:t>Núcleo meta  (λ)</w:t>
            </w:r>
          </w:p>
        </w:tc>
        <w:tc>
          <w:tcPr>
            <w:tcW w:w="1108" w:type="dxa"/>
            <w:tcBorders>
              <w:top w:val="nil"/>
              <w:left w:val="nil"/>
              <w:bottom w:val="single" w:sz="4" w:space="0" w:color="auto"/>
              <w:right w:val="single" w:sz="4" w:space="0" w:color="auto"/>
            </w:tcBorders>
            <w:shd w:val="clear" w:color="auto" w:fill="8DB3E2"/>
            <w:noWrap/>
            <w:vAlign w:val="center"/>
            <w:hideMark/>
          </w:tcPr>
          <w:p w:rsidR="007E080B" w:rsidRPr="00B74F77" w:rsidRDefault="007E080B" w:rsidP="00A27AD3">
            <w:pPr>
              <w:spacing w:after="0" w:line="240" w:lineRule="auto"/>
              <w:jc w:val="center"/>
              <w:rPr>
                <w:rFonts w:ascii="Arial" w:hAnsi="Arial" w:cs="Arial"/>
                <w:b/>
                <w:bCs/>
                <w:color w:val="000000"/>
                <w:sz w:val="20"/>
                <w:szCs w:val="20"/>
              </w:rPr>
            </w:pPr>
            <w:r w:rsidRPr="00B74F77">
              <w:rPr>
                <w:rFonts w:ascii="Arial" w:hAnsi="Arial" w:cs="Arial"/>
                <w:b/>
                <w:bCs/>
                <w:color w:val="000000"/>
                <w:sz w:val="20"/>
                <w:szCs w:val="20"/>
              </w:rPr>
              <w:t>Banda (p.p)</w:t>
            </w:r>
          </w:p>
        </w:tc>
        <w:tc>
          <w:tcPr>
            <w:tcW w:w="1654" w:type="dxa"/>
            <w:tcBorders>
              <w:top w:val="nil"/>
              <w:left w:val="nil"/>
              <w:bottom w:val="single" w:sz="4" w:space="0" w:color="auto"/>
              <w:right w:val="single" w:sz="4" w:space="0" w:color="auto"/>
            </w:tcBorders>
            <w:shd w:val="clear" w:color="auto" w:fill="8DB3E2"/>
            <w:noWrap/>
            <w:vAlign w:val="center"/>
            <w:hideMark/>
          </w:tcPr>
          <w:p w:rsidR="007E080B" w:rsidRPr="00B74F77" w:rsidRDefault="007E080B" w:rsidP="00A27AD3">
            <w:pPr>
              <w:spacing w:after="0" w:line="240" w:lineRule="auto"/>
              <w:jc w:val="center"/>
              <w:rPr>
                <w:rFonts w:ascii="Arial" w:hAnsi="Arial" w:cs="Arial"/>
                <w:b/>
                <w:bCs/>
                <w:color w:val="000000"/>
                <w:sz w:val="20"/>
                <w:szCs w:val="20"/>
              </w:rPr>
            </w:pPr>
            <w:r w:rsidRPr="00B74F77">
              <w:rPr>
                <w:rFonts w:ascii="Arial" w:hAnsi="Arial" w:cs="Arial"/>
                <w:b/>
                <w:bCs/>
                <w:color w:val="000000"/>
                <w:sz w:val="20"/>
                <w:szCs w:val="20"/>
              </w:rPr>
              <w:t>Limite inferior (</w:t>
            </w:r>
            <w:proofErr w:type="spellStart"/>
            <w:r w:rsidRPr="00B74F77">
              <w:rPr>
                <w:rFonts w:ascii="Arial" w:hAnsi="Arial" w:cs="Arial"/>
                <w:b/>
                <w:bCs/>
                <w:color w:val="000000"/>
                <w:sz w:val="20"/>
                <w:szCs w:val="20"/>
              </w:rPr>
              <w:t>L¹</w:t>
            </w:r>
            <w:proofErr w:type="spellEnd"/>
            <w:r w:rsidRPr="00B74F77">
              <w:rPr>
                <w:rFonts w:ascii="Arial" w:hAnsi="Arial" w:cs="Arial"/>
                <w:b/>
                <w:bCs/>
                <w:color w:val="000000"/>
                <w:sz w:val="20"/>
                <w:szCs w:val="20"/>
              </w:rPr>
              <w:t>)</w:t>
            </w:r>
          </w:p>
        </w:tc>
        <w:tc>
          <w:tcPr>
            <w:tcW w:w="1796" w:type="dxa"/>
            <w:tcBorders>
              <w:top w:val="nil"/>
              <w:left w:val="nil"/>
              <w:bottom w:val="single" w:sz="4" w:space="0" w:color="auto"/>
              <w:right w:val="single" w:sz="4" w:space="0" w:color="auto"/>
            </w:tcBorders>
            <w:shd w:val="clear" w:color="auto" w:fill="8DB3E2"/>
            <w:noWrap/>
            <w:vAlign w:val="center"/>
            <w:hideMark/>
          </w:tcPr>
          <w:p w:rsidR="007E080B" w:rsidRPr="00B74F77" w:rsidRDefault="007E080B" w:rsidP="00A27AD3">
            <w:pPr>
              <w:spacing w:after="0" w:line="240" w:lineRule="auto"/>
              <w:jc w:val="center"/>
              <w:rPr>
                <w:rFonts w:ascii="Arial" w:hAnsi="Arial" w:cs="Arial"/>
                <w:b/>
                <w:bCs/>
                <w:color w:val="000000"/>
                <w:sz w:val="20"/>
                <w:szCs w:val="20"/>
              </w:rPr>
            </w:pPr>
            <w:r w:rsidRPr="00B74F77">
              <w:rPr>
                <w:rFonts w:ascii="Arial" w:hAnsi="Arial" w:cs="Arial"/>
                <w:b/>
                <w:bCs/>
                <w:color w:val="000000"/>
                <w:sz w:val="20"/>
                <w:szCs w:val="20"/>
              </w:rPr>
              <w:t>Limite superior (</w:t>
            </w:r>
            <w:proofErr w:type="spellStart"/>
            <w:r w:rsidRPr="00B74F77">
              <w:rPr>
                <w:rFonts w:ascii="Arial" w:hAnsi="Arial" w:cs="Arial"/>
                <w:b/>
                <w:bCs/>
                <w:color w:val="000000"/>
                <w:sz w:val="20"/>
                <w:szCs w:val="20"/>
              </w:rPr>
              <w:t>L²</w:t>
            </w:r>
            <w:proofErr w:type="spellEnd"/>
            <w:r w:rsidRPr="00B74F77">
              <w:rPr>
                <w:rFonts w:ascii="Arial" w:hAnsi="Arial" w:cs="Arial"/>
                <w:b/>
                <w:bCs/>
                <w:color w:val="000000"/>
                <w:sz w:val="20"/>
                <w:szCs w:val="20"/>
              </w:rPr>
              <w:t>)</w:t>
            </w:r>
          </w:p>
        </w:tc>
        <w:tc>
          <w:tcPr>
            <w:tcW w:w="1304" w:type="dxa"/>
            <w:tcBorders>
              <w:top w:val="nil"/>
              <w:left w:val="nil"/>
              <w:bottom w:val="single" w:sz="4" w:space="0" w:color="auto"/>
              <w:right w:val="nil"/>
            </w:tcBorders>
            <w:shd w:val="clear" w:color="auto" w:fill="8DB3E2"/>
            <w:noWrap/>
            <w:vAlign w:val="center"/>
            <w:hideMark/>
          </w:tcPr>
          <w:p w:rsidR="007E080B" w:rsidRPr="00B74F77" w:rsidRDefault="007E080B" w:rsidP="00A27AD3">
            <w:pPr>
              <w:spacing w:after="0" w:line="240" w:lineRule="auto"/>
              <w:jc w:val="center"/>
              <w:rPr>
                <w:rFonts w:ascii="Arial" w:hAnsi="Arial" w:cs="Arial"/>
                <w:b/>
                <w:bCs/>
                <w:color w:val="000000"/>
                <w:sz w:val="20"/>
                <w:szCs w:val="20"/>
              </w:rPr>
            </w:pPr>
            <w:r w:rsidRPr="00B74F77">
              <w:rPr>
                <w:rFonts w:ascii="Arial" w:hAnsi="Arial" w:cs="Arial"/>
                <w:b/>
                <w:bCs/>
                <w:color w:val="000000"/>
                <w:sz w:val="20"/>
                <w:szCs w:val="20"/>
              </w:rPr>
              <w:t>Inflação  (π)¹</w:t>
            </w:r>
          </w:p>
        </w:tc>
      </w:tr>
      <w:tr w:rsidR="007E080B" w:rsidRPr="00B74F77" w:rsidTr="00A27AD3">
        <w:trPr>
          <w:trHeight w:val="297"/>
        </w:trPr>
        <w:tc>
          <w:tcPr>
            <w:tcW w:w="1690" w:type="dxa"/>
            <w:tcBorders>
              <w:top w:val="nil"/>
              <w:left w:val="nil"/>
              <w:bottom w:val="nil"/>
              <w:right w:val="single" w:sz="4" w:space="0" w:color="auto"/>
            </w:tcBorders>
            <w:shd w:val="clear" w:color="auto" w:fill="C6D9F1"/>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1993</w:t>
            </w:r>
          </w:p>
        </w:tc>
        <w:tc>
          <w:tcPr>
            <w:tcW w:w="1563"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w:t>
            </w:r>
          </w:p>
        </w:tc>
        <w:tc>
          <w:tcPr>
            <w:tcW w:w="1108"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rPr>
                <w:rFonts w:ascii="Arial" w:hAnsi="Arial" w:cs="Arial"/>
                <w:color w:val="000000"/>
                <w:sz w:val="20"/>
                <w:szCs w:val="20"/>
              </w:rPr>
            </w:pPr>
            <w:r w:rsidRPr="00B74F77">
              <w:rPr>
                <w:rFonts w:ascii="Arial" w:hAnsi="Arial" w:cs="Arial"/>
                <w:color w:val="000000"/>
                <w:sz w:val="20"/>
                <w:szCs w:val="20"/>
              </w:rPr>
              <w:t> </w:t>
            </w:r>
          </w:p>
        </w:tc>
        <w:tc>
          <w:tcPr>
            <w:tcW w:w="1654"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rPr>
                <w:rFonts w:ascii="Arial" w:hAnsi="Arial" w:cs="Arial"/>
                <w:color w:val="000000"/>
                <w:sz w:val="20"/>
                <w:szCs w:val="20"/>
              </w:rPr>
            </w:pPr>
            <w:r w:rsidRPr="00B74F77">
              <w:rPr>
                <w:rFonts w:ascii="Arial" w:hAnsi="Arial" w:cs="Arial"/>
                <w:color w:val="000000"/>
                <w:sz w:val="20"/>
                <w:szCs w:val="20"/>
              </w:rPr>
              <w:t> </w:t>
            </w:r>
          </w:p>
        </w:tc>
        <w:tc>
          <w:tcPr>
            <w:tcW w:w="1796"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rPr>
                <w:rFonts w:ascii="Arial" w:hAnsi="Arial" w:cs="Arial"/>
                <w:color w:val="000000"/>
                <w:sz w:val="20"/>
                <w:szCs w:val="20"/>
              </w:rPr>
            </w:pPr>
            <w:r w:rsidRPr="00B74F77">
              <w:rPr>
                <w:rFonts w:ascii="Arial" w:hAnsi="Arial" w:cs="Arial"/>
                <w:color w:val="000000"/>
                <w:sz w:val="20"/>
                <w:szCs w:val="20"/>
              </w:rPr>
              <w:t> </w:t>
            </w:r>
          </w:p>
        </w:tc>
        <w:tc>
          <w:tcPr>
            <w:tcW w:w="1304" w:type="dxa"/>
            <w:tcBorders>
              <w:top w:val="nil"/>
              <w:left w:val="nil"/>
              <w:bottom w:val="nil"/>
              <w:right w:val="nil"/>
            </w:tcBorders>
            <w:shd w:val="clear" w:color="auto" w:fill="C6D9F1"/>
            <w:vAlign w:val="bottom"/>
            <w:hideMark/>
          </w:tcPr>
          <w:p w:rsidR="007E080B" w:rsidRPr="00B74F77" w:rsidRDefault="007E080B" w:rsidP="00A27AD3">
            <w:pPr>
              <w:spacing w:after="0" w:line="240" w:lineRule="auto"/>
              <w:jc w:val="right"/>
              <w:rPr>
                <w:rFonts w:ascii="Arial" w:hAnsi="Arial" w:cs="Arial"/>
                <w:color w:val="000000"/>
                <w:sz w:val="20"/>
                <w:szCs w:val="20"/>
              </w:rPr>
            </w:pPr>
            <w:r w:rsidRPr="00B74F77">
              <w:rPr>
                <w:rFonts w:ascii="Arial" w:hAnsi="Arial" w:cs="Arial"/>
                <w:color w:val="000000"/>
                <w:sz w:val="20"/>
                <w:szCs w:val="20"/>
              </w:rPr>
              <w:t>2,477.15</w:t>
            </w:r>
          </w:p>
        </w:tc>
      </w:tr>
      <w:tr w:rsidR="007E080B" w:rsidRPr="00B74F77" w:rsidTr="00A27AD3">
        <w:trPr>
          <w:trHeight w:val="297"/>
        </w:trPr>
        <w:tc>
          <w:tcPr>
            <w:tcW w:w="1690" w:type="dxa"/>
            <w:tcBorders>
              <w:top w:val="nil"/>
              <w:left w:val="nil"/>
              <w:bottom w:val="nil"/>
              <w:right w:val="single" w:sz="4" w:space="0" w:color="auto"/>
            </w:tcBorders>
            <w:shd w:val="clear" w:color="auto" w:fill="C6D9F1"/>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1994</w:t>
            </w:r>
          </w:p>
        </w:tc>
        <w:tc>
          <w:tcPr>
            <w:tcW w:w="1563"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w:t>
            </w:r>
          </w:p>
        </w:tc>
        <w:tc>
          <w:tcPr>
            <w:tcW w:w="1108"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rPr>
                <w:rFonts w:ascii="Arial" w:hAnsi="Arial" w:cs="Arial"/>
                <w:color w:val="000000"/>
                <w:sz w:val="20"/>
                <w:szCs w:val="20"/>
              </w:rPr>
            </w:pPr>
            <w:r w:rsidRPr="00B74F77">
              <w:rPr>
                <w:rFonts w:ascii="Arial" w:hAnsi="Arial" w:cs="Arial"/>
                <w:color w:val="000000"/>
                <w:sz w:val="20"/>
                <w:szCs w:val="20"/>
              </w:rPr>
              <w:t> </w:t>
            </w:r>
          </w:p>
        </w:tc>
        <w:tc>
          <w:tcPr>
            <w:tcW w:w="1654"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rPr>
                <w:rFonts w:ascii="Arial" w:hAnsi="Arial" w:cs="Arial"/>
                <w:color w:val="000000"/>
                <w:sz w:val="20"/>
                <w:szCs w:val="20"/>
              </w:rPr>
            </w:pPr>
            <w:r w:rsidRPr="00B74F77">
              <w:rPr>
                <w:rFonts w:ascii="Arial" w:hAnsi="Arial" w:cs="Arial"/>
                <w:color w:val="000000"/>
                <w:sz w:val="20"/>
                <w:szCs w:val="20"/>
              </w:rPr>
              <w:t> </w:t>
            </w:r>
          </w:p>
        </w:tc>
        <w:tc>
          <w:tcPr>
            <w:tcW w:w="1796"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rPr>
                <w:rFonts w:ascii="Arial" w:hAnsi="Arial" w:cs="Arial"/>
                <w:color w:val="000000"/>
                <w:sz w:val="20"/>
                <w:szCs w:val="20"/>
              </w:rPr>
            </w:pPr>
            <w:r w:rsidRPr="00B74F77">
              <w:rPr>
                <w:rFonts w:ascii="Arial" w:hAnsi="Arial" w:cs="Arial"/>
                <w:color w:val="000000"/>
                <w:sz w:val="20"/>
                <w:szCs w:val="20"/>
              </w:rPr>
              <w:t> </w:t>
            </w:r>
          </w:p>
        </w:tc>
        <w:tc>
          <w:tcPr>
            <w:tcW w:w="1304" w:type="dxa"/>
            <w:tcBorders>
              <w:top w:val="nil"/>
              <w:left w:val="nil"/>
              <w:bottom w:val="nil"/>
              <w:right w:val="nil"/>
            </w:tcBorders>
            <w:shd w:val="clear" w:color="auto" w:fill="C6D9F1"/>
            <w:vAlign w:val="bottom"/>
            <w:hideMark/>
          </w:tcPr>
          <w:p w:rsidR="007E080B" w:rsidRPr="00B74F77" w:rsidRDefault="007E080B" w:rsidP="00A27AD3">
            <w:pPr>
              <w:spacing w:after="0" w:line="240" w:lineRule="auto"/>
              <w:jc w:val="right"/>
              <w:rPr>
                <w:rFonts w:ascii="Arial" w:hAnsi="Arial" w:cs="Arial"/>
                <w:color w:val="000000"/>
                <w:sz w:val="20"/>
                <w:szCs w:val="20"/>
              </w:rPr>
            </w:pPr>
            <w:r w:rsidRPr="00B74F77">
              <w:rPr>
                <w:rFonts w:ascii="Arial" w:hAnsi="Arial" w:cs="Arial"/>
                <w:color w:val="000000"/>
                <w:sz w:val="20"/>
                <w:szCs w:val="20"/>
              </w:rPr>
              <w:t>916.46</w:t>
            </w:r>
          </w:p>
        </w:tc>
      </w:tr>
      <w:tr w:rsidR="007E080B" w:rsidRPr="00B74F77" w:rsidTr="00A27AD3">
        <w:trPr>
          <w:trHeight w:val="297"/>
        </w:trPr>
        <w:tc>
          <w:tcPr>
            <w:tcW w:w="1690" w:type="dxa"/>
            <w:tcBorders>
              <w:top w:val="nil"/>
              <w:left w:val="nil"/>
              <w:bottom w:val="nil"/>
              <w:right w:val="single" w:sz="4" w:space="0" w:color="auto"/>
            </w:tcBorders>
            <w:shd w:val="clear" w:color="auto" w:fill="C6D9F1"/>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1995</w:t>
            </w:r>
          </w:p>
        </w:tc>
        <w:tc>
          <w:tcPr>
            <w:tcW w:w="1563"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w:t>
            </w:r>
          </w:p>
        </w:tc>
        <w:tc>
          <w:tcPr>
            <w:tcW w:w="1108"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rPr>
                <w:rFonts w:ascii="Arial" w:hAnsi="Arial" w:cs="Arial"/>
                <w:color w:val="000000"/>
                <w:sz w:val="20"/>
                <w:szCs w:val="20"/>
              </w:rPr>
            </w:pPr>
            <w:r w:rsidRPr="00B74F77">
              <w:rPr>
                <w:rFonts w:ascii="Arial" w:hAnsi="Arial" w:cs="Arial"/>
                <w:color w:val="000000"/>
                <w:sz w:val="20"/>
                <w:szCs w:val="20"/>
              </w:rPr>
              <w:t> </w:t>
            </w:r>
          </w:p>
        </w:tc>
        <w:tc>
          <w:tcPr>
            <w:tcW w:w="1654"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rPr>
                <w:rFonts w:ascii="Arial" w:hAnsi="Arial" w:cs="Arial"/>
                <w:color w:val="000000"/>
                <w:sz w:val="20"/>
                <w:szCs w:val="20"/>
              </w:rPr>
            </w:pPr>
            <w:r w:rsidRPr="00B74F77">
              <w:rPr>
                <w:rFonts w:ascii="Arial" w:hAnsi="Arial" w:cs="Arial"/>
                <w:color w:val="000000"/>
                <w:sz w:val="20"/>
                <w:szCs w:val="20"/>
              </w:rPr>
              <w:t> </w:t>
            </w:r>
          </w:p>
        </w:tc>
        <w:tc>
          <w:tcPr>
            <w:tcW w:w="1796"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rPr>
                <w:rFonts w:ascii="Arial" w:hAnsi="Arial" w:cs="Arial"/>
                <w:color w:val="000000"/>
                <w:sz w:val="20"/>
                <w:szCs w:val="20"/>
              </w:rPr>
            </w:pPr>
            <w:r w:rsidRPr="00B74F77">
              <w:rPr>
                <w:rFonts w:ascii="Arial" w:hAnsi="Arial" w:cs="Arial"/>
                <w:color w:val="000000"/>
                <w:sz w:val="20"/>
                <w:szCs w:val="20"/>
              </w:rPr>
              <w:t> </w:t>
            </w:r>
          </w:p>
        </w:tc>
        <w:tc>
          <w:tcPr>
            <w:tcW w:w="1304" w:type="dxa"/>
            <w:tcBorders>
              <w:top w:val="nil"/>
              <w:left w:val="nil"/>
              <w:bottom w:val="nil"/>
              <w:right w:val="nil"/>
            </w:tcBorders>
            <w:shd w:val="clear" w:color="auto" w:fill="C6D9F1"/>
            <w:vAlign w:val="bottom"/>
            <w:hideMark/>
          </w:tcPr>
          <w:p w:rsidR="007E080B" w:rsidRPr="00B74F77" w:rsidRDefault="007E080B" w:rsidP="00A27AD3">
            <w:pPr>
              <w:spacing w:after="0" w:line="240" w:lineRule="auto"/>
              <w:jc w:val="right"/>
              <w:rPr>
                <w:rFonts w:ascii="Arial" w:hAnsi="Arial" w:cs="Arial"/>
                <w:color w:val="000000"/>
                <w:sz w:val="20"/>
                <w:szCs w:val="20"/>
              </w:rPr>
            </w:pPr>
            <w:r w:rsidRPr="00B74F77">
              <w:rPr>
                <w:rFonts w:ascii="Arial" w:hAnsi="Arial" w:cs="Arial"/>
                <w:color w:val="000000"/>
                <w:sz w:val="20"/>
                <w:szCs w:val="20"/>
              </w:rPr>
              <w:t>22.41</w:t>
            </w:r>
          </w:p>
        </w:tc>
      </w:tr>
      <w:tr w:rsidR="007E080B" w:rsidRPr="00B74F77" w:rsidTr="00A27AD3">
        <w:trPr>
          <w:trHeight w:val="297"/>
        </w:trPr>
        <w:tc>
          <w:tcPr>
            <w:tcW w:w="1690" w:type="dxa"/>
            <w:tcBorders>
              <w:top w:val="nil"/>
              <w:left w:val="nil"/>
              <w:bottom w:val="nil"/>
              <w:right w:val="single" w:sz="4" w:space="0" w:color="auto"/>
            </w:tcBorders>
            <w:shd w:val="clear" w:color="auto" w:fill="C6D9F1"/>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1996</w:t>
            </w:r>
          </w:p>
        </w:tc>
        <w:tc>
          <w:tcPr>
            <w:tcW w:w="1563"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w:t>
            </w:r>
          </w:p>
        </w:tc>
        <w:tc>
          <w:tcPr>
            <w:tcW w:w="1108"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p>
        </w:tc>
        <w:tc>
          <w:tcPr>
            <w:tcW w:w="1654"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p>
        </w:tc>
        <w:tc>
          <w:tcPr>
            <w:tcW w:w="1796"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p>
        </w:tc>
        <w:tc>
          <w:tcPr>
            <w:tcW w:w="1304" w:type="dxa"/>
            <w:tcBorders>
              <w:top w:val="nil"/>
              <w:left w:val="nil"/>
              <w:bottom w:val="nil"/>
              <w:right w:val="nil"/>
            </w:tcBorders>
            <w:shd w:val="clear" w:color="auto" w:fill="C6D9F1"/>
            <w:vAlign w:val="bottom"/>
            <w:hideMark/>
          </w:tcPr>
          <w:p w:rsidR="007E080B" w:rsidRPr="00B74F77" w:rsidRDefault="007E080B" w:rsidP="00A27AD3">
            <w:pPr>
              <w:spacing w:after="0" w:line="240" w:lineRule="auto"/>
              <w:jc w:val="right"/>
              <w:rPr>
                <w:rFonts w:ascii="Arial" w:hAnsi="Arial" w:cs="Arial"/>
                <w:color w:val="000000"/>
                <w:sz w:val="20"/>
                <w:szCs w:val="20"/>
              </w:rPr>
            </w:pPr>
            <w:r w:rsidRPr="00B74F77">
              <w:rPr>
                <w:rFonts w:ascii="Arial" w:hAnsi="Arial" w:cs="Arial"/>
                <w:color w:val="000000"/>
                <w:sz w:val="20"/>
                <w:szCs w:val="20"/>
              </w:rPr>
              <w:t>9.56</w:t>
            </w:r>
          </w:p>
        </w:tc>
      </w:tr>
      <w:tr w:rsidR="007E080B" w:rsidRPr="00B74F77" w:rsidTr="00A27AD3">
        <w:trPr>
          <w:trHeight w:val="297"/>
        </w:trPr>
        <w:tc>
          <w:tcPr>
            <w:tcW w:w="1690" w:type="dxa"/>
            <w:tcBorders>
              <w:top w:val="nil"/>
              <w:left w:val="nil"/>
              <w:bottom w:val="nil"/>
              <w:right w:val="single" w:sz="4" w:space="0" w:color="auto"/>
            </w:tcBorders>
            <w:shd w:val="clear" w:color="auto" w:fill="C6D9F1"/>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1997</w:t>
            </w:r>
          </w:p>
        </w:tc>
        <w:tc>
          <w:tcPr>
            <w:tcW w:w="1563"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w:t>
            </w:r>
          </w:p>
        </w:tc>
        <w:tc>
          <w:tcPr>
            <w:tcW w:w="1108"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p>
        </w:tc>
        <w:tc>
          <w:tcPr>
            <w:tcW w:w="1654"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p>
        </w:tc>
        <w:tc>
          <w:tcPr>
            <w:tcW w:w="1796"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p>
        </w:tc>
        <w:tc>
          <w:tcPr>
            <w:tcW w:w="1304" w:type="dxa"/>
            <w:tcBorders>
              <w:top w:val="nil"/>
              <w:left w:val="nil"/>
              <w:bottom w:val="nil"/>
              <w:right w:val="nil"/>
            </w:tcBorders>
            <w:shd w:val="clear" w:color="auto" w:fill="C6D9F1"/>
            <w:vAlign w:val="bottom"/>
            <w:hideMark/>
          </w:tcPr>
          <w:p w:rsidR="007E080B" w:rsidRPr="00B74F77" w:rsidRDefault="007E080B" w:rsidP="00A27AD3">
            <w:pPr>
              <w:spacing w:after="0" w:line="240" w:lineRule="auto"/>
              <w:jc w:val="right"/>
              <w:rPr>
                <w:rFonts w:ascii="Arial" w:hAnsi="Arial" w:cs="Arial"/>
                <w:color w:val="000000"/>
                <w:sz w:val="20"/>
                <w:szCs w:val="20"/>
              </w:rPr>
            </w:pPr>
            <w:r w:rsidRPr="00B74F77">
              <w:rPr>
                <w:rFonts w:ascii="Arial" w:hAnsi="Arial" w:cs="Arial"/>
                <w:color w:val="000000"/>
                <w:sz w:val="20"/>
                <w:szCs w:val="20"/>
              </w:rPr>
              <w:t>5.22</w:t>
            </w:r>
          </w:p>
        </w:tc>
      </w:tr>
      <w:tr w:rsidR="007E080B" w:rsidRPr="00B74F77" w:rsidTr="00A27AD3">
        <w:trPr>
          <w:trHeight w:val="297"/>
        </w:trPr>
        <w:tc>
          <w:tcPr>
            <w:tcW w:w="1690" w:type="dxa"/>
            <w:tcBorders>
              <w:top w:val="nil"/>
              <w:left w:val="nil"/>
              <w:bottom w:val="nil"/>
              <w:right w:val="single" w:sz="4" w:space="0" w:color="auto"/>
            </w:tcBorders>
            <w:shd w:val="clear" w:color="auto" w:fill="C6D9F1"/>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1998</w:t>
            </w:r>
          </w:p>
        </w:tc>
        <w:tc>
          <w:tcPr>
            <w:tcW w:w="1563"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w:t>
            </w:r>
          </w:p>
        </w:tc>
        <w:tc>
          <w:tcPr>
            <w:tcW w:w="1108"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p>
        </w:tc>
        <w:tc>
          <w:tcPr>
            <w:tcW w:w="1654"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p>
        </w:tc>
        <w:tc>
          <w:tcPr>
            <w:tcW w:w="1796"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p>
        </w:tc>
        <w:tc>
          <w:tcPr>
            <w:tcW w:w="1304" w:type="dxa"/>
            <w:tcBorders>
              <w:top w:val="nil"/>
              <w:left w:val="nil"/>
              <w:bottom w:val="nil"/>
              <w:right w:val="nil"/>
            </w:tcBorders>
            <w:shd w:val="clear" w:color="auto" w:fill="C6D9F1"/>
            <w:vAlign w:val="bottom"/>
            <w:hideMark/>
          </w:tcPr>
          <w:p w:rsidR="007E080B" w:rsidRPr="00B74F77" w:rsidRDefault="007E080B" w:rsidP="00A27AD3">
            <w:pPr>
              <w:spacing w:after="0" w:line="240" w:lineRule="auto"/>
              <w:jc w:val="right"/>
              <w:rPr>
                <w:rFonts w:ascii="Arial" w:hAnsi="Arial" w:cs="Arial"/>
                <w:color w:val="000000"/>
                <w:sz w:val="20"/>
                <w:szCs w:val="20"/>
              </w:rPr>
            </w:pPr>
            <w:r w:rsidRPr="00B74F77">
              <w:rPr>
                <w:rFonts w:ascii="Arial" w:hAnsi="Arial" w:cs="Arial"/>
                <w:color w:val="000000"/>
                <w:sz w:val="20"/>
                <w:szCs w:val="20"/>
              </w:rPr>
              <w:t>1.65</w:t>
            </w:r>
          </w:p>
        </w:tc>
      </w:tr>
      <w:tr w:rsidR="007E080B" w:rsidRPr="00B74F77" w:rsidTr="00A27AD3">
        <w:trPr>
          <w:trHeight w:val="297"/>
        </w:trPr>
        <w:tc>
          <w:tcPr>
            <w:tcW w:w="1690" w:type="dxa"/>
            <w:tcBorders>
              <w:top w:val="nil"/>
              <w:left w:val="nil"/>
              <w:bottom w:val="nil"/>
              <w:right w:val="single" w:sz="4" w:space="0" w:color="auto"/>
            </w:tcBorders>
            <w:shd w:val="clear" w:color="auto" w:fill="C6D9F1"/>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1999</w:t>
            </w:r>
          </w:p>
        </w:tc>
        <w:tc>
          <w:tcPr>
            <w:tcW w:w="1563"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8</w:t>
            </w:r>
          </w:p>
        </w:tc>
        <w:tc>
          <w:tcPr>
            <w:tcW w:w="1108"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w:t>
            </w:r>
          </w:p>
        </w:tc>
        <w:tc>
          <w:tcPr>
            <w:tcW w:w="1654"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6</w:t>
            </w:r>
          </w:p>
        </w:tc>
        <w:tc>
          <w:tcPr>
            <w:tcW w:w="1796"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10</w:t>
            </w:r>
          </w:p>
        </w:tc>
        <w:tc>
          <w:tcPr>
            <w:tcW w:w="1304" w:type="dxa"/>
            <w:tcBorders>
              <w:top w:val="nil"/>
              <w:left w:val="nil"/>
              <w:bottom w:val="nil"/>
              <w:right w:val="nil"/>
            </w:tcBorders>
            <w:shd w:val="clear" w:color="auto" w:fill="C6D9F1"/>
            <w:vAlign w:val="bottom"/>
            <w:hideMark/>
          </w:tcPr>
          <w:p w:rsidR="007E080B" w:rsidRPr="00B74F77" w:rsidRDefault="007E080B" w:rsidP="00A27AD3">
            <w:pPr>
              <w:spacing w:after="0" w:line="240" w:lineRule="auto"/>
              <w:jc w:val="right"/>
              <w:rPr>
                <w:rFonts w:ascii="Arial" w:hAnsi="Arial" w:cs="Arial"/>
                <w:color w:val="000000"/>
                <w:sz w:val="20"/>
                <w:szCs w:val="20"/>
              </w:rPr>
            </w:pPr>
            <w:r w:rsidRPr="00B74F77">
              <w:rPr>
                <w:rFonts w:ascii="Arial" w:hAnsi="Arial" w:cs="Arial"/>
                <w:color w:val="000000"/>
                <w:sz w:val="20"/>
                <w:szCs w:val="20"/>
              </w:rPr>
              <w:t>8.94</w:t>
            </w:r>
          </w:p>
        </w:tc>
      </w:tr>
      <w:tr w:rsidR="007E080B" w:rsidRPr="00B74F77" w:rsidTr="00A27AD3">
        <w:trPr>
          <w:trHeight w:val="297"/>
        </w:trPr>
        <w:tc>
          <w:tcPr>
            <w:tcW w:w="1690" w:type="dxa"/>
            <w:tcBorders>
              <w:top w:val="nil"/>
              <w:left w:val="nil"/>
              <w:bottom w:val="nil"/>
              <w:right w:val="single" w:sz="4" w:space="0" w:color="auto"/>
            </w:tcBorders>
            <w:shd w:val="clear" w:color="auto" w:fill="C6D9F1"/>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2000</w:t>
            </w:r>
          </w:p>
        </w:tc>
        <w:tc>
          <w:tcPr>
            <w:tcW w:w="1563"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6</w:t>
            </w:r>
          </w:p>
        </w:tc>
        <w:tc>
          <w:tcPr>
            <w:tcW w:w="1108"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w:t>
            </w:r>
          </w:p>
        </w:tc>
        <w:tc>
          <w:tcPr>
            <w:tcW w:w="1654"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4</w:t>
            </w:r>
          </w:p>
        </w:tc>
        <w:tc>
          <w:tcPr>
            <w:tcW w:w="1796"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8</w:t>
            </w:r>
          </w:p>
        </w:tc>
        <w:tc>
          <w:tcPr>
            <w:tcW w:w="1304" w:type="dxa"/>
            <w:tcBorders>
              <w:top w:val="nil"/>
              <w:left w:val="nil"/>
              <w:bottom w:val="nil"/>
              <w:right w:val="nil"/>
            </w:tcBorders>
            <w:shd w:val="clear" w:color="auto" w:fill="C6D9F1"/>
            <w:vAlign w:val="bottom"/>
            <w:hideMark/>
          </w:tcPr>
          <w:p w:rsidR="007E080B" w:rsidRPr="00B74F77" w:rsidRDefault="007E080B" w:rsidP="00A27AD3">
            <w:pPr>
              <w:spacing w:after="0" w:line="240" w:lineRule="auto"/>
              <w:jc w:val="right"/>
              <w:rPr>
                <w:rFonts w:ascii="Arial" w:hAnsi="Arial" w:cs="Arial"/>
                <w:color w:val="000000"/>
                <w:sz w:val="20"/>
                <w:szCs w:val="20"/>
              </w:rPr>
            </w:pPr>
            <w:r w:rsidRPr="00B74F77">
              <w:rPr>
                <w:rFonts w:ascii="Arial" w:hAnsi="Arial" w:cs="Arial"/>
                <w:color w:val="000000"/>
                <w:sz w:val="20"/>
                <w:szCs w:val="20"/>
              </w:rPr>
              <w:t>5.97</w:t>
            </w:r>
          </w:p>
        </w:tc>
      </w:tr>
      <w:tr w:rsidR="007E080B" w:rsidRPr="00B74F77" w:rsidTr="00A27AD3">
        <w:trPr>
          <w:trHeight w:val="297"/>
        </w:trPr>
        <w:tc>
          <w:tcPr>
            <w:tcW w:w="1690" w:type="dxa"/>
            <w:tcBorders>
              <w:top w:val="nil"/>
              <w:left w:val="nil"/>
              <w:bottom w:val="nil"/>
              <w:right w:val="single" w:sz="4" w:space="0" w:color="auto"/>
            </w:tcBorders>
            <w:shd w:val="clear" w:color="auto" w:fill="C6D9F1"/>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2001</w:t>
            </w:r>
          </w:p>
        </w:tc>
        <w:tc>
          <w:tcPr>
            <w:tcW w:w="1563"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4</w:t>
            </w:r>
          </w:p>
        </w:tc>
        <w:tc>
          <w:tcPr>
            <w:tcW w:w="1108"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w:t>
            </w:r>
          </w:p>
        </w:tc>
        <w:tc>
          <w:tcPr>
            <w:tcW w:w="1654"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w:t>
            </w:r>
          </w:p>
        </w:tc>
        <w:tc>
          <w:tcPr>
            <w:tcW w:w="1796"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6</w:t>
            </w:r>
          </w:p>
        </w:tc>
        <w:tc>
          <w:tcPr>
            <w:tcW w:w="1304" w:type="dxa"/>
            <w:tcBorders>
              <w:top w:val="nil"/>
              <w:left w:val="nil"/>
              <w:bottom w:val="nil"/>
              <w:right w:val="nil"/>
            </w:tcBorders>
            <w:shd w:val="clear" w:color="auto" w:fill="C6D9F1"/>
            <w:vAlign w:val="bottom"/>
            <w:hideMark/>
          </w:tcPr>
          <w:p w:rsidR="007E080B" w:rsidRPr="00B74F77" w:rsidRDefault="007E080B" w:rsidP="00A27AD3">
            <w:pPr>
              <w:spacing w:after="0" w:line="240" w:lineRule="auto"/>
              <w:jc w:val="right"/>
              <w:rPr>
                <w:rFonts w:ascii="Arial" w:hAnsi="Arial" w:cs="Arial"/>
                <w:color w:val="000000"/>
                <w:sz w:val="20"/>
                <w:szCs w:val="20"/>
              </w:rPr>
            </w:pPr>
            <w:r w:rsidRPr="00B74F77">
              <w:rPr>
                <w:rFonts w:ascii="Arial" w:hAnsi="Arial" w:cs="Arial"/>
                <w:color w:val="000000"/>
                <w:sz w:val="20"/>
                <w:szCs w:val="20"/>
              </w:rPr>
              <w:t>7.67</w:t>
            </w:r>
          </w:p>
        </w:tc>
      </w:tr>
      <w:tr w:rsidR="007E080B" w:rsidRPr="00B74F77" w:rsidTr="00A27AD3">
        <w:trPr>
          <w:trHeight w:val="297"/>
        </w:trPr>
        <w:tc>
          <w:tcPr>
            <w:tcW w:w="1690" w:type="dxa"/>
            <w:tcBorders>
              <w:top w:val="nil"/>
              <w:left w:val="nil"/>
              <w:bottom w:val="nil"/>
              <w:right w:val="single" w:sz="4" w:space="0" w:color="auto"/>
            </w:tcBorders>
            <w:shd w:val="clear" w:color="auto" w:fill="C6D9F1"/>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2002</w:t>
            </w:r>
          </w:p>
        </w:tc>
        <w:tc>
          <w:tcPr>
            <w:tcW w:w="1563"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3.5</w:t>
            </w:r>
          </w:p>
        </w:tc>
        <w:tc>
          <w:tcPr>
            <w:tcW w:w="1108"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w:t>
            </w:r>
          </w:p>
        </w:tc>
        <w:tc>
          <w:tcPr>
            <w:tcW w:w="1654"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1.5</w:t>
            </w:r>
          </w:p>
        </w:tc>
        <w:tc>
          <w:tcPr>
            <w:tcW w:w="1796" w:type="dxa"/>
            <w:tcBorders>
              <w:top w:val="nil"/>
              <w:left w:val="nil"/>
              <w:bottom w:val="nil"/>
              <w:right w:val="single" w:sz="4" w:space="0" w:color="auto"/>
            </w:tcBorders>
            <w:shd w:val="clear" w:color="auto" w:fill="C6D9F1"/>
            <w:noWrap/>
            <w:vAlign w:val="bottom"/>
            <w:hideMark/>
          </w:tcPr>
          <w:p w:rsidR="007E080B" w:rsidRPr="00364EA7" w:rsidRDefault="007E080B" w:rsidP="00A27AD3">
            <w:pPr>
              <w:spacing w:after="0" w:line="240" w:lineRule="auto"/>
              <w:jc w:val="center"/>
              <w:rPr>
                <w:rFonts w:ascii="Arial" w:hAnsi="Arial" w:cs="Arial"/>
                <w:bCs/>
                <w:color w:val="000000"/>
                <w:sz w:val="20"/>
                <w:szCs w:val="20"/>
              </w:rPr>
            </w:pPr>
            <w:r w:rsidRPr="00364EA7">
              <w:rPr>
                <w:rFonts w:ascii="Arial" w:hAnsi="Arial" w:cs="Arial"/>
                <w:bCs/>
                <w:color w:val="000000"/>
                <w:sz w:val="20"/>
                <w:szCs w:val="20"/>
              </w:rPr>
              <w:t>5.5</w:t>
            </w:r>
          </w:p>
        </w:tc>
        <w:tc>
          <w:tcPr>
            <w:tcW w:w="1304" w:type="dxa"/>
            <w:tcBorders>
              <w:top w:val="nil"/>
              <w:left w:val="nil"/>
              <w:bottom w:val="nil"/>
              <w:right w:val="nil"/>
            </w:tcBorders>
            <w:shd w:val="clear" w:color="auto" w:fill="C6D9F1"/>
            <w:vAlign w:val="bottom"/>
            <w:hideMark/>
          </w:tcPr>
          <w:p w:rsidR="007E080B" w:rsidRPr="00B74F77" w:rsidRDefault="007E080B" w:rsidP="00A27AD3">
            <w:pPr>
              <w:spacing w:after="0" w:line="240" w:lineRule="auto"/>
              <w:jc w:val="right"/>
              <w:rPr>
                <w:rFonts w:ascii="Arial" w:hAnsi="Arial" w:cs="Arial"/>
                <w:color w:val="000000"/>
                <w:sz w:val="20"/>
                <w:szCs w:val="20"/>
              </w:rPr>
            </w:pPr>
            <w:r w:rsidRPr="00B74F77">
              <w:rPr>
                <w:rFonts w:ascii="Arial" w:hAnsi="Arial" w:cs="Arial"/>
                <w:color w:val="000000"/>
                <w:sz w:val="20"/>
                <w:szCs w:val="20"/>
              </w:rPr>
              <w:t>12.53</w:t>
            </w:r>
          </w:p>
        </w:tc>
      </w:tr>
      <w:tr w:rsidR="007E080B" w:rsidRPr="00B74F77" w:rsidTr="00A27AD3">
        <w:trPr>
          <w:trHeight w:val="297"/>
        </w:trPr>
        <w:tc>
          <w:tcPr>
            <w:tcW w:w="1690" w:type="dxa"/>
            <w:tcBorders>
              <w:top w:val="nil"/>
              <w:left w:val="nil"/>
              <w:bottom w:val="nil"/>
              <w:right w:val="single" w:sz="4" w:space="0" w:color="auto"/>
            </w:tcBorders>
            <w:shd w:val="clear" w:color="auto" w:fill="C6D9F1"/>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2003</w:t>
            </w:r>
          </w:p>
        </w:tc>
        <w:tc>
          <w:tcPr>
            <w:tcW w:w="1563"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4</w:t>
            </w:r>
          </w:p>
        </w:tc>
        <w:tc>
          <w:tcPr>
            <w:tcW w:w="1108"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w:t>
            </w:r>
          </w:p>
        </w:tc>
        <w:tc>
          <w:tcPr>
            <w:tcW w:w="1654"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1.5</w:t>
            </w:r>
          </w:p>
        </w:tc>
        <w:tc>
          <w:tcPr>
            <w:tcW w:w="1796"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6.5</w:t>
            </w:r>
          </w:p>
        </w:tc>
        <w:tc>
          <w:tcPr>
            <w:tcW w:w="1304" w:type="dxa"/>
            <w:tcBorders>
              <w:top w:val="nil"/>
              <w:left w:val="nil"/>
              <w:bottom w:val="nil"/>
              <w:right w:val="nil"/>
            </w:tcBorders>
            <w:shd w:val="clear" w:color="auto" w:fill="C6D9F1"/>
            <w:vAlign w:val="bottom"/>
            <w:hideMark/>
          </w:tcPr>
          <w:p w:rsidR="007E080B" w:rsidRPr="00B74F77" w:rsidRDefault="007E080B" w:rsidP="00A27AD3">
            <w:pPr>
              <w:spacing w:after="0" w:line="240" w:lineRule="auto"/>
              <w:jc w:val="right"/>
              <w:rPr>
                <w:rFonts w:ascii="Arial" w:hAnsi="Arial" w:cs="Arial"/>
                <w:color w:val="000000"/>
                <w:sz w:val="20"/>
                <w:szCs w:val="20"/>
              </w:rPr>
            </w:pPr>
            <w:r w:rsidRPr="00B74F77">
              <w:rPr>
                <w:rFonts w:ascii="Arial" w:hAnsi="Arial" w:cs="Arial"/>
                <w:color w:val="000000"/>
                <w:sz w:val="20"/>
                <w:szCs w:val="20"/>
              </w:rPr>
              <w:t>9.3</w:t>
            </w:r>
          </w:p>
        </w:tc>
      </w:tr>
      <w:tr w:rsidR="007E080B" w:rsidRPr="00B74F77" w:rsidTr="00A27AD3">
        <w:trPr>
          <w:trHeight w:val="297"/>
        </w:trPr>
        <w:tc>
          <w:tcPr>
            <w:tcW w:w="1690" w:type="dxa"/>
            <w:tcBorders>
              <w:top w:val="nil"/>
              <w:left w:val="nil"/>
              <w:bottom w:val="nil"/>
              <w:right w:val="single" w:sz="4" w:space="0" w:color="auto"/>
            </w:tcBorders>
            <w:shd w:val="clear" w:color="auto" w:fill="C6D9F1"/>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2004</w:t>
            </w:r>
          </w:p>
        </w:tc>
        <w:tc>
          <w:tcPr>
            <w:tcW w:w="1563"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5.5</w:t>
            </w:r>
          </w:p>
        </w:tc>
        <w:tc>
          <w:tcPr>
            <w:tcW w:w="1108"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2.5</w:t>
            </w:r>
          </w:p>
        </w:tc>
        <w:tc>
          <w:tcPr>
            <w:tcW w:w="1654"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3</w:t>
            </w:r>
          </w:p>
        </w:tc>
        <w:tc>
          <w:tcPr>
            <w:tcW w:w="1796"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8</w:t>
            </w:r>
          </w:p>
        </w:tc>
        <w:tc>
          <w:tcPr>
            <w:tcW w:w="1304" w:type="dxa"/>
            <w:tcBorders>
              <w:top w:val="nil"/>
              <w:left w:val="nil"/>
              <w:bottom w:val="nil"/>
              <w:right w:val="nil"/>
            </w:tcBorders>
            <w:shd w:val="clear" w:color="auto" w:fill="C6D9F1"/>
            <w:vAlign w:val="bottom"/>
            <w:hideMark/>
          </w:tcPr>
          <w:p w:rsidR="007E080B" w:rsidRPr="00B74F77" w:rsidRDefault="007E080B" w:rsidP="00A27AD3">
            <w:pPr>
              <w:spacing w:after="0" w:line="240" w:lineRule="auto"/>
              <w:jc w:val="right"/>
              <w:rPr>
                <w:rFonts w:ascii="Arial" w:hAnsi="Arial" w:cs="Arial"/>
                <w:color w:val="000000"/>
                <w:sz w:val="20"/>
                <w:szCs w:val="20"/>
              </w:rPr>
            </w:pPr>
            <w:r w:rsidRPr="00B74F77">
              <w:rPr>
                <w:rFonts w:ascii="Arial" w:hAnsi="Arial" w:cs="Arial"/>
                <w:color w:val="000000"/>
                <w:sz w:val="20"/>
                <w:szCs w:val="20"/>
              </w:rPr>
              <w:t>7.6</w:t>
            </w:r>
          </w:p>
        </w:tc>
      </w:tr>
      <w:tr w:rsidR="007E080B" w:rsidRPr="00B74F77" w:rsidTr="00A27AD3">
        <w:trPr>
          <w:trHeight w:val="297"/>
        </w:trPr>
        <w:tc>
          <w:tcPr>
            <w:tcW w:w="1690" w:type="dxa"/>
            <w:tcBorders>
              <w:top w:val="nil"/>
              <w:left w:val="nil"/>
              <w:bottom w:val="nil"/>
              <w:right w:val="single" w:sz="4" w:space="0" w:color="auto"/>
            </w:tcBorders>
            <w:shd w:val="clear" w:color="auto" w:fill="C6D9F1"/>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2005</w:t>
            </w:r>
          </w:p>
        </w:tc>
        <w:tc>
          <w:tcPr>
            <w:tcW w:w="1563"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4.5</w:t>
            </w:r>
          </w:p>
        </w:tc>
        <w:tc>
          <w:tcPr>
            <w:tcW w:w="1108"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2.5</w:t>
            </w:r>
          </w:p>
        </w:tc>
        <w:tc>
          <w:tcPr>
            <w:tcW w:w="1654"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w:t>
            </w:r>
          </w:p>
        </w:tc>
        <w:tc>
          <w:tcPr>
            <w:tcW w:w="1796"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7</w:t>
            </w:r>
          </w:p>
        </w:tc>
        <w:tc>
          <w:tcPr>
            <w:tcW w:w="1304" w:type="dxa"/>
            <w:tcBorders>
              <w:top w:val="nil"/>
              <w:left w:val="nil"/>
              <w:bottom w:val="nil"/>
              <w:right w:val="nil"/>
            </w:tcBorders>
            <w:shd w:val="clear" w:color="auto" w:fill="C6D9F1"/>
            <w:vAlign w:val="bottom"/>
            <w:hideMark/>
          </w:tcPr>
          <w:p w:rsidR="007E080B" w:rsidRPr="00B74F77" w:rsidRDefault="007E080B" w:rsidP="00A27AD3">
            <w:pPr>
              <w:spacing w:after="0" w:line="240" w:lineRule="auto"/>
              <w:jc w:val="right"/>
              <w:rPr>
                <w:rFonts w:ascii="Arial" w:hAnsi="Arial" w:cs="Arial"/>
                <w:color w:val="000000"/>
                <w:sz w:val="20"/>
                <w:szCs w:val="20"/>
              </w:rPr>
            </w:pPr>
            <w:r w:rsidRPr="00B74F77">
              <w:rPr>
                <w:rFonts w:ascii="Arial" w:hAnsi="Arial" w:cs="Arial"/>
                <w:color w:val="000000"/>
                <w:sz w:val="20"/>
                <w:szCs w:val="20"/>
              </w:rPr>
              <w:t>5.69</w:t>
            </w:r>
          </w:p>
        </w:tc>
      </w:tr>
      <w:tr w:rsidR="007E080B" w:rsidRPr="00B74F77" w:rsidTr="00A27AD3">
        <w:trPr>
          <w:trHeight w:val="297"/>
        </w:trPr>
        <w:tc>
          <w:tcPr>
            <w:tcW w:w="1690" w:type="dxa"/>
            <w:tcBorders>
              <w:top w:val="nil"/>
              <w:left w:val="nil"/>
              <w:bottom w:val="nil"/>
              <w:right w:val="single" w:sz="4" w:space="0" w:color="auto"/>
            </w:tcBorders>
            <w:shd w:val="clear" w:color="auto" w:fill="C6D9F1"/>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2006</w:t>
            </w:r>
          </w:p>
        </w:tc>
        <w:tc>
          <w:tcPr>
            <w:tcW w:w="1563"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4.5</w:t>
            </w:r>
          </w:p>
        </w:tc>
        <w:tc>
          <w:tcPr>
            <w:tcW w:w="1108"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w:t>
            </w:r>
          </w:p>
        </w:tc>
        <w:tc>
          <w:tcPr>
            <w:tcW w:w="1654"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2.5</w:t>
            </w:r>
          </w:p>
        </w:tc>
        <w:tc>
          <w:tcPr>
            <w:tcW w:w="1796"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6.5</w:t>
            </w:r>
          </w:p>
        </w:tc>
        <w:tc>
          <w:tcPr>
            <w:tcW w:w="1304" w:type="dxa"/>
            <w:tcBorders>
              <w:top w:val="nil"/>
              <w:left w:val="nil"/>
              <w:bottom w:val="nil"/>
              <w:right w:val="nil"/>
            </w:tcBorders>
            <w:shd w:val="clear" w:color="auto" w:fill="C6D9F1"/>
            <w:vAlign w:val="bottom"/>
            <w:hideMark/>
          </w:tcPr>
          <w:p w:rsidR="007E080B" w:rsidRPr="00B74F77" w:rsidRDefault="007E080B" w:rsidP="00A27AD3">
            <w:pPr>
              <w:spacing w:after="0" w:line="240" w:lineRule="auto"/>
              <w:jc w:val="right"/>
              <w:rPr>
                <w:rFonts w:ascii="Arial" w:hAnsi="Arial" w:cs="Arial"/>
                <w:color w:val="000000"/>
                <w:sz w:val="20"/>
                <w:szCs w:val="20"/>
              </w:rPr>
            </w:pPr>
            <w:r w:rsidRPr="00B74F77">
              <w:rPr>
                <w:rFonts w:ascii="Arial" w:hAnsi="Arial" w:cs="Arial"/>
                <w:color w:val="000000"/>
                <w:sz w:val="20"/>
                <w:szCs w:val="20"/>
              </w:rPr>
              <w:t>3.14</w:t>
            </w:r>
          </w:p>
        </w:tc>
      </w:tr>
      <w:tr w:rsidR="007E080B" w:rsidRPr="00B74F77" w:rsidTr="00A27AD3">
        <w:trPr>
          <w:trHeight w:val="297"/>
        </w:trPr>
        <w:tc>
          <w:tcPr>
            <w:tcW w:w="1690" w:type="dxa"/>
            <w:tcBorders>
              <w:top w:val="nil"/>
              <w:left w:val="nil"/>
              <w:bottom w:val="nil"/>
              <w:right w:val="single" w:sz="4" w:space="0" w:color="auto"/>
            </w:tcBorders>
            <w:shd w:val="clear" w:color="auto" w:fill="C6D9F1"/>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2007</w:t>
            </w:r>
          </w:p>
        </w:tc>
        <w:tc>
          <w:tcPr>
            <w:tcW w:w="1563"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4.5</w:t>
            </w:r>
          </w:p>
        </w:tc>
        <w:tc>
          <w:tcPr>
            <w:tcW w:w="1108"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w:t>
            </w:r>
          </w:p>
        </w:tc>
        <w:tc>
          <w:tcPr>
            <w:tcW w:w="1654"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2.5</w:t>
            </w:r>
          </w:p>
        </w:tc>
        <w:tc>
          <w:tcPr>
            <w:tcW w:w="1796"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6.5</w:t>
            </w:r>
          </w:p>
        </w:tc>
        <w:tc>
          <w:tcPr>
            <w:tcW w:w="1304" w:type="dxa"/>
            <w:tcBorders>
              <w:top w:val="nil"/>
              <w:left w:val="nil"/>
              <w:bottom w:val="nil"/>
              <w:right w:val="nil"/>
            </w:tcBorders>
            <w:shd w:val="clear" w:color="auto" w:fill="C6D9F1"/>
            <w:vAlign w:val="bottom"/>
            <w:hideMark/>
          </w:tcPr>
          <w:p w:rsidR="007E080B" w:rsidRPr="00B74F77" w:rsidRDefault="007E080B" w:rsidP="00A27AD3">
            <w:pPr>
              <w:spacing w:after="0" w:line="240" w:lineRule="auto"/>
              <w:jc w:val="right"/>
              <w:rPr>
                <w:rFonts w:ascii="Arial" w:hAnsi="Arial" w:cs="Arial"/>
                <w:color w:val="000000"/>
                <w:sz w:val="20"/>
                <w:szCs w:val="20"/>
              </w:rPr>
            </w:pPr>
            <w:r w:rsidRPr="00B74F77">
              <w:rPr>
                <w:rFonts w:ascii="Arial" w:hAnsi="Arial" w:cs="Arial"/>
                <w:color w:val="000000"/>
                <w:sz w:val="20"/>
                <w:szCs w:val="20"/>
              </w:rPr>
              <w:t>4.46</w:t>
            </w:r>
          </w:p>
        </w:tc>
      </w:tr>
      <w:tr w:rsidR="007E080B" w:rsidRPr="00B74F77" w:rsidTr="00A27AD3">
        <w:trPr>
          <w:trHeight w:val="297"/>
        </w:trPr>
        <w:tc>
          <w:tcPr>
            <w:tcW w:w="1690" w:type="dxa"/>
            <w:tcBorders>
              <w:top w:val="nil"/>
              <w:left w:val="nil"/>
              <w:bottom w:val="nil"/>
              <w:right w:val="single" w:sz="4" w:space="0" w:color="auto"/>
            </w:tcBorders>
            <w:shd w:val="clear" w:color="auto" w:fill="C6D9F1"/>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2008</w:t>
            </w:r>
          </w:p>
        </w:tc>
        <w:tc>
          <w:tcPr>
            <w:tcW w:w="1563"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4.5</w:t>
            </w:r>
          </w:p>
        </w:tc>
        <w:tc>
          <w:tcPr>
            <w:tcW w:w="1108"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w:t>
            </w:r>
          </w:p>
        </w:tc>
        <w:tc>
          <w:tcPr>
            <w:tcW w:w="1654"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2.5</w:t>
            </w:r>
          </w:p>
        </w:tc>
        <w:tc>
          <w:tcPr>
            <w:tcW w:w="1796"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6.5</w:t>
            </w:r>
          </w:p>
        </w:tc>
        <w:tc>
          <w:tcPr>
            <w:tcW w:w="1304" w:type="dxa"/>
            <w:tcBorders>
              <w:top w:val="nil"/>
              <w:left w:val="nil"/>
              <w:bottom w:val="nil"/>
              <w:right w:val="nil"/>
            </w:tcBorders>
            <w:shd w:val="clear" w:color="auto" w:fill="C6D9F1"/>
            <w:vAlign w:val="bottom"/>
            <w:hideMark/>
          </w:tcPr>
          <w:p w:rsidR="007E080B" w:rsidRPr="00B74F77" w:rsidRDefault="007E080B" w:rsidP="00A27AD3">
            <w:pPr>
              <w:spacing w:after="0" w:line="240" w:lineRule="auto"/>
              <w:jc w:val="right"/>
              <w:rPr>
                <w:rFonts w:ascii="Arial" w:hAnsi="Arial" w:cs="Arial"/>
                <w:color w:val="000000"/>
                <w:sz w:val="20"/>
                <w:szCs w:val="20"/>
              </w:rPr>
            </w:pPr>
            <w:r w:rsidRPr="00B74F77">
              <w:rPr>
                <w:rFonts w:ascii="Arial" w:hAnsi="Arial" w:cs="Arial"/>
                <w:color w:val="000000"/>
                <w:sz w:val="20"/>
                <w:szCs w:val="20"/>
              </w:rPr>
              <w:t>5.9</w:t>
            </w:r>
          </w:p>
        </w:tc>
      </w:tr>
      <w:tr w:rsidR="007E080B" w:rsidRPr="00B74F77" w:rsidTr="00A27AD3">
        <w:trPr>
          <w:trHeight w:val="297"/>
        </w:trPr>
        <w:tc>
          <w:tcPr>
            <w:tcW w:w="1690" w:type="dxa"/>
            <w:tcBorders>
              <w:top w:val="nil"/>
              <w:left w:val="nil"/>
              <w:bottom w:val="nil"/>
              <w:right w:val="single" w:sz="4" w:space="0" w:color="auto"/>
            </w:tcBorders>
            <w:shd w:val="clear" w:color="auto" w:fill="C6D9F1"/>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2009</w:t>
            </w:r>
          </w:p>
        </w:tc>
        <w:tc>
          <w:tcPr>
            <w:tcW w:w="1563"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4.5</w:t>
            </w:r>
          </w:p>
        </w:tc>
        <w:tc>
          <w:tcPr>
            <w:tcW w:w="1108"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w:t>
            </w:r>
          </w:p>
        </w:tc>
        <w:tc>
          <w:tcPr>
            <w:tcW w:w="1654"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2.5</w:t>
            </w:r>
          </w:p>
        </w:tc>
        <w:tc>
          <w:tcPr>
            <w:tcW w:w="1796"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6.5</w:t>
            </w:r>
          </w:p>
        </w:tc>
        <w:tc>
          <w:tcPr>
            <w:tcW w:w="1304" w:type="dxa"/>
            <w:tcBorders>
              <w:top w:val="nil"/>
              <w:left w:val="nil"/>
              <w:bottom w:val="nil"/>
              <w:right w:val="nil"/>
            </w:tcBorders>
            <w:shd w:val="clear" w:color="auto" w:fill="C6D9F1"/>
            <w:vAlign w:val="bottom"/>
            <w:hideMark/>
          </w:tcPr>
          <w:p w:rsidR="007E080B" w:rsidRPr="00B74F77" w:rsidRDefault="007E080B" w:rsidP="00A27AD3">
            <w:pPr>
              <w:spacing w:after="0" w:line="240" w:lineRule="auto"/>
              <w:jc w:val="right"/>
              <w:rPr>
                <w:rFonts w:ascii="Arial" w:hAnsi="Arial" w:cs="Arial"/>
                <w:color w:val="000000"/>
                <w:sz w:val="20"/>
                <w:szCs w:val="20"/>
              </w:rPr>
            </w:pPr>
            <w:r w:rsidRPr="00B74F77">
              <w:rPr>
                <w:rFonts w:ascii="Arial" w:hAnsi="Arial" w:cs="Arial"/>
                <w:color w:val="000000"/>
                <w:sz w:val="20"/>
                <w:szCs w:val="20"/>
              </w:rPr>
              <w:t>4.31</w:t>
            </w:r>
          </w:p>
        </w:tc>
      </w:tr>
      <w:tr w:rsidR="007E080B" w:rsidRPr="00B74F77" w:rsidTr="00A27AD3">
        <w:trPr>
          <w:trHeight w:val="297"/>
        </w:trPr>
        <w:tc>
          <w:tcPr>
            <w:tcW w:w="1690" w:type="dxa"/>
            <w:tcBorders>
              <w:top w:val="nil"/>
              <w:left w:val="nil"/>
              <w:bottom w:val="nil"/>
              <w:right w:val="single" w:sz="4" w:space="0" w:color="auto"/>
            </w:tcBorders>
            <w:shd w:val="clear" w:color="auto" w:fill="C6D9F1"/>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2010</w:t>
            </w:r>
          </w:p>
        </w:tc>
        <w:tc>
          <w:tcPr>
            <w:tcW w:w="1563"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4.5</w:t>
            </w:r>
          </w:p>
        </w:tc>
        <w:tc>
          <w:tcPr>
            <w:tcW w:w="1108"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w:t>
            </w:r>
          </w:p>
        </w:tc>
        <w:tc>
          <w:tcPr>
            <w:tcW w:w="1654"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2.5</w:t>
            </w:r>
          </w:p>
        </w:tc>
        <w:tc>
          <w:tcPr>
            <w:tcW w:w="1796"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6.5</w:t>
            </w:r>
          </w:p>
        </w:tc>
        <w:tc>
          <w:tcPr>
            <w:tcW w:w="1304" w:type="dxa"/>
            <w:tcBorders>
              <w:top w:val="nil"/>
              <w:left w:val="nil"/>
              <w:bottom w:val="nil"/>
              <w:right w:val="nil"/>
            </w:tcBorders>
            <w:shd w:val="clear" w:color="auto" w:fill="C6D9F1"/>
            <w:vAlign w:val="bottom"/>
            <w:hideMark/>
          </w:tcPr>
          <w:p w:rsidR="007E080B" w:rsidRPr="00B74F77" w:rsidRDefault="007E080B" w:rsidP="00A27AD3">
            <w:pPr>
              <w:spacing w:after="0" w:line="240" w:lineRule="auto"/>
              <w:jc w:val="right"/>
              <w:rPr>
                <w:rFonts w:ascii="Arial" w:hAnsi="Arial" w:cs="Arial"/>
                <w:color w:val="000000"/>
                <w:sz w:val="20"/>
                <w:szCs w:val="20"/>
              </w:rPr>
            </w:pPr>
            <w:r w:rsidRPr="00B74F77">
              <w:rPr>
                <w:rFonts w:ascii="Arial" w:hAnsi="Arial" w:cs="Arial"/>
                <w:color w:val="000000"/>
                <w:sz w:val="20"/>
                <w:szCs w:val="20"/>
              </w:rPr>
              <w:t>5.91</w:t>
            </w:r>
          </w:p>
        </w:tc>
      </w:tr>
      <w:tr w:rsidR="007E080B" w:rsidRPr="00B74F77" w:rsidTr="00A27AD3">
        <w:trPr>
          <w:trHeight w:val="297"/>
        </w:trPr>
        <w:tc>
          <w:tcPr>
            <w:tcW w:w="1690" w:type="dxa"/>
            <w:tcBorders>
              <w:top w:val="nil"/>
              <w:left w:val="nil"/>
              <w:bottom w:val="nil"/>
              <w:right w:val="single" w:sz="4" w:space="0" w:color="auto"/>
            </w:tcBorders>
            <w:shd w:val="clear" w:color="auto" w:fill="C6D9F1"/>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2011</w:t>
            </w:r>
          </w:p>
        </w:tc>
        <w:tc>
          <w:tcPr>
            <w:tcW w:w="1563"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4.5</w:t>
            </w:r>
          </w:p>
        </w:tc>
        <w:tc>
          <w:tcPr>
            <w:tcW w:w="1108"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w:t>
            </w:r>
          </w:p>
        </w:tc>
        <w:tc>
          <w:tcPr>
            <w:tcW w:w="1654"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2.5</w:t>
            </w:r>
          </w:p>
        </w:tc>
        <w:tc>
          <w:tcPr>
            <w:tcW w:w="1796"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6.5</w:t>
            </w:r>
          </w:p>
        </w:tc>
        <w:tc>
          <w:tcPr>
            <w:tcW w:w="1304" w:type="dxa"/>
            <w:tcBorders>
              <w:top w:val="nil"/>
              <w:left w:val="nil"/>
              <w:bottom w:val="nil"/>
              <w:right w:val="nil"/>
            </w:tcBorders>
            <w:shd w:val="clear" w:color="auto" w:fill="C6D9F1"/>
            <w:vAlign w:val="bottom"/>
            <w:hideMark/>
          </w:tcPr>
          <w:p w:rsidR="007E080B" w:rsidRPr="00B74F77" w:rsidRDefault="007E080B" w:rsidP="00A27AD3">
            <w:pPr>
              <w:spacing w:after="0" w:line="240" w:lineRule="auto"/>
              <w:jc w:val="right"/>
              <w:rPr>
                <w:rFonts w:ascii="Arial" w:hAnsi="Arial" w:cs="Arial"/>
                <w:color w:val="000000"/>
                <w:sz w:val="20"/>
                <w:szCs w:val="20"/>
              </w:rPr>
            </w:pPr>
            <w:r w:rsidRPr="00B74F77">
              <w:rPr>
                <w:rFonts w:ascii="Arial" w:hAnsi="Arial" w:cs="Arial"/>
                <w:color w:val="000000"/>
                <w:sz w:val="20"/>
                <w:szCs w:val="20"/>
              </w:rPr>
              <w:t>6.5</w:t>
            </w:r>
          </w:p>
        </w:tc>
      </w:tr>
      <w:tr w:rsidR="007E080B" w:rsidRPr="00B74F77" w:rsidTr="00A27AD3">
        <w:trPr>
          <w:trHeight w:val="297"/>
        </w:trPr>
        <w:tc>
          <w:tcPr>
            <w:tcW w:w="1690" w:type="dxa"/>
            <w:tcBorders>
              <w:top w:val="nil"/>
              <w:left w:val="nil"/>
              <w:bottom w:val="nil"/>
              <w:right w:val="single" w:sz="4" w:space="0" w:color="auto"/>
            </w:tcBorders>
            <w:shd w:val="clear" w:color="auto" w:fill="C6D9F1"/>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2012</w:t>
            </w:r>
          </w:p>
        </w:tc>
        <w:tc>
          <w:tcPr>
            <w:tcW w:w="1563"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4.5</w:t>
            </w:r>
          </w:p>
        </w:tc>
        <w:tc>
          <w:tcPr>
            <w:tcW w:w="1108"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w:t>
            </w:r>
          </w:p>
        </w:tc>
        <w:tc>
          <w:tcPr>
            <w:tcW w:w="1654"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2.5</w:t>
            </w:r>
          </w:p>
        </w:tc>
        <w:tc>
          <w:tcPr>
            <w:tcW w:w="1796" w:type="dxa"/>
            <w:tcBorders>
              <w:top w:val="nil"/>
              <w:left w:val="nil"/>
              <w:bottom w:val="nil"/>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6.5</w:t>
            </w:r>
          </w:p>
        </w:tc>
        <w:tc>
          <w:tcPr>
            <w:tcW w:w="1304" w:type="dxa"/>
            <w:tcBorders>
              <w:top w:val="nil"/>
              <w:left w:val="nil"/>
              <w:bottom w:val="nil"/>
              <w:right w:val="nil"/>
            </w:tcBorders>
            <w:shd w:val="clear" w:color="auto" w:fill="C6D9F1"/>
            <w:vAlign w:val="bottom"/>
            <w:hideMark/>
          </w:tcPr>
          <w:p w:rsidR="007E080B" w:rsidRPr="00B74F77" w:rsidRDefault="007E080B" w:rsidP="00A27AD3">
            <w:pPr>
              <w:spacing w:after="0" w:line="240" w:lineRule="auto"/>
              <w:jc w:val="right"/>
              <w:rPr>
                <w:rFonts w:ascii="Arial" w:hAnsi="Arial" w:cs="Arial"/>
                <w:color w:val="000000"/>
                <w:sz w:val="20"/>
                <w:szCs w:val="20"/>
              </w:rPr>
            </w:pPr>
            <w:r w:rsidRPr="00B74F77">
              <w:rPr>
                <w:rFonts w:ascii="Arial" w:hAnsi="Arial" w:cs="Arial"/>
                <w:color w:val="000000"/>
                <w:sz w:val="20"/>
                <w:szCs w:val="20"/>
              </w:rPr>
              <w:t>5.84</w:t>
            </w:r>
          </w:p>
        </w:tc>
      </w:tr>
      <w:tr w:rsidR="007E080B" w:rsidRPr="00B74F77" w:rsidTr="00A27AD3">
        <w:trPr>
          <w:trHeight w:val="297"/>
        </w:trPr>
        <w:tc>
          <w:tcPr>
            <w:tcW w:w="1690" w:type="dxa"/>
            <w:tcBorders>
              <w:top w:val="nil"/>
              <w:left w:val="nil"/>
              <w:bottom w:val="single" w:sz="4" w:space="0" w:color="auto"/>
              <w:right w:val="single" w:sz="4" w:space="0" w:color="auto"/>
            </w:tcBorders>
            <w:shd w:val="clear" w:color="auto" w:fill="C6D9F1"/>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2013</w:t>
            </w:r>
          </w:p>
        </w:tc>
        <w:tc>
          <w:tcPr>
            <w:tcW w:w="1563" w:type="dxa"/>
            <w:tcBorders>
              <w:top w:val="nil"/>
              <w:left w:val="nil"/>
              <w:bottom w:val="single" w:sz="4" w:space="0" w:color="auto"/>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4.5</w:t>
            </w:r>
          </w:p>
        </w:tc>
        <w:tc>
          <w:tcPr>
            <w:tcW w:w="1108" w:type="dxa"/>
            <w:tcBorders>
              <w:top w:val="nil"/>
              <w:left w:val="nil"/>
              <w:bottom w:val="single" w:sz="4" w:space="0" w:color="auto"/>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w:t>
            </w:r>
          </w:p>
        </w:tc>
        <w:tc>
          <w:tcPr>
            <w:tcW w:w="1654" w:type="dxa"/>
            <w:tcBorders>
              <w:top w:val="nil"/>
              <w:left w:val="nil"/>
              <w:bottom w:val="single" w:sz="4" w:space="0" w:color="auto"/>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2.5</w:t>
            </w:r>
          </w:p>
        </w:tc>
        <w:tc>
          <w:tcPr>
            <w:tcW w:w="1796" w:type="dxa"/>
            <w:tcBorders>
              <w:top w:val="nil"/>
              <w:left w:val="nil"/>
              <w:bottom w:val="single" w:sz="4" w:space="0" w:color="auto"/>
              <w:right w:val="single" w:sz="4" w:space="0" w:color="auto"/>
            </w:tcBorders>
            <w:shd w:val="clear" w:color="auto" w:fill="C6D9F1"/>
            <w:noWrap/>
            <w:vAlign w:val="bottom"/>
            <w:hideMark/>
          </w:tcPr>
          <w:p w:rsidR="007E080B" w:rsidRPr="00B74F77" w:rsidRDefault="007E080B" w:rsidP="00A27AD3">
            <w:pPr>
              <w:spacing w:after="0" w:line="240" w:lineRule="auto"/>
              <w:jc w:val="center"/>
              <w:rPr>
                <w:rFonts w:ascii="Arial" w:hAnsi="Arial" w:cs="Arial"/>
                <w:color w:val="000000"/>
                <w:sz w:val="20"/>
                <w:szCs w:val="20"/>
              </w:rPr>
            </w:pPr>
            <w:r w:rsidRPr="00B74F77">
              <w:rPr>
                <w:rFonts w:ascii="Arial" w:hAnsi="Arial" w:cs="Arial"/>
                <w:color w:val="000000"/>
                <w:sz w:val="20"/>
                <w:szCs w:val="20"/>
              </w:rPr>
              <w:t>6.5</w:t>
            </w:r>
          </w:p>
        </w:tc>
        <w:tc>
          <w:tcPr>
            <w:tcW w:w="1304" w:type="dxa"/>
            <w:tcBorders>
              <w:top w:val="nil"/>
              <w:left w:val="nil"/>
              <w:bottom w:val="single" w:sz="4" w:space="0" w:color="auto"/>
              <w:right w:val="nil"/>
            </w:tcBorders>
            <w:shd w:val="clear" w:color="auto" w:fill="C6D9F1"/>
            <w:vAlign w:val="bottom"/>
            <w:hideMark/>
          </w:tcPr>
          <w:p w:rsidR="007E080B" w:rsidRPr="00B74F77" w:rsidRDefault="007E080B" w:rsidP="00A27AD3">
            <w:pPr>
              <w:spacing w:after="0" w:line="240" w:lineRule="auto"/>
              <w:jc w:val="right"/>
              <w:rPr>
                <w:rFonts w:ascii="Arial" w:hAnsi="Arial" w:cs="Arial"/>
                <w:color w:val="000000"/>
                <w:sz w:val="20"/>
                <w:szCs w:val="20"/>
              </w:rPr>
            </w:pPr>
            <w:r w:rsidRPr="00B74F77">
              <w:rPr>
                <w:rFonts w:ascii="Arial" w:hAnsi="Arial" w:cs="Arial"/>
                <w:color w:val="000000"/>
                <w:sz w:val="20"/>
                <w:szCs w:val="20"/>
              </w:rPr>
              <w:t>5.91</w:t>
            </w:r>
          </w:p>
        </w:tc>
      </w:tr>
    </w:tbl>
    <w:p w:rsidR="007E080B" w:rsidRPr="00C53FA2" w:rsidRDefault="007E080B" w:rsidP="007E080B">
      <w:pPr>
        <w:pStyle w:val="CAROLFONTE"/>
      </w:pPr>
      <w:r w:rsidRPr="007343E4">
        <w:t>Fonte:</w:t>
      </w:r>
      <w:r>
        <w:t xml:space="preserve"> </w:t>
      </w:r>
      <w:r w:rsidRPr="007343E4">
        <w:t xml:space="preserve">Criado pelo autor com dados extraídos </w:t>
      </w:r>
      <w:r>
        <w:t>do IBGE: Tabela sidra 1737</w:t>
      </w:r>
      <w:r w:rsidRPr="007343E4">
        <w:t>; Banco Central</w:t>
      </w:r>
    </w:p>
    <w:p w:rsidR="007E080B" w:rsidRPr="007F3846" w:rsidRDefault="007E080B" w:rsidP="007E080B">
      <w:pPr>
        <w:pStyle w:val="CAROLTEXTOS"/>
      </w:pPr>
    </w:p>
    <w:p w:rsidR="007E080B" w:rsidRPr="002A4ABB" w:rsidRDefault="007E080B" w:rsidP="007E080B">
      <w:pPr>
        <w:pStyle w:val="CAROLTTULO1"/>
      </w:pPr>
      <w:bookmarkStart w:id="32" w:name="_Toc388447489"/>
      <w:r w:rsidRPr="002A4ABB">
        <w:t>4</w:t>
      </w:r>
      <w:r>
        <w:t xml:space="preserve"> </w:t>
      </w:r>
      <w:r w:rsidRPr="002A4ABB">
        <w:t>RESULTADOS OBTIDOS</w:t>
      </w:r>
      <w:bookmarkEnd w:id="32"/>
    </w:p>
    <w:p w:rsidR="007E080B" w:rsidRPr="002A4ABB" w:rsidRDefault="007E080B" w:rsidP="007E080B">
      <w:pPr>
        <w:pStyle w:val="CAROLTTULO2"/>
      </w:pPr>
      <w:bookmarkStart w:id="33" w:name="_Toc388302225"/>
      <w:bookmarkStart w:id="34" w:name="_Toc388306384"/>
      <w:bookmarkStart w:id="35" w:name="_Toc388306475"/>
      <w:bookmarkStart w:id="36" w:name="_Toc388447490"/>
      <w:r w:rsidRPr="002A4ABB">
        <w:t>4.1.Eficácia</w:t>
      </w:r>
      <w:bookmarkEnd w:id="33"/>
      <w:bookmarkEnd w:id="34"/>
      <w:bookmarkEnd w:id="35"/>
      <w:bookmarkEnd w:id="36"/>
    </w:p>
    <w:p w:rsidR="007E080B" w:rsidRDefault="007E080B" w:rsidP="007E080B">
      <w:pPr>
        <w:pStyle w:val="CAROLTEXTOS"/>
      </w:pPr>
      <w:r>
        <w:t xml:space="preserve">Após estimadas as variáveis </w:t>
      </w:r>
      <w:r>
        <w:rPr>
          <w:i/>
        </w:rPr>
        <w:t>taxa de juros natural (</w:t>
      </w:r>
      <m:oMath>
        <m:r>
          <w:rPr>
            <w:rFonts w:ascii="Cambria Math" w:hAnsi="Cambria Math"/>
          </w:rPr>
          <m:t>rn)</m:t>
        </m:r>
      </m:oMath>
      <w:r>
        <w:rPr>
          <w:i/>
        </w:rPr>
        <w:t xml:space="preserve"> e programada (</w:t>
      </w:r>
      <m:oMath>
        <m:r>
          <w:rPr>
            <w:rFonts w:ascii="Cambria Math" w:hAnsi="Cambria Math"/>
          </w:rPr>
          <m:t>ip)</m:t>
        </m:r>
      </m:oMath>
      <w:r>
        <w:rPr>
          <w:i/>
        </w:rPr>
        <w:t xml:space="preserve"> </w:t>
      </w:r>
      <w:r>
        <w:t>torna-se possível  verificar o nível de eficácia da política monetária brasileira, no período de 2000 a 2013 (Conforme especificado na equação (5) anteriormente). Desta forma, a Tabela quatro abaixo apresenta os valores utilizados e algumas pré-conclusões , essenciais para se elaborar uma análise mais aprofundada.</w:t>
      </w:r>
    </w:p>
    <w:p w:rsidR="007E080B" w:rsidRPr="00E35E95" w:rsidRDefault="007E080B" w:rsidP="007E080B">
      <w:pPr>
        <w:spacing w:after="0" w:line="360" w:lineRule="auto"/>
        <w:jc w:val="center"/>
        <w:rPr>
          <w:rFonts w:ascii="Arial" w:hAnsi="Arial" w:cs="Arial"/>
          <w:b/>
          <w:sz w:val="24"/>
          <w:szCs w:val="24"/>
        </w:rPr>
      </w:pPr>
    </w:p>
    <w:p w:rsidR="00ED526C" w:rsidRDefault="00ED526C" w:rsidP="007E080B">
      <w:pPr>
        <w:pStyle w:val="CAROLTABELAS"/>
      </w:pPr>
      <w:bookmarkStart w:id="37" w:name="_Toc388447194"/>
    </w:p>
    <w:p w:rsidR="00ED526C" w:rsidRDefault="00ED526C" w:rsidP="007E080B">
      <w:pPr>
        <w:pStyle w:val="CAROLTABELAS"/>
      </w:pPr>
    </w:p>
    <w:p w:rsidR="00ED526C" w:rsidRDefault="00ED526C" w:rsidP="007E080B">
      <w:pPr>
        <w:pStyle w:val="CAROLTABELAS"/>
      </w:pPr>
    </w:p>
    <w:p w:rsidR="00ED526C" w:rsidRDefault="00ED526C" w:rsidP="007E080B">
      <w:pPr>
        <w:pStyle w:val="CAROLTABELAS"/>
      </w:pPr>
    </w:p>
    <w:p w:rsidR="00ED526C" w:rsidRDefault="00ED526C" w:rsidP="007E080B">
      <w:pPr>
        <w:pStyle w:val="CAROLTABELAS"/>
      </w:pPr>
    </w:p>
    <w:p w:rsidR="00ED526C" w:rsidRDefault="00ED526C" w:rsidP="007E080B">
      <w:pPr>
        <w:pStyle w:val="CAROLTABELAS"/>
      </w:pPr>
    </w:p>
    <w:p w:rsidR="007E080B" w:rsidRPr="00E35E95" w:rsidRDefault="007E080B" w:rsidP="007E080B">
      <w:pPr>
        <w:pStyle w:val="CAROLTABELAS"/>
      </w:pPr>
      <w:r>
        <w:lastRenderedPageBreak/>
        <w:t xml:space="preserve">Tabela </w:t>
      </w:r>
      <w:r w:rsidR="008167E4">
        <w:t>2</w:t>
      </w:r>
      <w:r>
        <w:t xml:space="preserve"> -</w:t>
      </w:r>
      <w:r w:rsidRPr="00E35E95">
        <w:t xml:space="preserve"> Eficácia da Política Monetária Brasileira</w:t>
      </w:r>
      <w:bookmarkEnd w:id="37"/>
    </w:p>
    <w:tbl>
      <w:tblPr>
        <w:tblW w:w="4960" w:type="pct"/>
        <w:jc w:val="center"/>
        <w:tblCellMar>
          <w:left w:w="70" w:type="dxa"/>
          <w:right w:w="70" w:type="dxa"/>
        </w:tblCellMar>
        <w:tblLook w:val="04A0"/>
      </w:tblPr>
      <w:tblGrid>
        <w:gridCol w:w="606"/>
        <w:gridCol w:w="1213"/>
        <w:gridCol w:w="1213"/>
        <w:gridCol w:w="583"/>
        <w:gridCol w:w="890"/>
        <w:gridCol w:w="1029"/>
        <w:gridCol w:w="681"/>
        <w:gridCol w:w="1120"/>
        <w:gridCol w:w="1240"/>
      </w:tblGrid>
      <w:tr w:rsidR="007E080B" w:rsidRPr="003A16A2" w:rsidTr="00A27AD3">
        <w:trPr>
          <w:trHeight w:val="586"/>
          <w:jc w:val="center"/>
        </w:trPr>
        <w:tc>
          <w:tcPr>
            <w:tcW w:w="354" w:type="pct"/>
            <w:tcBorders>
              <w:top w:val="single" w:sz="4" w:space="0" w:color="auto"/>
              <w:left w:val="nil"/>
              <w:bottom w:val="single" w:sz="4" w:space="0" w:color="auto"/>
              <w:right w:val="nil"/>
            </w:tcBorders>
            <w:shd w:val="clear" w:color="auto" w:fill="8DB3E2"/>
            <w:noWrap/>
            <w:vAlign w:val="center"/>
            <w:hideMark/>
          </w:tcPr>
          <w:p w:rsidR="007E080B" w:rsidRPr="003A16A2" w:rsidRDefault="007E080B" w:rsidP="00A27AD3">
            <w:pPr>
              <w:widowControl w:val="0"/>
              <w:spacing w:before="40" w:after="40" w:line="240" w:lineRule="auto"/>
              <w:contextualSpacing/>
              <w:jc w:val="center"/>
              <w:rPr>
                <w:rFonts w:ascii="Arial" w:hAnsi="Arial" w:cs="Arial"/>
                <w:b/>
                <w:bCs/>
                <w:color w:val="000000"/>
                <w:sz w:val="20"/>
                <w:szCs w:val="20"/>
              </w:rPr>
            </w:pPr>
            <w:r w:rsidRPr="003A16A2">
              <w:rPr>
                <w:rFonts w:ascii="Arial" w:hAnsi="Arial" w:cs="Arial"/>
                <w:b/>
                <w:bCs/>
                <w:color w:val="000000"/>
                <w:sz w:val="20"/>
                <w:szCs w:val="20"/>
              </w:rPr>
              <w:t>ANO</w:t>
            </w:r>
          </w:p>
        </w:tc>
        <w:tc>
          <w:tcPr>
            <w:tcW w:w="707" w:type="pct"/>
            <w:tcBorders>
              <w:top w:val="single" w:sz="4" w:space="0" w:color="auto"/>
              <w:left w:val="nil"/>
              <w:bottom w:val="single" w:sz="4" w:space="0" w:color="auto"/>
              <w:right w:val="single" w:sz="4" w:space="0" w:color="auto"/>
            </w:tcBorders>
            <w:shd w:val="clear" w:color="auto" w:fill="8DB3E2"/>
            <w:vAlign w:val="center"/>
            <w:hideMark/>
          </w:tcPr>
          <w:p w:rsidR="007E080B" w:rsidRPr="003A16A2" w:rsidRDefault="007E080B" w:rsidP="00A27AD3">
            <w:pPr>
              <w:widowControl w:val="0"/>
              <w:spacing w:before="40" w:after="40" w:line="240" w:lineRule="auto"/>
              <w:contextualSpacing/>
              <w:jc w:val="center"/>
              <w:rPr>
                <w:rFonts w:ascii="Arial" w:hAnsi="Arial" w:cs="Arial"/>
                <w:b/>
                <w:bCs/>
                <w:color w:val="000000"/>
                <w:sz w:val="20"/>
                <w:szCs w:val="20"/>
              </w:rPr>
            </w:pPr>
            <w:r w:rsidRPr="003A16A2">
              <w:rPr>
                <w:rFonts w:ascii="Arial" w:hAnsi="Arial" w:cs="Arial"/>
                <w:b/>
                <w:bCs/>
                <w:color w:val="000000"/>
                <w:sz w:val="20"/>
                <w:szCs w:val="20"/>
              </w:rPr>
              <w:t>INFLAÇÃO PROG.  (</w:t>
            </w:r>
            <w:proofErr w:type="spellStart"/>
            <w:r w:rsidRPr="003A16A2">
              <w:rPr>
                <w:rFonts w:ascii="Arial" w:hAnsi="Arial" w:cs="Arial"/>
                <w:b/>
                <w:bCs/>
                <w:color w:val="000000"/>
                <w:sz w:val="20"/>
                <w:szCs w:val="20"/>
              </w:rPr>
              <w:t>πp</w:t>
            </w:r>
            <w:proofErr w:type="spellEnd"/>
            <w:r w:rsidRPr="003A16A2">
              <w:rPr>
                <w:rFonts w:ascii="Arial" w:hAnsi="Arial" w:cs="Arial"/>
                <w:b/>
                <w:bCs/>
                <w:color w:val="000000"/>
                <w:sz w:val="20"/>
                <w:szCs w:val="20"/>
              </w:rPr>
              <w:t>)</w:t>
            </w:r>
          </w:p>
        </w:tc>
        <w:tc>
          <w:tcPr>
            <w:tcW w:w="707"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7E080B" w:rsidRPr="003A16A2" w:rsidRDefault="007E080B" w:rsidP="00A27AD3">
            <w:pPr>
              <w:widowControl w:val="0"/>
              <w:spacing w:before="40" w:after="40" w:line="240" w:lineRule="auto"/>
              <w:contextualSpacing/>
              <w:jc w:val="center"/>
              <w:rPr>
                <w:rFonts w:ascii="Arial" w:hAnsi="Arial" w:cs="Arial"/>
                <w:b/>
                <w:bCs/>
                <w:color w:val="000000"/>
                <w:sz w:val="20"/>
                <w:szCs w:val="20"/>
              </w:rPr>
            </w:pPr>
            <w:r w:rsidRPr="003A16A2">
              <w:rPr>
                <w:rFonts w:ascii="Arial" w:hAnsi="Arial" w:cs="Arial"/>
                <w:b/>
                <w:bCs/>
                <w:color w:val="000000"/>
                <w:sz w:val="20"/>
                <w:szCs w:val="20"/>
              </w:rPr>
              <w:t>INFLAÇÃO EFETIVA (π)</w:t>
            </w:r>
          </w:p>
        </w:tc>
        <w:tc>
          <w:tcPr>
            <w:tcW w:w="340"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7E080B" w:rsidRPr="003A16A2" w:rsidRDefault="007E080B" w:rsidP="00A27AD3">
            <w:pPr>
              <w:widowControl w:val="0"/>
              <w:spacing w:before="40" w:after="40" w:line="240" w:lineRule="auto"/>
              <w:contextualSpacing/>
              <w:jc w:val="center"/>
              <w:rPr>
                <w:rFonts w:ascii="Arial" w:hAnsi="Arial" w:cs="Arial"/>
                <w:b/>
                <w:bCs/>
                <w:color w:val="000000"/>
                <w:sz w:val="20"/>
                <w:szCs w:val="20"/>
              </w:rPr>
            </w:pPr>
            <m:oMathPara>
              <m:oMath>
                <m:f>
                  <m:fPr>
                    <m:ctrlPr>
                      <w:rPr>
                        <w:rFonts w:ascii="Cambria Math" w:hAnsi="Cambria Math"/>
                        <w:b/>
                        <w:bCs/>
                        <w:i/>
                        <w:color w:val="000000"/>
                      </w:rPr>
                    </m:ctrlPr>
                  </m:fPr>
                  <m:num>
                    <m:r>
                      <m:rPr>
                        <m:sty m:val="bi"/>
                      </m:rPr>
                      <w:rPr>
                        <w:rFonts w:ascii="Cambria Math" w:hAnsi="Cambria Math"/>
                        <w:color w:val="000000"/>
                      </w:rPr>
                      <m:t>πp</m:t>
                    </m:r>
                  </m:num>
                  <m:den>
                    <m:r>
                      <m:rPr>
                        <m:sty m:val="bi"/>
                      </m:rPr>
                      <w:rPr>
                        <w:rFonts w:ascii="Cambria Math" w:hAnsi="Cambria Math"/>
                        <w:color w:val="000000"/>
                      </w:rPr>
                      <m:t>π</m:t>
                    </m:r>
                  </m:den>
                </m:f>
              </m:oMath>
            </m:oMathPara>
          </w:p>
        </w:tc>
        <w:tc>
          <w:tcPr>
            <w:tcW w:w="519"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7E080B" w:rsidRPr="003A16A2" w:rsidRDefault="007E080B" w:rsidP="00A27AD3">
            <w:pPr>
              <w:widowControl w:val="0"/>
              <w:spacing w:before="40" w:after="40" w:line="240" w:lineRule="auto"/>
              <w:contextualSpacing/>
              <w:jc w:val="center"/>
              <w:rPr>
                <w:rFonts w:ascii="Arial" w:hAnsi="Arial" w:cs="Arial"/>
                <w:b/>
                <w:bCs/>
                <w:color w:val="000000"/>
                <w:sz w:val="20"/>
                <w:szCs w:val="20"/>
              </w:rPr>
            </w:pPr>
            <w:r w:rsidRPr="003A16A2">
              <w:rPr>
                <w:rFonts w:ascii="Arial" w:hAnsi="Arial" w:cs="Arial"/>
                <w:b/>
                <w:bCs/>
                <w:color w:val="000000"/>
                <w:sz w:val="20"/>
                <w:szCs w:val="20"/>
              </w:rPr>
              <w:t>JUROS PROG. (</w:t>
            </w:r>
            <m:oMath>
              <m:r>
                <m:rPr>
                  <m:sty m:val="bi"/>
                </m:rPr>
                <w:rPr>
                  <w:rFonts w:ascii="Cambria Math" w:hAnsi="Cambria Math"/>
                  <w:color w:val="000000"/>
                </w:rPr>
                <m:t>ip</m:t>
              </m:r>
            </m:oMath>
            <w:r w:rsidRPr="003A16A2">
              <w:rPr>
                <w:rFonts w:ascii="Arial" w:hAnsi="Arial" w:cs="Arial"/>
                <w:b/>
                <w:bCs/>
                <w:color w:val="000000"/>
                <w:sz w:val="20"/>
                <w:szCs w:val="20"/>
              </w:rPr>
              <w:t>)</w:t>
            </w:r>
          </w:p>
        </w:tc>
        <w:tc>
          <w:tcPr>
            <w:tcW w:w="600"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7E080B" w:rsidRPr="003A16A2" w:rsidRDefault="007E080B" w:rsidP="00A27AD3">
            <w:pPr>
              <w:widowControl w:val="0"/>
              <w:spacing w:before="40" w:after="40" w:line="240" w:lineRule="auto"/>
              <w:contextualSpacing/>
              <w:jc w:val="center"/>
              <w:rPr>
                <w:rFonts w:ascii="Arial" w:hAnsi="Arial" w:cs="Arial"/>
                <w:b/>
                <w:bCs/>
                <w:color w:val="000000"/>
                <w:sz w:val="20"/>
                <w:szCs w:val="20"/>
              </w:rPr>
            </w:pPr>
            <w:r w:rsidRPr="003A16A2">
              <w:rPr>
                <w:rFonts w:ascii="Arial" w:hAnsi="Arial" w:cs="Arial"/>
                <w:b/>
                <w:bCs/>
                <w:color w:val="000000"/>
                <w:sz w:val="20"/>
                <w:szCs w:val="20"/>
              </w:rPr>
              <w:t>JUROS EFETIVO (</w:t>
            </w:r>
            <m:oMath>
              <m:r>
                <m:rPr>
                  <m:sty m:val="bi"/>
                </m:rPr>
                <w:rPr>
                  <w:rFonts w:ascii="Cambria Math" w:hAnsi="Cambria Math"/>
                  <w:color w:val="000000"/>
                </w:rPr>
                <m:t>i</m:t>
              </m:r>
            </m:oMath>
            <w:r w:rsidRPr="003A16A2">
              <w:rPr>
                <w:rFonts w:ascii="Arial" w:hAnsi="Arial" w:cs="Arial"/>
                <w:b/>
                <w:bCs/>
                <w:color w:val="000000"/>
                <w:sz w:val="20"/>
                <w:szCs w:val="20"/>
              </w:rPr>
              <w:t>)</w:t>
            </w:r>
          </w:p>
        </w:tc>
        <w:tc>
          <w:tcPr>
            <w:tcW w:w="397"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7E080B" w:rsidRPr="003A16A2" w:rsidRDefault="007E080B" w:rsidP="00A27AD3">
            <w:pPr>
              <w:widowControl w:val="0"/>
              <w:spacing w:before="40" w:after="40" w:line="240" w:lineRule="auto"/>
              <w:contextualSpacing/>
              <w:jc w:val="center"/>
              <w:rPr>
                <w:rFonts w:ascii="Arial" w:hAnsi="Arial" w:cs="Arial"/>
                <w:b/>
                <w:bCs/>
                <w:color w:val="000000"/>
                <w:sz w:val="20"/>
                <w:szCs w:val="20"/>
              </w:rPr>
            </w:pPr>
            <m:oMathPara>
              <m:oMath>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ip</m:t>
                    </m:r>
                  </m:num>
                  <m:den>
                    <m:r>
                      <w:rPr>
                        <w:rFonts w:ascii="Cambria Math" w:hAnsi="Cambria Math" w:cs="Arial"/>
                        <w:sz w:val="24"/>
                        <w:szCs w:val="24"/>
                      </w:rPr>
                      <m:t>i</m:t>
                    </m:r>
                  </m:den>
                </m:f>
              </m:oMath>
            </m:oMathPara>
          </w:p>
        </w:tc>
        <w:tc>
          <w:tcPr>
            <w:tcW w:w="653" w:type="pct"/>
            <w:tcBorders>
              <w:top w:val="single" w:sz="4" w:space="0" w:color="auto"/>
              <w:left w:val="single" w:sz="4" w:space="0" w:color="auto"/>
              <w:bottom w:val="single" w:sz="4" w:space="0" w:color="auto"/>
              <w:right w:val="nil"/>
            </w:tcBorders>
            <w:shd w:val="clear" w:color="auto" w:fill="8DB3E2"/>
            <w:vAlign w:val="center"/>
            <w:hideMark/>
          </w:tcPr>
          <w:p w:rsidR="007E080B" w:rsidRPr="003A16A2" w:rsidRDefault="007E080B" w:rsidP="00A27AD3">
            <w:pPr>
              <w:widowControl w:val="0"/>
              <w:spacing w:before="40" w:after="40" w:line="240" w:lineRule="auto"/>
              <w:contextualSpacing/>
              <w:jc w:val="center"/>
              <w:rPr>
                <w:rFonts w:ascii="Arial" w:hAnsi="Arial" w:cs="Arial"/>
                <w:b/>
                <w:bCs/>
                <w:color w:val="000000"/>
                <w:sz w:val="20"/>
                <w:szCs w:val="20"/>
              </w:rPr>
            </w:pPr>
            <w:r w:rsidRPr="003A16A2">
              <w:rPr>
                <w:rFonts w:ascii="Arial" w:hAnsi="Arial" w:cs="Arial"/>
                <w:b/>
                <w:bCs/>
                <w:color w:val="000000"/>
                <w:sz w:val="20"/>
                <w:szCs w:val="20"/>
              </w:rPr>
              <w:t>EFICÁCIA</w:t>
            </w:r>
          </w:p>
        </w:tc>
        <w:tc>
          <w:tcPr>
            <w:tcW w:w="723" w:type="pct"/>
            <w:tcBorders>
              <w:top w:val="single" w:sz="4" w:space="0" w:color="auto"/>
              <w:left w:val="nil"/>
              <w:bottom w:val="single" w:sz="4" w:space="0" w:color="auto"/>
              <w:right w:val="nil"/>
            </w:tcBorders>
            <w:shd w:val="clear" w:color="auto" w:fill="8DB3E2"/>
            <w:vAlign w:val="center"/>
            <w:hideMark/>
          </w:tcPr>
          <w:p w:rsidR="007E080B" w:rsidRPr="003A16A2" w:rsidRDefault="007E080B" w:rsidP="00A27AD3">
            <w:pPr>
              <w:widowControl w:val="0"/>
              <w:spacing w:before="40" w:after="40" w:line="240" w:lineRule="auto"/>
              <w:contextualSpacing/>
              <w:jc w:val="center"/>
              <w:rPr>
                <w:rFonts w:ascii="Arial" w:hAnsi="Arial" w:cs="Arial"/>
                <w:b/>
                <w:bCs/>
                <w:color w:val="000000"/>
                <w:sz w:val="20"/>
                <w:szCs w:val="20"/>
              </w:rPr>
            </w:pPr>
            <w:r w:rsidRPr="003A16A2">
              <w:rPr>
                <w:rFonts w:ascii="Arial" w:hAnsi="Arial" w:cs="Arial"/>
                <w:b/>
                <w:bCs/>
                <w:color w:val="000000"/>
                <w:sz w:val="20"/>
                <w:szCs w:val="20"/>
              </w:rPr>
              <w:t>VARIAÇÃO</w:t>
            </w:r>
          </w:p>
        </w:tc>
      </w:tr>
      <w:tr w:rsidR="007E080B" w:rsidRPr="003A16A2" w:rsidTr="00A27AD3">
        <w:trPr>
          <w:trHeight w:val="148"/>
          <w:jc w:val="center"/>
        </w:trPr>
        <w:tc>
          <w:tcPr>
            <w:tcW w:w="354"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2000</w:t>
            </w:r>
          </w:p>
        </w:tc>
        <w:tc>
          <w:tcPr>
            <w:tcW w:w="707" w:type="pct"/>
            <w:tcBorders>
              <w:top w:val="nil"/>
              <w:left w:val="nil"/>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8</w:t>
            </w:r>
          </w:p>
        </w:tc>
        <w:tc>
          <w:tcPr>
            <w:tcW w:w="707" w:type="pct"/>
            <w:tcBorders>
              <w:top w:val="nil"/>
              <w:left w:val="single" w:sz="4" w:space="0" w:color="auto"/>
              <w:bottom w:val="nil"/>
              <w:right w:val="single" w:sz="4" w:space="0" w:color="auto"/>
            </w:tcBorders>
            <w:shd w:val="clear" w:color="auto" w:fill="C6D9F1"/>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5.97</w:t>
            </w:r>
          </w:p>
        </w:tc>
        <w:tc>
          <w:tcPr>
            <w:tcW w:w="34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1.34</w:t>
            </w:r>
          </w:p>
        </w:tc>
        <w:tc>
          <w:tcPr>
            <w:tcW w:w="519"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15.2373</w:t>
            </w:r>
          </w:p>
        </w:tc>
        <w:tc>
          <w:tcPr>
            <w:tcW w:w="60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21.67</w:t>
            </w:r>
          </w:p>
        </w:tc>
        <w:tc>
          <w:tcPr>
            <w:tcW w:w="397"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0.70</w:t>
            </w:r>
          </w:p>
        </w:tc>
        <w:tc>
          <w:tcPr>
            <w:tcW w:w="653" w:type="pct"/>
            <w:tcBorders>
              <w:top w:val="nil"/>
              <w:left w:val="single" w:sz="4" w:space="0" w:color="auto"/>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0.94</w:t>
            </w:r>
          </w:p>
        </w:tc>
        <w:tc>
          <w:tcPr>
            <w:tcW w:w="723"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p>
        </w:tc>
      </w:tr>
      <w:tr w:rsidR="007E080B" w:rsidRPr="003A16A2" w:rsidTr="00A27AD3">
        <w:trPr>
          <w:trHeight w:val="148"/>
          <w:jc w:val="center"/>
        </w:trPr>
        <w:tc>
          <w:tcPr>
            <w:tcW w:w="354"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2001</w:t>
            </w:r>
          </w:p>
        </w:tc>
        <w:tc>
          <w:tcPr>
            <w:tcW w:w="707" w:type="pct"/>
            <w:tcBorders>
              <w:top w:val="nil"/>
              <w:left w:val="nil"/>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6</w:t>
            </w:r>
          </w:p>
        </w:tc>
        <w:tc>
          <w:tcPr>
            <w:tcW w:w="707" w:type="pct"/>
            <w:tcBorders>
              <w:top w:val="nil"/>
              <w:left w:val="single" w:sz="4" w:space="0" w:color="auto"/>
              <w:bottom w:val="nil"/>
              <w:right w:val="single" w:sz="4" w:space="0" w:color="auto"/>
            </w:tcBorders>
            <w:shd w:val="clear" w:color="auto" w:fill="C6D9F1"/>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7.67</w:t>
            </w:r>
          </w:p>
        </w:tc>
        <w:tc>
          <w:tcPr>
            <w:tcW w:w="34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0.78</w:t>
            </w:r>
          </w:p>
        </w:tc>
        <w:tc>
          <w:tcPr>
            <w:tcW w:w="519"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aixaDeTexto 2" o:spid="_x0000_s1026" type="#_x0000_t75" style="position:absolute;left:0;text-align:left;margin-left:32.25pt;margin-top:13.5pt;width:0;height:0;z-index:251660288;visibility:visible;mso-wrap-distance-right:24.75pt;mso-wrap-distance-bottom:22.5pt;mso-position-horizontal-relative:text;mso-position-vertical-relative:tex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">
                  <o:lock v:ext="edit" aspectratio="f"/>
                </v:shape>
              </w:pict>
            </w:r>
            <w:r w:rsidRPr="003A16A2">
              <w:rPr>
                <w:rFonts w:ascii="Arial" w:hAnsi="Arial" w:cs="Arial"/>
                <w:color w:val="000000"/>
                <w:sz w:val="20"/>
                <w:szCs w:val="20"/>
              </w:rPr>
              <w:t>13.2373</w:t>
            </w:r>
          </w:p>
        </w:tc>
        <w:tc>
          <w:tcPr>
            <w:tcW w:w="60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16.71</w:t>
            </w:r>
          </w:p>
        </w:tc>
        <w:tc>
          <w:tcPr>
            <w:tcW w:w="397"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0.79</w:t>
            </w:r>
          </w:p>
        </w:tc>
        <w:tc>
          <w:tcPr>
            <w:tcW w:w="653" w:type="pct"/>
            <w:tcBorders>
              <w:top w:val="nil"/>
              <w:left w:val="single" w:sz="4" w:space="0" w:color="auto"/>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0.62</w:t>
            </w:r>
          </w:p>
        </w:tc>
        <w:tc>
          <w:tcPr>
            <w:tcW w:w="723"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-0.32</w:t>
            </w:r>
          </w:p>
        </w:tc>
      </w:tr>
      <w:tr w:rsidR="007E080B" w:rsidRPr="003A16A2" w:rsidTr="00A27AD3">
        <w:trPr>
          <w:trHeight w:val="148"/>
          <w:jc w:val="center"/>
        </w:trPr>
        <w:tc>
          <w:tcPr>
            <w:tcW w:w="354"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2002</w:t>
            </w:r>
          </w:p>
        </w:tc>
        <w:tc>
          <w:tcPr>
            <w:tcW w:w="707" w:type="pct"/>
            <w:tcBorders>
              <w:top w:val="nil"/>
              <w:left w:val="nil"/>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bCs/>
                <w:color w:val="000000"/>
                <w:sz w:val="20"/>
                <w:szCs w:val="20"/>
              </w:rPr>
            </w:pPr>
            <w:r w:rsidRPr="003A16A2">
              <w:rPr>
                <w:rFonts w:ascii="Arial" w:hAnsi="Arial" w:cs="Arial"/>
                <w:bCs/>
                <w:color w:val="000000"/>
                <w:sz w:val="20"/>
                <w:szCs w:val="20"/>
              </w:rPr>
              <w:t>5.5</w:t>
            </w:r>
          </w:p>
        </w:tc>
        <w:tc>
          <w:tcPr>
            <w:tcW w:w="707" w:type="pct"/>
            <w:tcBorders>
              <w:top w:val="nil"/>
              <w:left w:val="single" w:sz="4" w:space="0" w:color="auto"/>
              <w:bottom w:val="nil"/>
              <w:right w:val="single" w:sz="4" w:space="0" w:color="auto"/>
            </w:tcBorders>
            <w:shd w:val="clear" w:color="auto" w:fill="C6D9F1"/>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12.53</w:t>
            </w:r>
          </w:p>
        </w:tc>
        <w:tc>
          <w:tcPr>
            <w:tcW w:w="34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0.44</w:t>
            </w:r>
          </w:p>
        </w:tc>
        <w:tc>
          <w:tcPr>
            <w:tcW w:w="519"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12.7373</w:t>
            </w:r>
          </w:p>
        </w:tc>
        <w:tc>
          <w:tcPr>
            <w:tcW w:w="60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18.31</w:t>
            </w:r>
          </w:p>
        </w:tc>
        <w:tc>
          <w:tcPr>
            <w:tcW w:w="397"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0.70</w:t>
            </w:r>
          </w:p>
        </w:tc>
        <w:tc>
          <w:tcPr>
            <w:tcW w:w="653" w:type="pct"/>
            <w:tcBorders>
              <w:top w:val="nil"/>
              <w:left w:val="single" w:sz="4" w:space="0" w:color="auto"/>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0.31</w:t>
            </w:r>
          </w:p>
        </w:tc>
        <w:tc>
          <w:tcPr>
            <w:tcW w:w="723"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-0.31</w:t>
            </w:r>
          </w:p>
        </w:tc>
      </w:tr>
      <w:tr w:rsidR="007E080B" w:rsidRPr="003A16A2" w:rsidTr="00A27AD3">
        <w:trPr>
          <w:trHeight w:val="148"/>
          <w:jc w:val="center"/>
        </w:trPr>
        <w:tc>
          <w:tcPr>
            <w:tcW w:w="354"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2003</w:t>
            </w:r>
          </w:p>
        </w:tc>
        <w:tc>
          <w:tcPr>
            <w:tcW w:w="707" w:type="pct"/>
            <w:tcBorders>
              <w:top w:val="nil"/>
              <w:left w:val="nil"/>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6.5</w:t>
            </w:r>
          </w:p>
        </w:tc>
        <w:tc>
          <w:tcPr>
            <w:tcW w:w="707" w:type="pct"/>
            <w:tcBorders>
              <w:top w:val="nil"/>
              <w:left w:val="single" w:sz="4" w:space="0" w:color="auto"/>
              <w:bottom w:val="nil"/>
              <w:right w:val="single" w:sz="4" w:space="0" w:color="auto"/>
            </w:tcBorders>
            <w:shd w:val="clear" w:color="auto" w:fill="C6D9F1"/>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9.3</w:t>
            </w:r>
          </w:p>
        </w:tc>
        <w:tc>
          <w:tcPr>
            <w:tcW w:w="34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0.70</w:t>
            </w:r>
          </w:p>
        </w:tc>
        <w:tc>
          <w:tcPr>
            <w:tcW w:w="519"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13.7373</w:t>
            </w:r>
          </w:p>
        </w:tc>
        <w:tc>
          <w:tcPr>
            <w:tcW w:w="60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20.96</w:t>
            </w:r>
          </w:p>
        </w:tc>
        <w:tc>
          <w:tcPr>
            <w:tcW w:w="397"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0.66</w:t>
            </w:r>
          </w:p>
        </w:tc>
        <w:tc>
          <w:tcPr>
            <w:tcW w:w="653" w:type="pct"/>
            <w:tcBorders>
              <w:top w:val="nil"/>
              <w:left w:val="single" w:sz="4" w:space="0" w:color="auto"/>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0.46</w:t>
            </w:r>
          </w:p>
        </w:tc>
        <w:tc>
          <w:tcPr>
            <w:tcW w:w="723"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0.15</w:t>
            </w:r>
          </w:p>
        </w:tc>
      </w:tr>
      <w:tr w:rsidR="007E080B" w:rsidRPr="003A16A2" w:rsidTr="00A27AD3">
        <w:trPr>
          <w:trHeight w:val="148"/>
          <w:jc w:val="center"/>
        </w:trPr>
        <w:tc>
          <w:tcPr>
            <w:tcW w:w="354"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2004</w:t>
            </w:r>
          </w:p>
        </w:tc>
        <w:tc>
          <w:tcPr>
            <w:tcW w:w="707" w:type="pct"/>
            <w:tcBorders>
              <w:top w:val="nil"/>
              <w:left w:val="nil"/>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8</w:t>
            </w:r>
          </w:p>
        </w:tc>
        <w:tc>
          <w:tcPr>
            <w:tcW w:w="707" w:type="pct"/>
            <w:tcBorders>
              <w:top w:val="nil"/>
              <w:left w:val="single" w:sz="4" w:space="0" w:color="auto"/>
              <w:bottom w:val="nil"/>
              <w:right w:val="single" w:sz="4" w:space="0" w:color="auto"/>
            </w:tcBorders>
            <w:shd w:val="clear" w:color="auto" w:fill="C6D9F1"/>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7.6</w:t>
            </w:r>
          </w:p>
        </w:tc>
        <w:tc>
          <w:tcPr>
            <w:tcW w:w="34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1.05</w:t>
            </w:r>
          </w:p>
        </w:tc>
        <w:tc>
          <w:tcPr>
            <w:tcW w:w="519"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15.2373</w:t>
            </w:r>
          </w:p>
        </w:tc>
        <w:tc>
          <w:tcPr>
            <w:tcW w:w="60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21.19</w:t>
            </w:r>
          </w:p>
        </w:tc>
        <w:tc>
          <w:tcPr>
            <w:tcW w:w="397"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0.72</w:t>
            </w:r>
          </w:p>
        </w:tc>
        <w:tc>
          <w:tcPr>
            <w:tcW w:w="653" w:type="pct"/>
            <w:tcBorders>
              <w:top w:val="nil"/>
              <w:left w:val="single" w:sz="4" w:space="0" w:color="auto"/>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0.76</w:t>
            </w:r>
          </w:p>
        </w:tc>
        <w:tc>
          <w:tcPr>
            <w:tcW w:w="723"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0.30</w:t>
            </w:r>
          </w:p>
        </w:tc>
      </w:tr>
      <w:tr w:rsidR="007E080B" w:rsidRPr="003A16A2" w:rsidTr="00A27AD3">
        <w:trPr>
          <w:trHeight w:val="148"/>
          <w:jc w:val="center"/>
        </w:trPr>
        <w:tc>
          <w:tcPr>
            <w:tcW w:w="354"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2005</w:t>
            </w:r>
          </w:p>
        </w:tc>
        <w:tc>
          <w:tcPr>
            <w:tcW w:w="707" w:type="pct"/>
            <w:tcBorders>
              <w:top w:val="nil"/>
              <w:left w:val="nil"/>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7</w:t>
            </w:r>
          </w:p>
        </w:tc>
        <w:tc>
          <w:tcPr>
            <w:tcW w:w="707" w:type="pct"/>
            <w:tcBorders>
              <w:top w:val="nil"/>
              <w:left w:val="single" w:sz="4" w:space="0" w:color="auto"/>
              <w:bottom w:val="nil"/>
              <w:right w:val="single" w:sz="4" w:space="0" w:color="auto"/>
            </w:tcBorders>
            <w:shd w:val="clear" w:color="auto" w:fill="C6D9F1"/>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5.69</w:t>
            </w:r>
          </w:p>
        </w:tc>
        <w:tc>
          <w:tcPr>
            <w:tcW w:w="34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1.23</w:t>
            </w:r>
          </w:p>
        </w:tc>
        <w:tc>
          <w:tcPr>
            <w:tcW w:w="519"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14.2373</w:t>
            </w:r>
          </w:p>
        </w:tc>
        <w:tc>
          <w:tcPr>
            <w:tcW w:w="60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16.88</w:t>
            </w:r>
          </w:p>
        </w:tc>
        <w:tc>
          <w:tcPr>
            <w:tcW w:w="397"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0.84</w:t>
            </w:r>
          </w:p>
        </w:tc>
        <w:tc>
          <w:tcPr>
            <w:tcW w:w="653" w:type="pct"/>
            <w:tcBorders>
              <w:top w:val="nil"/>
              <w:left w:val="single" w:sz="4" w:space="0" w:color="auto"/>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1.04</w:t>
            </w:r>
          </w:p>
        </w:tc>
        <w:tc>
          <w:tcPr>
            <w:tcW w:w="723"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0.28</w:t>
            </w:r>
          </w:p>
        </w:tc>
      </w:tr>
      <w:tr w:rsidR="007E080B" w:rsidRPr="003A16A2" w:rsidTr="00A27AD3">
        <w:trPr>
          <w:trHeight w:val="148"/>
          <w:jc w:val="center"/>
        </w:trPr>
        <w:tc>
          <w:tcPr>
            <w:tcW w:w="354"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2006</w:t>
            </w:r>
          </w:p>
        </w:tc>
        <w:tc>
          <w:tcPr>
            <w:tcW w:w="707" w:type="pct"/>
            <w:tcBorders>
              <w:top w:val="nil"/>
              <w:left w:val="nil"/>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6.5</w:t>
            </w:r>
          </w:p>
        </w:tc>
        <w:tc>
          <w:tcPr>
            <w:tcW w:w="707" w:type="pct"/>
            <w:tcBorders>
              <w:top w:val="nil"/>
              <w:left w:val="single" w:sz="4" w:space="0" w:color="auto"/>
              <w:bottom w:val="nil"/>
              <w:right w:val="single" w:sz="4" w:space="0" w:color="auto"/>
            </w:tcBorders>
            <w:shd w:val="clear" w:color="auto" w:fill="C6D9F1"/>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3.14</w:t>
            </w:r>
          </w:p>
        </w:tc>
        <w:tc>
          <w:tcPr>
            <w:tcW w:w="34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2.07</w:t>
            </w:r>
          </w:p>
        </w:tc>
        <w:tc>
          <w:tcPr>
            <w:tcW w:w="519"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13.7373</w:t>
            </w:r>
          </w:p>
        </w:tc>
        <w:tc>
          <w:tcPr>
            <w:tcW w:w="60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18.82</w:t>
            </w:r>
          </w:p>
        </w:tc>
        <w:tc>
          <w:tcPr>
            <w:tcW w:w="397"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0.73</w:t>
            </w:r>
          </w:p>
        </w:tc>
        <w:tc>
          <w:tcPr>
            <w:tcW w:w="653" w:type="pct"/>
            <w:tcBorders>
              <w:top w:val="nil"/>
              <w:left w:val="single" w:sz="4" w:space="0" w:color="auto"/>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1.51</w:t>
            </w:r>
          </w:p>
        </w:tc>
        <w:tc>
          <w:tcPr>
            <w:tcW w:w="723"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0.47</w:t>
            </w:r>
          </w:p>
        </w:tc>
      </w:tr>
      <w:tr w:rsidR="007E080B" w:rsidRPr="003A16A2" w:rsidTr="00A27AD3">
        <w:trPr>
          <w:trHeight w:val="148"/>
          <w:jc w:val="center"/>
        </w:trPr>
        <w:tc>
          <w:tcPr>
            <w:tcW w:w="354"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2007</w:t>
            </w:r>
          </w:p>
        </w:tc>
        <w:tc>
          <w:tcPr>
            <w:tcW w:w="707" w:type="pct"/>
            <w:tcBorders>
              <w:top w:val="nil"/>
              <w:left w:val="nil"/>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6.5</w:t>
            </w:r>
          </w:p>
        </w:tc>
        <w:tc>
          <w:tcPr>
            <w:tcW w:w="707" w:type="pct"/>
            <w:tcBorders>
              <w:top w:val="nil"/>
              <w:left w:val="single" w:sz="4" w:space="0" w:color="auto"/>
              <w:bottom w:val="nil"/>
              <w:right w:val="single" w:sz="4" w:space="0" w:color="auto"/>
            </w:tcBorders>
            <w:shd w:val="clear" w:color="auto" w:fill="C6D9F1"/>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4.46</w:t>
            </w:r>
          </w:p>
        </w:tc>
        <w:tc>
          <w:tcPr>
            <w:tcW w:w="34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1.46</w:t>
            </w:r>
          </w:p>
        </w:tc>
        <w:tc>
          <w:tcPr>
            <w:tcW w:w="519"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13.7373</w:t>
            </w:r>
          </w:p>
        </w:tc>
        <w:tc>
          <w:tcPr>
            <w:tcW w:w="60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14.27</w:t>
            </w:r>
          </w:p>
        </w:tc>
        <w:tc>
          <w:tcPr>
            <w:tcW w:w="397"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0.96</w:t>
            </w:r>
          </w:p>
        </w:tc>
        <w:tc>
          <w:tcPr>
            <w:tcW w:w="653" w:type="pct"/>
            <w:tcBorders>
              <w:top w:val="nil"/>
              <w:left w:val="single" w:sz="4" w:space="0" w:color="auto"/>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1.40</w:t>
            </w:r>
          </w:p>
        </w:tc>
        <w:tc>
          <w:tcPr>
            <w:tcW w:w="723"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-0.11</w:t>
            </w:r>
          </w:p>
        </w:tc>
      </w:tr>
      <w:tr w:rsidR="007E080B" w:rsidRPr="003A16A2" w:rsidTr="00A27AD3">
        <w:trPr>
          <w:trHeight w:val="148"/>
          <w:jc w:val="center"/>
        </w:trPr>
        <w:tc>
          <w:tcPr>
            <w:tcW w:w="354"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2008</w:t>
            </w:r>
          </w:p>
        </w:tc>
        <w:tc>
          <w:tcPr>
            <w:tcW w:w="707" w:type="pct"/>
            <w:tcBorders>
              <w:top w:val="nil"/>
              <w:left w:val="nil"/>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6.5</w:t>
            </w:r>
          </w:p>
        </w:tc>
        <w:tc>
          <w:tcPr>
            <w:tcW w:w="707" w:type="pct"/>
            <w:tcBorders>
              <w:top w:val="nil"/>
              <w:left w:val="single" w:sz="4" w:space="0" w:color="auto"/>
              <w:bottom w:val="nil"/>
              <w:right w:val="single" w:sz="4" w:space="0" w:color="auto"/>
            </w:tcBorders>
            <w:shd w:val="clear" w:color="auto" w:fill="C6D9F1"/>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5.9</w:t>
            </w:r>
          </w:p>
        </w:tc>
        <w:tc>
          <w:tcPr>
            <w:tcW w:w="34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1.10</w:t>
            </w:r>
          </w:p>
        </w:tc>
        <w:tc>
          <w:tcPr>
            <w:tcW w:w="519"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13.7373</w:t>
            </w:r>
          </w:p>
        </w:tc>
        <w:tc>
          <w:tcPr>
            <w:tcW w:w="60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11.61</w:t>
            </w:r>
          </w:p>
        </w:tc>
        <w:tc>
          <w:tcPr>
            <w:tcW w:w="397"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1.18</w:t>
            </w:r>
          </w:p>
        </w:tc>
        <w:tc>
          <w:tcPr>
            <w:tcW w:w="653" w:type="pct"/>
            <w:tcBorders>
              <w:top w:val="nil"/>
              <w:left w:val="single" w:sz="4" w:space="0" w:color="auto"/>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1.30</w:t>
            </w:r>
          </w:p>
        </w:tc>
        <w:tc>
          <w:tcPr>
            <w:tcW w:w="723"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-0.10</w:t>
            </w:r>
          </w:p>
        </w:tc>
      </w:tr>
      <w:tr w:rsidR="007E080B" w:rsidRPr="003A16A2" w:rsidTr="00A27AD3">
        <w:trPr>
          <w:trHeight w:val="148"/>
          <w:jc w:val="center"/>
        </w:trPr>
        <w:tc>
          <w:tcPr>
            <w:tcW w:w="354"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2009</w:t>
            </w:r>
          </w:p>
        </w:tc>
        <w:tc>
          <w:tcPr>
            <w:tcW w:w="707" w:type="pct"/>
            <w:tcBorders>
              <w:top w:val="nil"/>
              <w:left w:val="nil"/>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6.5</w:t>
            </w:r>
          </w:p>
        </w:tc>
        <w:tc>
          <w:tcPr>
            <w:tcW w:w="707" w:type="pct"/>
            <w:tcBorders>
              <w:top w:val="nil"/>
              <w:left w:val="single" w:sz="4" w:space="0" w:color="auto"/>
              <w:bottom w:val="nil"/>
              <w:right w:val="single" w:sz="4" w:space="0" w:color="auto"/>
            </w:tcBorders>
            <w:shd w:val="clear" w:color="auto" w:fill="C6D9F1"/>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4.31</w:t>
            </w:r>
          </w:p>
        </w:tc>
        <w:tc>
          <w:tcPr>
            <w:tcW w:w="34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1.51</w:t>
            </w:r>
          </w:p>
        </w:tc>
        <w:tc>
          <w:tcPr>
            <w:tcW w:w="519"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13.7373</w:t>
            </w:r>
          </w:p>
        </w:tc>
        <w:tc>
          <w:tcPr>
            <w:tcW w:w="60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12.43</w:t>
            </w:r>
          </w:p>
        </w:tc>
        <w:tc>
          <w:tcPr>
            <w:tcW w:w="397"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1.10</w:t>
            </w:r>
          </w:p>
        </w:tc>
        <w:tc>
          <w:tcPr>
            <w:tcW w:w="653" w:type="pct"/>
            <w:tcBorders>
              <w:top w:val="nil"/>
              <w:left w:val="single" w:sz="4" w:space="0" w:color="auto"/>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1.67</w:t>
            </w:r>
          </w:p>
        </w:tc>
        <w:tc>
          <w:tcPr>
            <w:tcW w:w="723"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0.36</w:t>
            </w:r>
          </w:p>
        </w:tc>
      </w:tr>
      <w:tr w:rsidR="007E080B" w:rsidRPr="003A16A2" w:rsidTr="00A27AD3">
        <w:trPr>
          <w:trHeight w:val="148"/>
          <w:jc w:val="center"/>
        </w:trPr>
        <w:tc>
          <w:tcPr>
            <w:tcW w:w="354"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2010</w:t>
            </w:r>
          </w:p>
        </w:tc>
        <w:tc>
          <w:tcPr>
            <w:tcW w:w="707" w:type="pct"/>
            <w:tcBorders>
              <w:top w:val="nil"/>
              <w:left w:val="nil"/>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6.5</w:t>
            </w:r>
          </w:p>
        </w:tc>
        <w:tc>
          <w:tcPr>
            <w:tcW w:w="707" w:type="pct"/>
            <w:tcBorders>
              <w:top w:val="nil"/>
              <w:left w:val="single" w:sz="4" w:space="0" w:color="auto"/>
              <w:bottom w:val="nil"/>
              <w:right w:val="single" w:sz="4" w:space="0" w:color="auto"/>
            </w:tcBorders>
            <w:shd w:val="clear" w:color="auto" w:fill="C6D9F1"/>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5.91</w:t>
            </w:r>
          </w:p>
        </w:tc>
        <w:tc>
          <w:tcPr>
            <w:tcW w:w="34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1.10</w:t>
            </w:r>
          </w:p>
        </w:tc>
        <w:tc>
          <w:tcPr>
            <w:tcW w:w="519"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13.7373</w:t>
            </w:r>
          </w:p>
        </w:tc>
        <w:tc>
          <w:tcPr>
            <w:tcW w:w="60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8.98</w:t>
            </w:r>
          </w:p>
        </w:tc>
        <w:tc>
          <w:tcPr>
            <w:tcW w:w="397"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1.53</w:t>
            </w:r>
          </w:p>
        </w:tc>
        <w:tc>
          <w:tcPr>
            <w:tcW w:w="653" w:type="pct"/>
            <w:tcBorders>
              <w:top w:val="nil"/>
              <w:left w:val="single" w:sz="4" w:space="0" w:color="auto"/>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1.68</w:t>
            </w:r>
          </w:p>
        </w:tc>
        <w:tc>
          <w:tcPr>
            <w:tcW w:w="723"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0.02</w:t>
            </w:r>
          </w:p>
        </w:tc>
      </w:tr>
      <w:tr w:rsidR="007E080B" w:rsidRPr="003A16A2" w:rsidTr="00A27AD3">
        <w:trPr>
          <w:trHeight w:val="148"/>
          <w:jc w:val="center"/>
        </w:trPr>
        <w:tc>
          <w:tcPr>
            <w:tcW w:w="354"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2011</w:t>
            </w:r>
          </w:p>
        </w:tc>
        <w:tc>
          <w:tcPr>
            <w:tcW w:w="707" w:type="pct"/>
            <w:tcBorders>
              <w:top w:val="nil"/>
              <w:left w:val="nil"/>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6.5</w:t>
            </w:r>
          </w:p>
        </w:tc>
        <w:tc>
          <w:tcPr>
            <w:tcW w:w="707" w:type="pct"/>
            <w:tcBorders>
              <w:top w:val="nil"/>
              <w:left w:val="single" w:sz="4" w:space="0" w:color="auto"/>
              <w:bottom w:val="nil"/>
              <w:right w:val="single" w:sz="4" w:space="0" w:color="auto"/>
            </w:tcBorders>
            <w:shd w:val="clear" w:color="auto" w:fill="C6D9F1"/>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6.5</w:t>
            </w:r>
          </w:p>
        </w:tc>
        <w:tc>
          <w:tcPr>
            <w:tcW w:w="34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1.00</w:t>
            </w:r>
          </w:p>
        </w:tc>
        <w:tc>
          <w:tcPr>
            <w:tcW w:w="519"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13.7373</w:t>
            </w:r>
          </w:p>
        </w:tc>
        <w:tc>
          <w:tcPr>
            <w:tcW w:w="60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10.78</w:t>
            </w:r>
          </w:p>
        </w:tc>
        <w:tc>
          <w:tcPr>
            <w:tcW w:w="397"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1.27</w:t>
            </w:r>
          </w:p>
        </w:tc>
        <w:tc>
          <w:tcPr>
            <w:tcW w:w="653" w:type="pct"/>
            <w:tcBorders>
              <w:top w:val="nil"/>
              <w:left w:val="single" w:sz="4" w:space="0" w:color="auto"/>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1.27</w:t>
            </w:r>
          </w:p>
        </w:tc>
        <w:tc>
          <w:tcPr>
            <w:tcW w:w="723"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-0.41</w:t>
            </w:r>
          </w:p>
        </w:tc>
      </w:tr>
      <w:tr w:rsidR="007E080B" w:rsidRPr="003A16A2" w:rsidTr="00A27AD3">
        <w:trPr>
          <w:trHeight w:val="148"/>
          <w:jc w:val="center"/>
        </w:trPr>
        <w:tc>
          <w:tcPr>
            <w:tcW w:w="354"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2012</w:t>
            </w:r>
          </w:p>
        </w:tc>
        <w:tc>
          <w:tcPr>
            <w:tcW w:w="707" w:type="pct"/>
            <w:tcBorders>
              <w:top w:val="nil"/>
              <w:left w:val="nil"/>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6.5</w:t>
            </w:r>
          </w:p>
        </w:tc>
        <w:tc>
          <w:tcPr>
            <w:tcW w:w="707" w:type="pct"/>
            <w:tcBorders>
              <w:top w:val="nil"/>
              <w:left w:val="single" w:sz="4" w:space="0" w:color="auto"/>
              <w:bottom w:val="nil"/>
              <w:right w:val="single" w:sz="4" w:space="0" w:color="auto"/>
            </w:tcBorders>
            <w:shd w:val="clear" w:color="auto" w:fill="C6D9F1"/>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5.84</w:t>
            </w:r>
          </w:p>
        </w:tc>
        <w:tc>
          <w:tcPr>
            <w:tcW w:w="34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1.11</w:t>
            </w:r>
          </w:p>
        </w:tc>
        <w:tc>
          <w:tcPr>
            <w:tcW w:w="519"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13.7373</w:t>
            </w:r>
          </w:p>
        </w:tc>
        <w:tc>
          <w:tcPr>
            <w:tcW w:w="600"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11.33</w:t>
            </w:r>
          </w:p>
        </w:tc>
        <w:tc>
          <w:tcPr>
            <w:tcW w:w="397" w:type="pct"/>
            <w:tcBorders>
              <w:top w:val="nil"/>
              <w:left w:val="single" w:sz="4" w:space="0" w:color="auto"/>
              <w:bottom w:val="nil"/>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1.21</w:t>
            </w:r>
          </w:p>
        </w:tc>
        <w:tc>
          <w:tcPr>
            <w:tcW w:w="653" w:type="pct"/>
            <w:tcBorders>
              <w:top w:val="nil"/>
              <w:left w:val="single" w:sz="4" w:space="0" w:color="auto"/>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1.35</w:t>
            </w:r>
          </w:p>
        </w:tc>
        <w:tc>
          <w:tcPr>
            <w:tcW w:w="723"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0.08</w:t>
            </w:r>
          </w:p>
        </w:tc>
      </w:tr>
      <w:tr w:rsidR="007E080B" w:rsidRPr="003A16A2" w:rsidTr="00A27AD3">
        <w:trPr>
          <w:trHeight w:val="148"/>
          <w:jc w:val="center"/>
        </w:trPr>
        <w:tc>
          <w:tcPr>
            <w:tcW w:w="354" w:type="pct"/>
            <w:tcBorders>
              <w:top w:val="nil"/>
              <w:left w:val="nil"/>
              <w:bottom w:val="single" w:sz="4" w:space="0" w:color="auto"/>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2013</w:t>
            </w:r>
          </w:p>
        </w:tc>
        <w:tc>
          <w:tcPr>
            <w:tcW w:w="707" w:type="pct"/>
            <w:tcBorders>
              <w:top w:val="nil"/>
              <w:left w:val="nil"/>
              <w:bottom w:val="single" w:sz="4" w:space="0" w:color="auto"/>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6.5</w:t>
            </w:r>
          </w:p>
        </w:tc>
        <w:tc>
          <w:tcPr>
            <w:tcW w:w="707" w:type="pct"/>
            <w:tcBorders>
              <w:top w:val="nil"/>
              <w:left w:val="single" w:sz="4" w:space="0" w:color="auto"/>
              <w:bottom w:val="single" w:sz="4" w:space="0" w:color="auto"/>
              <w:right w:val="single" w:sz="4" w:space="0" w:color="auto"/>
            </w:tcBorders>
            <w:shd w:val="clear" w:color="auto" w:fill="C6D9F1"/>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5.91</w:t>
            </w:r>
          </w:p>
        </w:tc>
        <w:tc>
          <w:tcPr>
            <w:tcW w:w="340" w:type="pct"/>
            <w:tcBorders>
              <w:top w:val="nil"/>
              <w:left w:val="single" w:sz="4" w:space="0" w:color="auto"/>
              <w:bottom w:val="single" w:sz="4" w:space="0" w:color="auto"/>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1.10</w:t>
            </w:r>
          </w:p>
        </w:tc>
        <w:tc>
          <w:tcPr>
            <w:tcW w:w="519" w:type="pct"/>
            <w:tcBorders>
              <w:top w:val="nil"/>
              <w:left w:val="single" w:sz="4" w:space="0" w:color="auto"/>
              <w:bottom w:val="single" w:sz="4" w:space="0" w:color="auto"/>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13.7373</w:t>
            </w:r>
          </w:p>
        </w:tc>
        <w:tc>
          <w:tcPr>
            <w:tcW w:w="600" w:type="pct"/>
            <w:tcBorders>
              <w:top w:val="nil"/>
              <w:left w:val="single" w:sz="4" w:space="0" w:color="auto"/>
              <w:bottom w:val="single" w:sz="4" w:space="0" w:color="auto"/>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8.18</w:t>
            </w:r>
          </w:p>
        </w:tc>
        <w:tc>
          <w:tcPr>
            <w:tcW w:w="397" w:type="pct"/>
            <w:tcBorders>
              <w:top w:val="nil"/>
              <w:left w:val="single" w:sz="4" w:space="0" w:color="auto"/>
              <w:bottom w:val="single" w:sz="4" w:space="0" w:color="auto"/>
              <w:right w:val="single" w:sz="4" w:space="0" w:color="auto"/>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1.68</w:t>
            </w:r>
          </w:p>
        </w:tc>
        <w:tc>
          <w:tcPr>
            <w:tcW w:w="653" w:type="pct"/>
            <w:tcBorders>
              <w:top w:val="nil"/>
              <w:left w:val="single" w:sz="4" w:space="0" w:color="auto"/>
              <w:bottom w:val="single" w:sz="4" w:space="0" w:color="auto"/>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1.85</w:t>
            </w:r>
          </w:p>
        </w:tc>
        <w:tc>
          <w:tcPr>
            <w:tcW w:w="723" w:type="pct"/>
            <w:tcBorders>
              <w:top w:val="nil"/>
              <w:left w:val="nil"/>
              <w:bottom w:val="nil"/>
              <w:right w:val="nil"/>
            </w:tcBorders>
            <w:shd w:val="clear" w:color="auto" w:fill="C6D9F1"/>
            <w:noWrap/>
            <w:vAlign w:val="center"/>
            <w:hideMark/>
          </w:tcPr>
          <w:p w:rsidR="007E080B" w:rsidRPr="003A16A2" w:rsidRDefault="007E080B" w:rsidP="00A27AD3">
            <w:pPr>
              <w:widowControl w:val="0"/>
              <w:spacing w:before="40" w:after="40" w:line="240" w:lineRule="auto"/>
              <w:jc w:val="center"/>
              <w:rPr>
                <w:rFonts w:ascii="Arial" w:hAnsi="Arial" w:cs="Arial"/>
                <w:color w:val="000000"/>
                <w:sz w:val="20"/>
                <w:szCs w:val="20"/>
              </w:rPr>
            </w:pPr>
            <w:r w:rsidRPr="003A16A2">
              <w:rPr>
                <w:rFonts w:ascii="Arial" w:hAnsi="Arial" w:cs="Arial"/>
                <w:color w:val="000000"/>
                <w:sz w:val="20"/>
                <w:szCs w:val="20"/>
              </w:rPr>
              <w:t>0.50</w:t>
            </w:r>
          </w:p>
        </w:tc>
      </w:tr>
    </w:tbl>
    <w:p w:rsidR="007E080B" w:rsidRPr="00E35E95" w:rsidRDefault="007E080B" w:rsidP="007E080B">
      <w:pPr>
        <w:pStyle w:val="CAROLFONTE"/>
      </w:pPr>
      <w:r w:rsidRPr="00E35E95">
        <w:t>Fonte: Adaptado de Leal</w:t>
      </w:r>
      <w:r>
        <w:t xml:space="preserve"> e Feijó</w:t>
      </w:r>
      <w:r w:rsidRPr="00E35E95">
        <w:t>,</w:t>
      </w:r>
      <w:r>
        <w:t xml:space="preserve"> 2010, p.17</w:t>
      </w:r>
    </w:p>
    <w:p w:rsidR="007E080B" w:rsidRDefault="007E080B" w:rsidP="007E080B">
      <w:pPr>
        <w:pStyle w:val="CAROLTEXTOS"/>
      </w:pPr>
    </w:p>
    <w:p w:rsidR="007E080B" w:rsidRPr="00CE7682" w:rsidRDefault="007E080B" w:rsidP="007E080B">
      <w:pPr>
        <w:pStyle w:val="CAROLTEXTOS"/>
      </w:pPr>
      <w:r>
        <w:t>Conforme visto anteriormente, na equação (4), pode-se concluir que no período de 2000 a 2004, com valores de eficácia menor que um, observou-se  a ineficácia da política monetária, indicando que as autoridades monetárias não chegaram a seus objetivos propostos.</w:t>
      </w:r>
      <w:r>
        <w:rPr>
          <w:rStyle w:val="Refdenotaderodap"/>
        </w:rPr>
        <w:footnoteReference w:id="15"/>
      </w:r>
      <w:r>
        <w:t xml:space="preserve"> Porém, à partir do ano de 2005 , observa-se valores de eficácia maiores que um, indicando que a política monetária foi considerada mais que eficaz. Ademais, observa-se que o ano de 2002 , apresentou-se como o mais ineficaz (0,31), enquanto o ano de 2013 pode ser visto como o mais eficaz do período estudado (1,85). Conforme visto no Gráfico seis abaixo, pode-se verificar a evolução da eficácia ao longo do período estudado, tendo como limite entre eficácia e ineficácia o valor constante igual um.</w:t>
      </w:r>
    </w:p>
    <w:p w:rsidR="007E080B" w:rsidRDefault="007E080B" w:rsidP="007E080B">
      <w:pPr>
        <w:pStyle w:val="CAROLTTULO3"/>
      </w:pPr>
      <w:bookmarkStart w:id="38" w:name="_Toc388302226"/>
      <w:bookmarkStart w:id="39" w:name="_Toc388306385"/>
      <w:bookmarkStart w:id="40" w:name="_Toc388306476"/>
      <w:bookmarkStart w:id="41" w:name="_Toc388447491"/>
      <w:r w:rsidRPr="008D061E">
        <w:rPr>
          <w:i w:val="0"/>
        </w:rPr>
        <w:t>4.1.1</w:t>
      </w:r>
      <w:r w:rsidRPr="002A4ABB">
        <w:t xml:space="preserve"> A variação da eficácia</w:t>
      </w:r>
      <w:bookmarkEnd w:id="38"/>
      <w:bookmarkEnd w:id="39"/>
      <w:bookmarkEnd w:id="40"/>
      <w:bookmarkEnd w:id="41"/>
    </w:p>
    <w:p w:rsidR="007E080B" w:rsidRDefault="007E080B" w:rsidP="00ED526C">
      <w:pPr>
        <w:pStyle w:val="CAROLTEXTOS"/>
      </w:pPr>
      <w:r>
        <w:t xml:space="preserve">Porém, o nível de eficácia não é o único valor a ser observado e, portanto, torna-se importante verificar a variação da variável ao longo dos anos. Desta forma, observa-se que os anos de 2001, 2002, 2007, 2008 e 2011 </w:t>
      </w:r>
      <w:r>
        <w:lastRenderedPageBreak/>
        <w:t xml:space="preserve">apresentaram variações negativas do nível de eficácia, indicando , assim , que a política monetária em tais anos foi inferior ao ano anterior, indicando uma piora em sua condução, sendo  o ano de 2011 o que apresentou a maior variação negativa da Eficácia da política. Além disso, pode-se verificar que os anos de 2003 a 2006, 2009, 2010, 2012 e 2013 apresentaram variações positivas no nível de eficácia, indicando a melhoria da  condução da política, caso comparada com o ano anterior , sendo 2013 o ano que apresentou a maior variação positiva. </w:t>
      </w:r>
    </w:p>
    <w:p w:rsidR="007E080B" w:rsidRPr="00ED526C" w:rsidRDefault="007E080B" w:rsidP="00ED526C">
      <w:pPr>
        <w:pStyle w:val="CAROLTEXTOS"/>
      </w:pPr>
      <w:r w:rsidRPr="00ED526C">
        <w:t>Conforme os valores indicam, é possível perceber que a eficácia da política monetária apresenta uma grande variabilidade ao longo do tempo. Além disso, pode-se afirmar que a variabilidade de um ano, dependerá do ano anterior, de forma que em determinados momentos, observou-se mudanças no nível de melhora ou piora, conforme houvesse uma troca de governo</w:t>
      </w:r>
      <w:r w:rsidRPr="00ED526C">
        <w:rPr>
          <w:rStyle w:val="Refdenotaderodap"/>
        </w:rPr>
        <w:footnoteReference w:id="16"/>
      </w:r>
      <w:r w:rsidRPr="00ED526C">
        <w:t>.Neste caso, percebe-se que a mudança do governo de Fernando Henrique Cardoso para o governo Lula, em 2003, trouxe consigo uma forte melhora da condução da política monetária</w:t>
      </w:r>
      <w:r w:rsidRPr="00ED526C">
        <w:rPr>
          <w:rStyle w:val="Refdenotaderodap"/>
        </w:rPr>
        <w:footnoteReference w:id="17"/>
      </w:r>
      <w:r w:rsidRPr="00ED526C">
        <w:t>, apresentada pela variação positiva de 0,15 da eficácia em tal ano, enquanto na transição do Governo Lula para o Governo Dilma, em 2011, apresentou o caminho oposto apresentando uma  variação negativa de 0,41 da eficácia, caso comparado com o último ano de mandato de Lula (2010).</w:t>
      </w:r>
    </w:p>
    <w:p w:rsidR="007E080B" w:rsidRDefault="007E080B" w:rsidP="007E080B">
      <w:pPr>
        <w:pStyle w:val="CAROLTTULO2"/>
      </w:pPr>
      <w:bookmarkStart w:id="42" w:name="_Toc388302227"/>
      <w:bookmarkStart w:id="43" w:name="_Toc388306386"/>
      <w:bookmarkStart w:id="44" w:name="_Toc388306477"/>
      <w:bookmarkStart w:id="45" w:name="_Toc388447492"/>
      <w:r w:rsidRPr="002A4ABB">
        <w:t>4.2 Eficiência</w:t>
      </w:r>
      <w:bookmarkEnd w:id="42"/>
      <w:bookmarkEnd w:id="43"/>
      <w:bookmarkEnd w:id="44"/>
      <w:bookmarkEnd w:id="45"/>
    </w:p>
    <w:p w:rsidR="007E080B" w:rsidRDefault="007E080B" w:rsidP="007E080B">
      <w:pPr>
        <w:pStyle w:val="CAROLTEXTOS"/>
      </w:pPr>
      <w:r>
        <w:t xml:space="preserve">Após ter-se verificado o nível de eficácia e estimado os valores de PIB potencial e desemprego natural (NAIRU), torna-se possível verificar o nível de eficiência da política monetária brasileira para o período de 2000 a 2013. </w:t>
      </w:r>
    </w:p>
    <w:p w:rsidR="007E080B" w:rsidRDefault="007E080B" w:rsidP="007E080B">
      <w:pPr>
        <w:pStyle w:val="CAROLTEXTOS"/>
      </w:pPr>
      <w:r>
        <w:t>Conforme explicitado, através da equação 5, pode-se afirmar que a medida de eficiência será composta pelo nível de eficácia e o produto das razões entre PIB potencial e efetivo e desemprego natural e efetivo. Desta forma, pode-se dizer que esta medida visa, avaliar se a política monetária conseguiu atingir seu objetivo apresentando os menores custos possíveis.</w:t>
      </w:r>
    </w:p>
    <w:p w:rsidR="007E080B" w:rsidRDefault="007E080B" w:rsidP="007E080B">
      <w:pPr>
        <w:spacing w:line="360" w:lineRule="auto"/>
        <w:ind w:firstLine="708"/>
        <w:jc w:val="both"/>
        <w:rPr>
          <w:rFonts w:ascii="Arial" w:hAnsi="Arial" w:cs="Arial"/>
          <w:sz w:val="24"/>
          <w:szCs w:val="24"/>
        </w:rPr>
      </w:pPr>
      <w:r>
        <w:rPr>
          <w:rFonts w:ascii="Arial" w:hAnsi="Arial" w:cs="Arial"/>
          <w:sz w:val="24"/>
          <w:szCs w:val="24"/>
        </w:rPr>
        <w:t>Logo, à partir da tabela 5 , verifica-se os valores da eficiência para cada ano de estudo:</w:t>
      </w:r>
    </w:p>
    <w:p w:rsidR="007E080B" w:rsidRPr="00DA6FB3" w:rsidRDefault="007E080B" w:rsidP="007E080B">
      <w:pPr>
        <w:pStyle w:val="CAROLTABELAS"/>
        <w:spacing w:before="0"/>
        <w:ind w:left="0"/>
      </w:pPr>
      <w:bookmarkStart w:id="46" w:name="_Toc388447195"/>
      <w:r w:rsidRPr="00913F57">
        <w:lastRenderedPageBreak/>
        <w:t>Tabela</w:t>
      </w:r>
      <w:r w:rsidRPr="00DA6FB3">
        <w:t xml:space="preserve"> </w:t>
      </w:r>
      <w:r w:rsidR="008167E4">
        <w:t>3</w:t>
      </w:r>
      <w:r w:rsidRPr="00DA6FB3">
        <w:t xml:space="preserve"> - Eficiência da Política Monetária</w:t>
      </w:r>
      <w:bookmarkEnd w:id="46"/>
    </w:p>
    <w:tbl>
      <w:tblPr>
        <w:tblW w:w="8908" w:type="dxa"/>
        <w:jc w:val="center"/>
        <w:tblInd w:w="356" w:type="dxa"/>
        <w:tblLayout w:type="fixed"/>
        <w:tblCellMar>
          <w:left w:w="70" w:type="dxa"/>
          <w:right w:w="70" w:type="dxa"/>
        </w:tblCellMar>
        <w:tblLook w:val="04A0"/>
      </w:tblPr>
      <w:tblGrid>
        <w:gridCol w:w="809"/>
        <w:gridCol w:w="810"/>
        <w:gridCol w:w="810"/>
        <w:gridCol w:w="810"/>
        <w:gridCol w:w="810"/>
        <w:gridCol w:w="809"/>
        <w:gridCol w:w="810"/>
        <w:gridCol w:w="810"/>
        <w:gridCol w:w="810"/>
        <w:gridCol w:w="810"/>
        <w:gridCol w:w="810"/>
      </w:tblGrid>
      <w:tr w:rsidR="007E080B" w:rsidRPr="00913F57" w:rsidTr="00A27AD3">
        <w:trPr>
          <w:cantSplit/>
          <w:trHeight w:val="2089"/>
          <w:jc w:val="center"/>
        </w:trPr>
        <w:tc>
          <w:tcPr>
            <w:tcW w:w="809" w:type="dxa"/>
            <w:tcBorders>
              <w:top w:val="single" w:sz="4" w:space="0" w:color="auto"/>
              <w:left w:val="nil"/>
              <w:bottom w:val="single" w:sz="4" w:space="0" w:color="auto"/>
              <w:right w:val="single" w:sz="4" w:space="0" w:color="auto"/>
            </w:tcBorders>
            <w:shd w:val="clear" w:color="auto" w:fill="8DB3E2"/>
            <w:noWrap/>
            <w:textDirection w:val="btLr"/>
            <w:vAlign w:val="center"/>
            <w:hideMark/>
          </w:tcPr>
          <w:p w:rsidR="007E080B" w:rsidRPr="00913F57" w:rsidRDefault="007E080B" w:rsidP="00A27AD3">
            <w:pPr>
              <w:spacing w:after="0" w:line="240" w:lineRule="auto"/>
              <w:jc w:val="center"/>
              <w:rPr>
                <w:rFonts w:ascii="Arial" w:hAnsi="Arial" w:cs="Arial"/>
                <w:b/>
                <w:color w:val="000000"/>
                <w:sz w:val="20"/>
                <w:szCs w:val="20"/>
              </w:rPr>
            </w:pPr>
            <w:r w:rsidRPr="00913F57">
              <w:rPr>
                <w:rFonts w:ascii="Arial" w:hAnsi="Arial" w:cs="Arial"/>
                <w:b/>
                <w:color w:val="000000"/>
                <w:sz w:val="20"/>
                <w:szCs w:val="20"/>
              </w:rPr>
              <w:t>Ano</w:t>
            </w:r>
          </w:p>
        </w:tc>
        <w:tc>
          <w:tcPr>
            <w:tcW w:w="810" w:type="dxa"/>
            <w:tcBorders>
              <w:top w:val="single" w:sz="4" w:space="0" w:color="auto"/>
              <w:left w:val="single" w:sz="4" w:space="0" w:color="auto"/>
              <w:bottom w:val="single" w:sz="4" w:space="0" w:color="auto"/>
              <w:right w:val="single" w:sz="4" w:space="0" w:color="auto"/>
            </w:tcBorders>
            <w:shd w:val="clear" w:color="auto" w:fill="8DB3E2"/>
            <w:textDirection w:val="btLr"/>
            <w:vAlign w:val="center"/>
            <w:hideMark/>
          </w:tcPr>
          <w:p w:rsidR="007E080B" w:rsidRPr="00913F57" w:rsidRDefault="007E080B" w:rsidP="00A27AD3">
            <w:pPr>
              <w:spacing w:after="0" w:line="240" w:lineRule="auto"/>
              <w:jc w:val="center"/>
              <w:rPr>
                <w:rFonts w:ascii="Arial" w:hAnsi="Arial" w:cs="Arial"/>
                <w:b/>
                <w:color w:val="000000"/>
                <w:sz w:val="20"/>
                <w:szCs w:val="20"/>
              </w:rPr>
            </w:pPr>
            <w:r w:rsidRPr="00913F57">
              <w:rPr>
                <w:rFonts w:ascii="Arial" w:hAnsi="Arial" w:cs="Arial"/>
                <w:b/>
                <w:color w:val="000000"/>
                <w:sz w:val="20"/>
                <w:szCs w:val="20"/>
              </w:rPr>
              <w:t>Produto efetivo (</w:t>
            </w:r>
            <w:r w:rsidRPr="00913F57">
              <w:rPr>
                <w:rFonts w:ascii="Arial" w:hAnsi="Arial" w:cs="Arial"/>
                <w:b/>
                <w:color w:val="000000"/>
                <w:sz w:val="20"/>
                <w:szCs w:val="20"/>
              </w:rPr>
              <w:fldChar w:fldCharType="begin"/>
            </w:r>
            <w:r w:rsidRPr="00913F57">
              <w:rPr>
                <w:rFonts w:ascii="Arial" w:hAnsi="Arial" w:cs="Arial"/>
                <w:b/>
                <w:color w:val="000000"/>
                <w:sz w:val="20"/>
                <w:szCs w:val="20"/>
              </w:rPr>
              <w:instrText xml:space="preserve"> QUOTE </w:instrText>
            </w:r>
            <m:oMath>
              <m:r>
                <w:rPr>
                  <w:rFonts w:ascii="Cambria Math" w:hAnsi="Cambria Math"/>
                  <w:color w:val="000000"/>
                </w:rPr>
                <m:t>y</m:t>
              </m:r>
            </m:oMath>
            <w:r w:rsidRPr="00913F57">
              <w:rPr>
                <w:rFonts w:ascii="Arial" w:hAnsi="Arial" w:cs="Arial"/>
                <w:b/>
                <w:color w:val="000000"/>
                <w:sz w:val="20"/>
                <w:szCs w:val="20"/>
              </w:rPr>
              <w:instrText xml:space="preserve"> </w:instrText>
            </w:r>
            <w:r w:rsidRPr="00913F57">
              <w:rPr>
                <w:rFonts w:ascii="Arial" w:hAnsi="Arial" w:cs="Arial"/>
                <w:b/>
                <w:color w:val="000000"/>
                <w:sz w:val="20"/>
                <w:szCs w:val="20"/>
              </w:rPr>
              <w:fldChar w:fldCharType="separate"/>
            </w:r>
            <w:r w:rsidRPr="00913F57">
              <w:rPr>
                <w:rFonts w:ascii="Arial" w:hAnsi="Arial" w:cs="Arial"/>
                <w:b/>
                <w:noProof/>
                <w:sz w:val="20"/>
                <w:szCs w:val="20"/>
              </w:rPr>
            </w:r>
            <w:r w:rsidRPr="00913F57">
              <w:rPr>
                <w:rFonts w:ascii="Arial" w:hAnsi="Arial" w:cs="Arial"/>
                <w:b/>
                <w:color w:val="000000"/>
                <w:sz w:val="20"/>
                <w:szCs w:val="20"/>
              </w:rPr>
              <w:pict>
                <v:shape id="_x0000_s1028" type="#_x0000_t75" style="width:15pt;height:6pt;mso-position-horizontal-relative:char;mso-position-vertical-relative:line"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6&quot;/&gt;&lt;w:bordersDontSurroundHeader/&gt;&lt;w:bordersDontSurroundFooter/&gt;&lt;w:defaultTabStop w:val=&quot;720&quot;/&gt;&lt;w:hyphenationZone w:val=&quot;425&quot;/&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compat&gt;&lt;wsp:rsids&gt;&lt;wsp:rsidRoot wsp:val=&quot;00ED04BD&quot;/&gt;&lt;wsp:rsid wsp:val=&quot;00012B02&quot;/&gt;&lt;wsp:rsid wsp:val=&quot;0001609C&quot;/&gt;&lt;wsp:rsid wsp:val=&quot;0008634F&quot;/&gt;&lt;wsp:rsid wsp:val=&quot;00091089&quot;/&gt;&lt;wsp:rsid wsp:val=&quot;000A620B&quot;/&gt;&lt;wsp:rsid wsp:val=&quot;000E37F2&quot;/&gt;&lt;wsp:rsid wsp:val=&quot;000F47BA&quot;/&gt;&lt;wsp:rsid wsp:val=&quot;00123978&quot;/&gt;&lt;wsp:rsid wsp:val=&quot;00124A2F&quot;/&gt;&lt;wsp:rsid wsp:val=&quot;00127BA8&quot;/&gt;&lt;wsp:rsid wsp:val=&quot;00132717&quot;/&gt;&lt;wsp:rsid wsp:val=&quot;00163560&quot;/&gt;&lt;wsp:rsid wsp:val=&quot;001675AE&quot;/&gt;&lt;wsp:rsid wsp:val=&quot;001827F5&quot;/&gt;&lt;wsp:rsid wsp:val=&quot;00192752&quot;/&gt;&lt;wsp:rsid wsp:val=&quot;001A5AB1&quot;/&gt;&lt;wsp:rsid wsp:val=&quot;001B05E0&quot;/&gt;&lt;wsp:rsid wsp:val=&quot;001C36C0&quot;/&gt;&lt;wsp:rsid wsp:val=&quot;001D2242&quot;/&gt;&lt;wsp:rsid wsp:val=&quot;00232D0A&quot;/&gt;&lt;wsp:rsid wsp:val=&quot;00241DA0&quot;/&gt;&lt;wsp:rsid wsp:val=&quot;00251765&quot;/&gt;&lt;wsp:rsid wsp:val=&quot;002558C5&quot;/&gt;&lt;wsp:rsid wsp:val=&quot;00262448&quot;/&gt;&lt;wsp:rsid wsp:val=&quot;002B296D&quot;/&gt;&lt;wsp:rsid wsp:val=&quot;002E155F&quot;/&gt;&lt;wsp:rsid wsp:val=&quot;002E5647&quot;/&gt;&lt;wsp:rsid wsp:val=&quot;00300BD2&quot;/&gt;&lt;wsp:rsid wsp:val=&quot;003016D3&quot;/&gt;&lt;wsp:rsid wsp:val=&quot;00372ECE&quot;/&gt;&lt;wsp:rsid wsp:val=&quot;00376226&quot;/&gt;&lt;wsp:rsid wsp:val=&quot;00387C6E&quot;/&gt;&lt;wsp:rsid wsp:val=&quot;003A4374&quot;/&gt;&lt;wsp:rsid wsp:val=&quot;003C3B43&quot;/&gt;&lt;wsp:rsid wsp:val=&quot;003C4138&quot;/&gt;&lt;wsp:rsid wsp:val=&quot;00427482&quot;/&gt;&lt;wsp:rsid wsp:val=&quot;0043070D&quot;/&gt;&lt;wsp:rsid wsp:val=&quot;00441D2E&quot;/&gt;&lt;wsp:rsid wsp:val=&quot;0049583B&quot;/&gt;&lt;wsp:rsid wsp:val=&quot;004972F9&quot;/&gt;&lt;wsp:rsid wsp:val=&quot;004B016D&quot;/&gt;&lt;wsp:rsid wsp:val=&quot;004C3262&quot;/&gt;&lt;wsp:rsid wsp:val=&quot;004E174E&quot;/&gt;&lt;wsp:rsid wsp:val=&quot;00503CD3&quot;/&gt;&lt;wsp:rsid wsp:val=&quot;005160BD&quot;/&gt;&lt;wsp:rsid wsp:val=&quot;005343BC&quot;/&gt;&lt;wsp:rsid wsp:val=&quot;00580595&quot;/&gt;&lt;wsp:rsid wsp:val=&quot;006002E2&quot;/&gt;&lt;wsp:rsid wsp:val=&quot;00622E11&quot;/&gt;&lt;wsp:rsid wsp:val=&quot;00650DB5&quot;/&gt;&lt;wsp:rsid wsp:val=&quot;006A1B95&quot;/&gt;&lt;wsp:rsid wsp:val=&quot;006A30A8&quot;/&gt;&lt;wsp:rsid wsp:val=&quot;006C3861&quot;/&gt;&lt;wsp:rsid wsp:val=&quot;006F2A0F&quot;/&gt;&lt;wsp:rsid wsp:val=&quot;006F69CD&quot;/&gt;&lt;wsp:rsid wsp:val=&quot;00743400&quot;/&gt;&lt;wsp:rsid wsp:val=&quot;00757767&quot;/&gt;&lt;wsp:rsid wsp:val=&quot;007B5C0E&quot;/&gt;&lt;wsp:rsid wsp:val=&quot;007F6E1F&quot;/&gt;&lt;wsp:rsid wsp:val=&quot;008043FA&quot;/&gt;&lt;wsp:rsid wsp:val=&quot;00811E1E&quot;/&gt;&lt;wsp:rsid wsp:val=&quot;00826D7B&quot;/&gt;&lt;wsp:rsid wsp:val=&quot;00833307&quot;/&gt;&lt;wsp:rsid wsp:val=&quot;00845AD7&quot;/&gt;&lt;wsp:rsid wsp:val=&quot;00850C00&quot;/&gt;&lt;wsp:rsid wsp:val=&quot;008572F7&quot;/&gt;&lt;wsp:rsid wsp:val=&quot;008613ED&quot;/&gt;&lt;wsp:rsid wsp:val=&quot;00865130&quot;/&gt;&lt;wsp:rsid wsp:val=&quot;008B36A1&quot;/&gt;&lt;wsp:rsid wsp:val=&quot;008D2ECA&quot;/&gt;&lt;wsp:rsid wsp:val=&quot;008E3FBE&quot;/&gt;&lt;wsp:rsid wsp:val=&quot;00955108&quot;/&gt;&lt;wsp:rsid wsp:val=&quot;009A40AA&quot;/&gt;&lt;wsp:rsid wsp:val=&quot;009B26D7&quot;/&gt;&lt;wsp:rsid wsp:val=&quot;00A21233&quot;/&gt;&lt;wsp:rsid wsp:val=&quot;00A50F18&quot;/&gt;&lt;wsp:rsid wsp:val=&quot;00A862F8&quot;/&gt;&lt;wsp:rsid wsp:val=&quot;00A86A69&quot;/&gt;&lt;wsp:rsid wsp:val=&quot;00AE2A21&quot;/&gt;&lt;wsp:rsid wsp:val=&quot;00B25DD3&quot;/&gt;&lt;wsp:rsid wsp:val=&quot;00B268B7&quot;/&gt;&lt;wsp:rsid wsp:val=&quot;00B4253D&quot;/&gt;&lt;wsp:rsid wsp:val=&quot;00B52EC2&quot;/&gt;&lt;wsp:rsid wsp:val=&quot;00B702C2&quot;/&gt;&lt;wsp:rsid wsp:val=&quot;00B7162E&quot;/&gt;&lt;wsp:rsid wsp:val=&quot;00B87744&quot;/&gt;&lt;wsp:rsid wsp:val=&quot;00B9047D&quot;/&gt;&lt;wsp:rsid wsp:val=&quot;00B925CA&quot;/&gt;&lt;wsp:rsid wsp:val=&quot;00BA0177&quot;/&gt;&lt;wsp:rsid wsp:val=&quot;00BE14F8&quot;/&gt;&lt;wsp:rsid wsp:val=&quot;00BE3AC0&quot;/&gt;&lt;wsp:rsid wsp:val=&quot;00BF6383&quot;/&gt;&lt;wsp:rsid wsp:val=&quot;00BF7FED&quot;/&gt;&lt;wsp:rsid wsp:val=&quot;00C30B78&quot;/&gt;&lt;wsp:rsid wsp:val=&quot;00C61D19&quot;/&gt;&lt;wsp:rsid wsp:val=&quot;00C67A52&quot;/&gt;&lt;wsp:rsid wsp:val=&quot;00C71EAE&quot;/&gt;&lt;wsp:rsid wsp:val=&quot;00C72E6C&quot;/&gt;&lt;wsp:rsid wsp:val=&quot;00CB10D6&quot;/&gt;&lt;wsp:rsid wsp:val=&quot;00CE0A4A&quot;/&gt;&lt;wsp:rsid wsp:val=&quot;00CF5550&quot;/&gt;&lt;wsp:rsid wsp:val=&quot;00D1757D&quot;/&gt;&lt;wsp:rsid wsp:val=&quot;00D27156&quot;/&gt;&lt;wsp:rsid wsp:val=&quot;00D555FE&quot;/&gt;&lt;wsp:rsid wsp:val=&quot;00D60E79&quot;/&gt;&lt;wsp:rsid wsp:val=&quot;00D72E7E&quot;/&gt;&lt;wsp:rsid wsp:val=&quot;00D75B64&quot;/&gt;&lt;wsp:rsid wsp:val=&quot;00DA5D07&quot;/&gt;&lt;wsp:rsid wsp:val=&quot;00DC45D5&quot;/&gt;&lt;wsp:rsid wsp:val=&quot;00DD2A5E&quot;/&gt;&lt;wsp:rsid wsp:val=&quot;00DE4367&quot;/&gt;&lt;wsp:rsid wsp:val=&quot;00DE4906&quot;/&gt;&lt;wsp:rsid wsp:val=&quot;00E03FCE&quot;/&gt;&lt;wsp:rsid wsp:val=&quot;00E52699&quot;/&gt;&lt;wsp:rsid wsp:val=&quot;00E53E86&quot;/&gt;&lt;wsp:rsid wsp:val=&quot;00E8663A&quot;/&gt;&lt;wsp:rsid wsp:val=&quot;00E933F0&quot;/&gt;&lt;wsp:rsid wsp:val=&quot;00ED04BD&quot;/&gt;&lt;wsp:rsid wsp:val=&quot;00EE1D05&quot;/&gt;&lt;wsp:rsid wsp:val=&quot;00EF5807&quot;/&gt;&lt;wsp:rsid wsp:val=&quot;00F03A15&quot;/&gt;&lt;wsp:rsid wsp:val=&quot;00F3414D&quot;/&gt;&lt;wsp:rsid wsp:val=&quot;00F45DE8&quot;/&gt;&lt;wsp:rsid wsp:val=&quot;00F46678&quot;/&gt;&lt;wsp:rsid wsp:val=&quot;00F56D68&quot;/&gt;&lt;wsp:rsid wsp:val=&quot;00F60502&quot;/&gt;&lt;wsp:rsid wsp:val=&quot;00F71649&quot;/&gt;&lt;wsp:rsid wsp:val=&quot;00F8055A&quot;/&gt;&lt;wsp:rsid wsp:val=&quot;00FC441D&quot;/&gt;&lt;wsp:rsid wsp:val=&quot;00FE59E4&quot;/&gt;&lt;/wsp:rsids&gt;&lt;/w:docPr&gt;&lt;w:body&gt;&lt;w:p wsp:rsidR=&quot;00000000&quot; wsp:rsidRDefault=&quot;00300BD2&quot;&gt;&lt;m:oMathPara&gt;&lt;m:oMath&gt;&lt;m:r&gt;&lt;w:rPr&gt;&lt;w:rFonts w:ascii=&quot;Cambria Math&quot; w:h-ansi=&quot;Cambria Math&quot;/&gt;&lt;wx:font wx:val=&quot;Cambria Math&quot;/&gt;&lt;w:i/&gt;&lt;w:color w:val=&quot;000000&quot;/&gt;&lt;/w:rPr&gt;&lt;m:t&gt;y&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 o:title="" chromakey="white"/>
                  <w10:wrap type="none"/>
                  <w10:anchorlock/>
                </v:shape>
              </w:pict>
            </w:r>
            <w:r w:rsidRPr="00913F57">
              <w:rPr>
                <w:rFonts w:ascii="Arial" w:hAnsi="Arial" w:cs="Arial"/>
                <w:b/>
                <w:color w:val="000000"/>
                <w:sz w:val="20"/>
                <w:szCs w:val="20"/>
              </w:rPr>
              <w:fldChar w:fldCharType="end"/>
            </w:r>
            <w:r w:rsidRPr="00913F57">
              <w:rPr>
                <w:rFonts w:ascii="Arial" w:hAnsi="Arial" w:cs="Arial"/>
                <w:b/>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8DB3E2"/>
            <w:textDirection w:val="btLr"/>
            <w:vAlign w:val="center"/>
            <w:hideMark/>
          </w:tcPr>
          <w:p w:rsidR="007E080B" w:rsidRPr="00913F57" w:rsidRDefault="007E080B" w:rsidP="00A27AD3">
            <w:pPr>
              <w:spacing w:after="0" w:line="240" w:lineRule="auto"/>
              <w:jc w:val="center"/>
              <w:rPr>
                <w:rFonts w:ascii="Arial" w:hAnsi="Arial" w:cs="Arial"/>
                <w:b/>
                <w:color w:val="000000"/>
                <w:sz w:val="20"/>
                <w:szCs w:val="20"/>
              </w:rPr>
            </w:pPr>
            <w:r w:rsidRPr="00913F57">
              <w:rPr>
                <w:rFonts w:ascii="Arial" w:hAnsi="Arial" w:cs="Arial"/>
                <w:b/>
                <w:color w:val="000000"/>
                <w:sz w:val="20"/>
                <w:szCs w:val="20"/>
              </w:rPr>
              <w:t>Produto programado (</w:t>
            </w:r>
            <w:r w:rsidRPr="00913F57">
              <w:rPr>
                <w:rFonts w:ascii="Arial" w:hAnsi="Arial" w:cs="Arial"/>
                <w:b/>
                <w:color w:val="000000"/>
                <w:sz w:val="20"/>
                <w:szCs w:val="20"/>
              </w:rPr>
              <w:fldChar w:fldCharType="begin"/>
            </w:r>
            <w:r w:rsidRPr="00913F57">
              <w:rPr>
                <w:rFonts w:ascii="Arial" w:hAnsi="Arial" w:cs="Arial"/>
                <w:b/>
                <w:color w:val="000000"/>
                <w:sz w:val="20"/>
                <w:szCs w:val="20"/>
              </w:rPr>
              <w:instrText xml:space="preserve"> QUOTE </w:instrText>
            </w:r>
            <m:oMath>
              <m:r>
                <w:rPr>
                  <w:rFonts w:ascii="Cambria Math" w:hAnsi="Cambria Math"/>
                  <w:color w:val="000000"/>
                </w:rPr>
                <m:t>yp</m:t>
              </m:r>
            </m:oMath>
            <w:r w:rsidRPr="00913F57">
              <w:rPr>
                <w:rFonts w:ascii="Arial" w:hAnsi="Arial" w:cs="Arial"/>
                <w:b/>
                <w:color w:val="000000"/>
                <w:sz w:val="20"/>
                <w:szCs w:val="20"/>
              </w:rPr>
              <w:instrText xml:space="preserve"> </w:instrText>
            </w:r>
            <w:r w:rsidRPr="00913F57">
              <w:rPr>
                <w:rFonts w:ascii="Arial" w:hAnsi="Arial" w:cs="Arial"/>
                <w:b/>
                <w:color w:val="000000"/>
                <w:sz w:val="20"/>
                <w:szCs w:val="20"/>
              </w:rPr>
              <w:fldChar w:fldCharType="separate"/>
            </w:r>
            <w:r w:rsidRPr="00913F57">
              <w:rPr>
                <w:rFonts w:ascii="Arial" w:hAnsi="Arial" w:cs="Arial"/>
                <w:b/>
                <w:noProof/>
                <w:sz w:val="20"/>
                <w:szCs w:val="20"/>
              </w:rPr>
            </w:r>
            <w:r w:rsidRPr="00913F57">
              <w:rPr>
                <w:rFonts w:ascii="Arial" w:hAnsi="Arial" w:cs="Arial"/>
                <w:b/>
                <w:color w:val="000000"/>
                <w:sz w:val="20"/>
                <w:szCs w:val="20"/>
              </w:rPr>
              <w:pict>
                <v:shape id="_x0000_s1029" type="#_x0000_t75" style="width:15pt;height:12.75pt;mso-position-horizontal-relative:char;mso-position-vertical-relative:line"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6&quot;/&gt;&lt;w:bordersDontSurroundHeader/&gt;&lt;w:bordersDontSurroundFooter/&gt;&lt;w:defaultTabStop w:val=&quot;720&quot;/&gt;&lt;w:hyphenationZone w:val=&quot;425&quot;/&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compat&gt;&lt;wsp:rsids&gt;&lt;wsp:rsidRoot wsp:val=&quot;00ED04BD&quot;/&gt;&lt;wsp:rsid wsp:val=&quot;00012B02&quot;/&gt;&lt;wsp:rsid wsp:val=&quot;0001609C&quot;/&gt;&lt;wsp:rsid wsp:val=&quot;0008634F&quot;/&gt;&lt;wsp:rsid wsp:val=&quot;00091089&quot;/&gt;&lt;wsp:rsid wsp:val=&quot;000A620B&quot;/&gt;&lt;wsp:rsid wsp:val=&quot;000E37F2&quot;/&gt;&lt;wsp:rsid wsp:val=&quot;000F47BA&quot;/&gt;&lt;wsp:rsid wsp:val=&quot;00123978&quot;/&gt;&lt;wsp:rsid wsp:val=&quot;00124A2F&quot;/&gt;&lt;wsp:rsid wsp:val=&quot;00127BA8&quot;/&gt;&lt;wsp:rsid wsp:val=&quot;00132717&quot;/&gt;&lt;wsp:rsid wsp:val=&quot;00163560&quot;/&gt;&lt;wsp:rsid wsp:val=&quot;001675AE&quot;/&gt;&lt;wsp:rsid wsp:val=&quot;001827F5&quot;/&gt;&lt;wsp:rsid wsp:val=&quot;00192752&quot;/&gt;&lt;wsp:rsid wsp:val=&quot;001A5AB1&quot;/&gt;&lt;wsp:rsid wsp:val=&quot;001B05E0&quot;/&gt;&lt;wsp:rsid wsp:val=&quot;001C36C0&quot;/&gt;&lt;wsp:rsid wsp:val=&quot;001D2242&quot;/&gt;&lt;wsp:rsid wsp:val=&quot;00232D0A&quot;/&gt;&lt;wsp:rsid wsp:val=&quot;00241DA0&quot;/&gt;&lt;wsp:rsid wsp:val=&quot;00251765&quot;/&gt;&lt;wsp:rsid wsp:val=&quot;002558C5&quot;/&gt;&lt;wsp:rsid wsp:val=&quot;00262448&quot;/&gt;&lt;wsp:rsid wsp:val=&quot;002B296D&quot;/&gt;&lt;wsp:rsid wsp:val=&quot;002E155F&quot;/&gt;&lt;wsp:rsid wsp:val=&quot;002E5647&quot;/&gt;&lt;wsp:rsid wsp:val=&quot;003016D3&quot;/&gt;&lt;wsp:rsid wsp:val=&quot;00372ECE&quot;/&gt;&lt;wsp:rsid wsp:val=&quot;00376226&quot;/&gt;&lt;wsp:rsid wsp:val=&quot;00387C6E&quot;/&gt;&lt;wsp:rsid wsp:val=&quot;003A4374&quot;/&gt;&lt;wsp:rsid wsp:val=&quot;003C3B43&quot;/&gt;&lt;wsp:rsid wsp:val=&quot;003C4138&quot;/&gt;&lt;wsp:rsid wsp:val=&quot;00427482&quot;/&gt;&lt;wsp:rsid wsp:val=&quot;0043070D&quot;/&gt;&lt;wsp:rsid wsp:val=&quot;00441D2E&quot;/&gt;&lt;wsp:rsid wsp:val=&quot;0049583B&quot;/&gt;&lt;wsp:rsid wsp:val=&quot;004972F9&quot;/&gt;&lt;wsp:rsid wsp:val=&quot;004B016D&quot;/&gt;&lt;wsp:rsid wsp:val=&quot;004C3262&quot;/&gt;&lt;wsp:rsid wsp:val=&quot;004E174E&quot;/&gt;&lt;wsp:rsid wsp:val=&quot;00503CD3&quot;/&gt;&lt;wsp:rsid wsp:val=&quot;005160BD&quot;/&gt;&lt;wsp:rsid wsp:val=&quot;005343BC&quot;/&gt;&lt;wsp:rsid wsp:val=&quot;00580595&quot;/&gt;&lt;wsp:rsid wsp:val=&quot;006002E2&quot;/&gt;&lt;wsp:rsid wsp:val=&quot;00622E11&quot;/&gt;&lt;wsp:rsid wsp:val=&quot;00650DB5&quot;/&gt;&lt;wsp:rsid wsp:val=&quot;006758D2&quot;/&gt;&lt;wsp:rsid wsp:val=&quot;006A1B95&quot;/&gt;&lt;wsp:rsid wsp:val=&quot;006A30A8&quot;/&gt;&lt;wsp:rsid wsp:val=&quot;006C3861&quot;/&gt;&lt;wsp:rsid wsp:val=&quot;006F2A0F&quot;/&gt;&lt;wsp:rsid wsp:val=&quot;006F69CD&quot;/&gt;&lt;wsp:rsid wsp:val=&quot;00743400&quot;/&gt;&lt;wsp:rsid wsp:val=&quot;00757767&quot;/&gt;&lt;wsp:rsid wsp:val=&quot;007B5C0E&quot;/&gt;&lt;wsp:rsid wsp:val=&quot;007F6E1F&quot;/&gt;&lt;wsp:rsid wsp:val=&quot;008043FA&quot;/&gt;&lt;wsp:rsid wsp:val=&quot;00811E1E&quot;/&gt;&lt;wsp:rsid wsp:val=&quot;00826D7B&quot;/&gt;&lt;wsp:rsid wsp:val=&quot;00833307&quot;/&gt;&lt;wsp:rsid wsp:val=&quot;00845AD7&quot;/&gt;&lt;wsp:rsid wsp:val=&quot;00850C00&quot;/&gt;&lt;wsp:rsid wsp:val=&quot;008572F7&quot;/&gt;&lt;wsp:rsid wsp:val=&quot;008613ED&quot;/&gt;&lt;wsp:rsid wsp:val=&quot;00865130&quot;/&gt;&lt;wsp:rsid wsp:val=&quot;008B36A1&quot;/&gt;&lt;wsp:rsid wsp:val=&quot;008D2ECA&quot;/&gt;&lt;wsp:rsid wsp:val=&quot;008E3FBE&quot;/&gt;&lt;wsp:rsid wsp:val=&quot;00955108&quot;/&gt;&lt;wsp:rsid wsp:val=&quot;009A40AA&quot;/&gt;&lt;wsp:rsid wsp:val=&quot;009B26D7&quot;/&gt;&lt;wsp:rsid wsp:val=&quot;00A21233&quot;/&gt;&lt;wsp:rsid wsp:val=&quot;00A50F18&quot;/&gt;&lt;wsp:rsid wsp:val=&quot;00A862F8&quot;/&gt;&lt;wsp:rsid wsp:val=&quot;00A86A69&quot;/&gt;&lt;wsp:rsid wsp:val=&quot;00AE2A21&quot;/&gt;&lt;wsp:rsid wsp:val=&quot;00B25DD3&quot;/&gt;&lt;wsp:rsid wsp:val=&quot;00B268B7&quot;/&gt;&lt;wsp:rsid wsp:val=&quot;00B4253D&quot;/&gt;&lt;wsp:rsid wsp:val=&quot;00B52EC2&quot;/&gt;&lt;wsp:rsid wsp:val=&quot;00B702C2&quot;/&gt;&lt;wsp:rsid wsp:val=&quot;00B7162E&quot;/&gt;&lt;wsp:rsid wsp:val=&quot;00B87744&quot;/&gt;&lt;wsp:rsid wsp:val=&quot;00B9047D&quot;/&gt;&lt;wsp:rsid wsp:val=&quot;00B925CA&quot;/&gt;&lt;wsp:rsid wsp:val=&quot;00BA0177&quot;/&gt;&lt;wsp:rsid wsp:val=&quot;00BE14F8&quot;/&gt;&lt;wsp:rsid wsp:val=&quot;00BE3AC0&quot;/&gt;&lt;wsp:rsid wsp:val=&quot;00BF6383&quot;/&gt;&lt;wsp:rsid wsp:val=&quot;00BF7FED&quot;/&gt;&lt;wsp:rsid wsp:val=&quot;00C30B78&quot;/&gt;&lt;wsp:rsid wsp:val=&quot;00C61D19&quot;/&gt;&lt;wsp:rsid wsp:val=&quot;00C67A52&quot;/&gt;&lt;wsp:rsid wsp:val=&quot;00C71EAE&quot;/&gt;&lt;wsp:rsid wsp:val=&quot;00C72E6C&quot;/&gt;&lt;wsp:rsid wsp:val=&quot;00CB10D6&quot;/&gt;&lt;wsp:rsid wsp:val=&quot;00CE0A4A&quot;/&gt;&lt;wsp:rsid wsp:val=&quot;00CF5550&quot;/&gt;&lt;wsp:rsid wsp:val=&quot;00D1757D&quot;/&gt;&lt;wsp:rsid wsp:val=&quot;00D27156&quot;/&gt;&lt;wsp:rsid wsp:val=&quot;00D555FE&quot;/&gt;&lt;wsp:rsid wsp:val=&quot;00D60E79&quot;/&gt;&lt;wsp:rsid wsp:val=&quot;00D72E7E&quot;/&gt;&lt;wsp:rsid wsp:val=&quot;00D75B64&quot;/&gt;&lt;wsp:rsid wsp:val=&quot;00DA5D07&quot;/&gt;&lt;wsp:rsid wsp:val=&quot;00DC45D5&quot;/&gt;&lt;wsp:rsid wsp:val=&quot;00DD2A5E&quot;/&gt;&lt;wsp:rsid wsp:val=&quot;00DE4367&quot;/&gt;&lt;wsp:rsid wsp:val=&quot;00DE4906&quot;/&gt;&lt;wsp:rsid wsp:val=&quot;00E03FCE&quot;/&gt;&lt;wsp:rsid wsp:val=&quot;00E52699&quot;/&gt;&lt;wsp:rsid wsp:val=&quot;00E53E86&quot;/&gt;&lt;wsp:rsid wsp:val=&quot;00E8663A&quot;/&gt;&lt;wsp:rsid wsp:val=&quot;00E933F0&quot;/&gt;&lt;wsp:rsid wsp:val=&quot;00ED04BD&quot;/&gt;&lt;wsp:rsid wsp:val=&quot;00EE1D05&quot;/&gt;&lt;wsp:rsid wsp:val=&quot;00EF5807&quot;/&gt;&lt;wsp:rsid wsp:val=&quot;00F03A15&quot;/&gt;&lt;wsp:rsid wsp:val=&quot;00F3414D&quot;/&gt;&lt;wsp:rsid wsp:val=&quot;00F45DE8&quot;/&gt;&lt;wsp:rsid wsp:val=&quot;00F46678&quot;/&gt;&lt;wsp:rsid wsp:val=&quot;00F56D68&quot;/&gt;&lt;wsp:rsid wsp:val=&quot;00F60502&quot;/&gt;&lt;wsp:rsid wsp:val=&quot;00F71649&quot;/&gt;&lt;wsp:rsid wsp:val=&quot;00F8055A&quot;/&gt;&lt;wsp:rsid wsp:val=&quot;00FC441D&quot;/&gt;&lt;wsp:rsid wsp:val=&quot;00FE59E4&quot;/&gt;&lt;/wsp:rsids&gt;&lt;/w:docPr&gt;&lt;w:body&gt;&lt;w:p wsp:rsidR=&quot;00000000&quot; wsp:rsidRDefault=&quot;006758D2&quot;&gt;&lt;m:oMathPara&gt;&lt;m:oMath&gt;&lt;m:r&gt;&lt;w:rPr&gt;&lt;w:rFonts w:ascii=&quot;Cambria Math&quot; w:h-ansi=&quot;Cambria Math&quot;/&gt;&lt;wx:font wx:val=&quot;Cambria Math&quot;/&gt;&lt;w:i/&gt;&lt;w:color w:val=&quot;000000&quot;/&gt;&lt;/w:rPr&gt;&lt;m:t&gt;yp&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 o:title="" chromakey="white"/>
                  <w10:wrap type="none"/>
                  <w10:anchorlock/>
                </v:shape>
              </w:pict>
            </w:r>
            <w:r w:rsidRPr="00913F57">
              <w:rPr>
                <w:rFonts w:ascii="Arial" w:hAnsi="Arial" w:cs="Arial"/>
                <w:b/>
                <w:color w:val="000000"/>
                <w:sz w:val="20"/>
                <w:szCs w:val="20"/>
              </w:rPr>
              <w:fldChar w:fldCharType="end"/>
            </w:r>
            <w:r w:rsidRPr="00913F57">
              <w:rPr>
                <w:rFonts w:ascii="Arial" w:hAnsi="Arial" w:cs="Arial"/>
                <w:b/>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8DB3E2"/>
            <w:textDirection w:val="btLr"/>
            <w:vAlign w:val="center"/>
            <w:hideMark/>
          </w:tcPr>
          <w:p w:rsidR="007E080B" w:rsidRPr="00913F57" w:rsidRDefault="007E080B" w:rsidP="00A27AD3">
            <w:pPr>
              <w:spacing w:after="0" w:line="240" w:lineRule="auto"/>
              <w:jc w:val="center"/>
              <w:rPr>
                <w:rFonts w:ascii="Arial" w:hAnsi="Arial" w:cs="Arial"/>
                <w:b/>
                <w:color w:val="000000"/>
                <w:sz w:val="20"/>
                <w:szCs w:val="20"/>
              </w:rPr>
            </w:pPr>
            <w:r w:rsidRPr="00913F57">
              <w:rPr>
                <w:rFonts w:ascii="Arial" w:hAnsi="Arial" w:cs="Arial"/>
                <w:b/>
                <w:color w:val="000000"/>
                <w:sz w:val="20"/>
                <w:szCs w:val="20"/>
              </w:rPr>
              <w:t>Razão (</w:t>
            </w:r>
            <w:r w:rsidRPr="00913F57">
              <w:rPr>
                <w:rFonts w:ascii="Arial" w:hAnsi="Arial" w:cs="Arial"/>
                <w:b/>
                <w:color w:val="000000"/>
                <w:sz w:val="20"/>
                <w:szCs w:val="20"/>
              </w:rPr>
              <w:fldChar w:fldCharType="begin"/>
            </w:r>
            <w:r w:rsidRPr="00913F57">
              <w:rPr>
                <w:rFonts w:ascii="Arial" w:hAnsi="Arial" w:cs="Arial"/>
                <w:b/>
                <w:color w:val="000000"/>
                <w:sz w:val="20"/>
                <w:szCs w:val="20"/>
              </w:rPr>
              <w:instrText xml:space="preserve"> QUOTE </w:instrText>
            </w:r>
            <m:oMath>
              <m:f>
                <m:fPr>
                  <m:ctrlPr>
                    <w:rPr>
                      <w:rFonts w:ascii="Cambria Math" w:hAnsi="Cambria Math"/>
                      <w:i/>
                      <w:color w:val="000000"/>
                    </w:rPr>
                  </m:ctrlPr>
                </m:fPr>
                <m:num>
                  <m:r>
                    <w:rPr>
                      <w:rFonts w:ascii="Cambria Math" w:hAnsi="Cambria Math"/>
                      <w:color w:val="000000"/>
                    </w:rPr>
                    <m:t>y</m:t>
                  </m:r>
                </m:num>
                <m:den>
                  <m:r>
                    <w:rPr>
                      <w:rFonts w:ascii="Cambria Math" w:hAnsi="Cambria Math"/>
                      <w:color w:val="000000"/>
                    </w:rPr>
                    <m:t>yp</m:t>
                  </m:r>
                </m:den>
              </m:f>
            </m:oMath>
            <w:r w:rsidRPr="00913F57">
              <w:rPr>
                <w:rFonts w:ascii="Arial" w:hAnsi="Arial" w:cs="Arial"/>
                <w:b/>
                <w:color w:val="000000"/>
                <w:sz w:val="20"/>
                <w:szCs w:val="20"/>
              </w:rPr>
              <w:instrText xml:space="preserve"> </w:instrText>
            </w:r>
            <w:r w:rsidRPr="00913F57">
              <w:rPr>
                <w:rFonts w:ascii="Arial" w:hAnsi="Arial" w:cs="Arial"/>
                <w:b/>
                <w:color w:val="000000"/>
                <w:sz w:val="20"/>
                <w:szCs w:val="20"/>
              </w:rPr>
              <w:fldChar w:fldCharType="separate"/>
            </w:r>
            <w:r w:rsidRPr="00913F57">
              <w:rPr>
                <w:rFonts w:ascii="Arial" w:hAnsi="Arial" w:cs="Arial"/>
                <w:b/>
                <w:noProof/>
                <w:sz w:val="20"/>
                <w:szCs w:val="20"/>
              </w:rPr>
            </w:r>
            <w:r w:rsidRPr="00913F57">
              <w:rPr>
                <w:rFonts w:ascii="Arial" w:hAnsi="Arial" w:cs="Arial"/>
                <w:b/>
                <w:color w:val="000000"/>
                <w:sz w:val="20"/>
                <w:szCs w:val="20"/>
              </w:rPr>
              <w:pict>
                <v:shape id="_x0000_s1027" type="#_x0000_t75" style="width:21pt;height:10.5pt;mso-position-horizontal-relative:char;mso-position-vertical-relative:line"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6&quot;/&gt;&lt;w:bordersDontSurroundHeader/&gt;&lt;w:bordersDontSurroundFooter/&gt;&lt;w:defaultTabStop w:val=&quot;720&quot;/&gt;&lt;w:hyphenationZone w:val=&quot;425&quot;/&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compat&gt;&lt;wsp:rsids&gt;&lt;wsp:rsidRoot wsp:val=&quot;00ED04BD&quot;/&gt;&lt;wsp:rsid wsp:val=&quot;00012B02&quot;/&gt;&lt;wsp:rsid wsp:val=&quot;0001609C&quot;/&gt;&lt;wsp:rsid wsp:val=&quot;0008634F&quot;/&gt;&lt;wsp:rsid wsp:val=&quot;00091089&quot;/&gt;&lt;wsp:rsid wsp:val=&quot;000A620B&quot;/&gt;&lt;wsp:rsid wsp:val=&quot;000E37F2&quot;/&gt;&lt;wsp:rsid wsp:val=&quot;000F47BA&quot;/&gt;&lt;wsp:rsid wsp:val=&quot;00123978&quot;/&gt;&lt;wsp:rsid wsp:val=&quot;00124A2F&quot;/&gt;&lt;wsp:rsid wsp:val=&quot;00127BA8&quot;/&gt;&lt;wsp:rsid wsp:val=&quot;00132717&quot;/&gt;&lt;wsp:rsid wsp:val=&quot;00163560&quot;/&gt;&lt;wsp:rsid wsp:val=&quot;001675AE&quot;/&gt;&lt;wsp:rsid wsp:val=&quot;001827F5&quot;/&gt;&lt;wsp:rsid wsp:val=&quot;00192752&quot;/&gt;&lt;wsp:rsid wsp:val=&quot;001A5AB1&quot;/&gt;&lt;wsp:rsid wsp:val=&quot;001B05E0&quot;/&gt;&lt;wsp:rsid wsp:val=&quot;001C36C0&quot;/&gt;&lt;wsp:rsid wsp:val=&quot;001D2242&quot;/&gt;&lt;wsp:rsid wsp:val=&quot;00232D0A&quot;/&gt;&lt;wsp:rsid wsp:val=&quot;00241DA0&quot;/&gt;&lt;wsp:rsid wsp:val=&quot;00251765&quot;/&gt;&lt;wsp:rsid wsp:val=&quot;002558C5&quot;/&gt;&lt;wsp:rsid wsp:val=&quot;00262448&quot;/&gt;&lt;wsp:rsid wsp:val=&quot;002B296D&quot;/&gt;&lt;wsp:rsid wsp:val=&quot;002E155F&quot;/&gt;&lt;wsp:rsid wsp:val=&quot;002E5647&quot;/&gt;&lt;wsp:rsid wsp:val=&quot;003016D3&quot;/&gt;&lt;wsp:rsid wsp:val=&quot;00372ECE&quot;/&gt;&lt;wsp:rsid wsp:val=&quot;00376226&quot;/&gt;&lt;wsp:rsid wsp:val=&quot;00387C6E&quot;/&gt;&lt;wsp:rsid wsp:val=&quot;003A4374&quot;/&gt;&lt;wsp:rsid wsp:val=&quot;003C3B43&quot;/&gt;&lt;wsp:rsid wsp:val=&quot;003C4138&quot;/&gt;&lt;wsp:rsid wsp:val=&quot;00427482&quot;/&gt;&lt;wsp:rsid wsp:val=&quot;0043070D&quot;/&gt;&lt;wsp:rsid wsp:val=&quot;00441D2E&quot;/&gt;&lt;wsp:rsid wsp:val=&quot;0049583B&quot;/&gt;&lt;wsp:rsid wsp:val=&quot;004972F9&quot;/&gt;&lt;wsp:rsid wsp:val=&quot;004B016D&quot;/&gt;&lt;wsp:rsid wsp:val=&quot;004C3262&quot;/&gt;&lt;wsp:rsid wsp:val=&quot;004E174E&quot;/&gt;&lt;wsp:rsid wsp:val=&quot;00503CD3&quot;/&gt;&lt;wsp:rsid wsp:val=&quot;005160BD&quot;/&gt;&lt;wsp:rsid wsp:val=&quot;005343BC&quot;/&gt;&lt;wsp:rsid wsp:val=&quot;00580595&quot;/&gt;&lt;wsp:rsid wsp:val=&quot;006002E2&quot;/&gt;&lt;wsp:rsid wsp:val=&quot;00622E11&quot;/&gt;&lt;wsp:rsid wsp:val=&quot;00650DB5&quot;/&gt;&lt;wsp:rsid wsp:val=&quot;006A1B95&quot;/&gt;&lt;wsp:rsid wsp:val=&quot;006A30A8&quot;/&gt;&lt;wsp:rsid wsp:val=&quot;006C3861&quot;/&gt;&lt;wsp:rsid wsp:val=&quot;006F2A0F&quot;/&gt;&lt;wsp:rsid wsp:val=&quot;006F69CD&quot;/&gt;&lt;wsp:rsid wsp:val=&quot;00743400&quot;/&gt;&lt;wsp:rsid wsp:val=&quot;00757767&quot;/&gt;&lt;wsp:rsid wsp:val=&quot;007B5C0E&quot;/&gt;&lt;wsp:rsid wsp:val=&quot;007F6E1F&quot;/&gt;&lt;wsp:rsid wsp:val=&quot;008043FA&quot;/&gt;&lt;wsp:rsid wsp:val=&quot;00811E1E&quot;/&gt;&lt;wsp:rsid wsp:val=&quot;00826D7B&quot;/&gt;&lt;wsp:rsid wsp:val=&quot;00833307&quot;/&gt;&lt;wsp:rsid wsp:val=&quot;00845AD7&quot;/&gt;&lt;wsp:rsid wsp:val=&quot;00850C00&quot;/&gt;&lt;wsp:rsid wsp:val=&quot;008572F7&quot;/&gt;&lt;wsp:rsid wsp:val=&quot;008613ED&quot;/&gt;&lt;wsp:rsid wsp:val=&quot;00865130&quot;/&gt;&lt;wsp:rsid wsp:val=&quot;008B36A1&quot;/&gt;&lt;wsp:rsid wsp:val=&quot;008D2ECA&quot;/&gt;&lt;wsp:rsid wsp:val=&quot;008E3FBE&quot;/&gt;&lt;wsp:rsid wsp:val=&quot;00955108&quot;/&gt;&lt;wsp:rsid wsp:val=&quot;009A40AA&quot;/&gt;&lt;wsp:rsid wsp:val=&quot;009B26D7&quot;/&gt;&lt;wsp:rsid wsp:val=&quot;00A21233&quot;/&gt;&lt;wsp:rsid wsp:val=&quot;00A50F18&quot;/&gt;&lt;wsp:rsid wsp:val=&quot;00A862F8&quot;/&gt;&lt;wsp:rsid wsp:val=&quot;00A86A69&quot;/&gt;&lt;wsp:rsid wsp:val=&quot;00AE2A21&quot;/&gt;&lt;wsp:rsid wsp:val=&quot;00B25DD3&quot;/&gt;&lt;wsp:rsid wsp:val=&quot;00B268B7&quot;/&gt;&lt;wsp:rsid wsp:val=&quot;00B4253D&quot;/&gt;&lt;wsp:rsid wsp:val=&quot;00B52EC2&quot;/&gt;&lt;wsp:rsid wsp:val=&quot;00B702C2&quot;/&gt;&lt;wsp:rsid wsp:val=&quot;00B7162E&quot;/&gt;&lt;wsp:rsid wsp:val=&quot;00B87744&quot;/&gt;&lt;wsp:rsid wsp:val=&quot;00B9047D&quot;/&gt;&lt;wsp:rsid wsp:val=&quot;00B925CA&quot;/&gt;&lt;wsp:rsid wsp:val=&quot;00BA0177&quot;/&gt;&lt;wsp:rsid wsp:val=&quot;00BE14F8&quot;/&gt;&lt;wsp:rsid wsp:val=&quot;00BE3AC0&quot;/&gt;&lt;wsp:rsid wsp:val=&quot;00BF6383&quot;/&gt;&lt;wsp:rsid wsp:val=&quot;00BF7FED&quot;/&gt;&lt;wsp:rsid wsp:val=&quot;00C30B78&quot;/&gt;&lt;wsp:rsid wsp:val=&quot;00C61D19&quot;/&gt;&lt;wsp:rsid wsp:val=&quot;00C67A52&quot;/&gt;&lt;wsp:rsid wsp:val=&quot;00C71EAE&quot;/&gt;&lt;wsp:rsid wsp:val=&quot;00C72E6C&quot;/&gt;&lt;wsp:rsid wsp:val=&quot;00C84589&quot;/&gt;&lt;wsp:rsid wsp:val=&quot;00CB10D6&quot;/&gt;&lt;wsp:rsid wsp:val=&quot;00CE0A4A&quot;/&gt;&lt;wsp:rsid wsp:val=&quot;00CF5550&quot;/&gt;&lt;wsp:rsid wsp:val=&quot;00D1757D&quot;/&gt;&lt;wsp:rsid wsp:val=&quot;00D27156&quot;/&gt;&lt;wsp:rsid wsp:val=&quot;00D555FE&quot;/&gt;&lt;wsp:rsid wsp:val=&quot;00D60E79&quot;/&gt;&lt;wsp:rsid wsp:val=&quot;00D72E7E&quot;/&gt;&lt;wsp:rsid wsp:val=&quot;00D75B64&quot;/&gt;&lt;wsp:rsid wsp:val=&quot;00DA5D07&quot;/&gt;&lt;wsp:rsid wsp:val=&quot;00DC45D5&quot;/&gt;&lt;wsp:rsid wsp:val=&quot;00DD2A5E&quot;/&gt;&lt;wsp:rsid wsp:val=&quot;00DE4367&quot;/&gt;&lt;wsp:rsid wsp:val=&quot;00DE4906&quot;/&gt;&lt;wsp:rsid wsp:val=&quot;00E03FCE&quot;/&gt;&lt;wsp:rsid wsp:val=&quot;00E52699&quot;/&gt;&lt;wsp:rsid wsp:val=&quot;00E53E86&quot;/&gt;&lt;wsp:rsid wsp:val=&quot;00E8663A&quot;/&gt;&lt;wsp:rsid wsp:val=&quot;00E933F0&quot;/&gt;&lt;wsp:rsid wsp:val=&quot;00ED04BD&quot;/&gt;&lt;wsp:rsid wsp:val=&quot;00EE1D05&quot;/&gt;&lt;wsp:rsid wsp:val=&quot;00EF5807&quot;/&gt;&lt;wsp:rsid wsp:val=&quot;00F03A15&quot;/&gt;&lt;wsp:rsid wsp:val=&quot;00F3414D&quot;/&gt;&lt;wsp:rsid wsp:val=&quot;00F45DE8&quot;/&gt;&lt;wsp:rsid wsp:val=&quot;00F46678&quot;/&gt;&lt;wsp:rsid wsp:val=&quot;00F56D68&quot;/&gt;&lt;wsp:rsid wsp:val=&quot;00F60502&quot;/&gt;&lt;wsp:rsid wsp:val=&quot;00F71649&quot;/&gt;&lt;wsp:rsid wsp:val=&quot;00F8055A&quot;/&gt;&lt;wsp:rsid wsp:val=&quot;00FC441D&quot;/&gt;&lt;wsp:rsid wsp:val=&quot;00FE59E4&quot;/&gt;&lt;/wsp:rsids&gt;&lt;/w:docPr&gt;&lt;w:body&gt;&lt;w:p wsp:rsidR=&quot;00000000&quot; wsp:rsidRDefault=&quot;00C84589&quot;&gt;&lt;m:oMathPara&gt;&lt;m:oMath&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gt;&lt;wx:font wx:val=&quot;Cambria Math&quot;/&gt;&lt;w:i/&gt;&lt;w:color w:val=&quot;000000&quot;/&gt;&lt;/w:rPr&gt;&lt;m:t&gt;y&lt;/m:t&gt;&lt;/m:r&gt;&lt;/m:num&gt;&lt;m:den&gt;&lt;m:r&gt;&lt;w:rPr&gt;&lt;w:rFonts w:ascii=&quot;Cambria Math&quot; w:h-ansi=&quot;Cambria Math&quot;/&gt;&lt;wx:font wx:val=&quot;Cambria Math&quot;/&gt;&lt;w:i/&gt;&lt;w:color w:val=&quot;000000&quot;/&gt;&lt;/w:rPr&gt;&lt;m:t&gt;yp&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 o:title="" chromakey="white"/>
                  <w10:wrap type="none"/>
                  <w10:anchorlock/>
                </v:shape>
              </w:pict>
            </w:r>
            <w:r w:rsidRPr="00913F57">
              <w:rPr>
                <w:rFonts w:ascii="Arial" w:hAnsi="Arial" w:cs="Arial"/>
                <w:b/>
                <w:color w:val="000000"/>
                <w:sz w:val="20"/>
                <w:szCs w:val="20"/>
              </w:rPr>
              <w:fldChar w:fldCharType="end"/>
            </w:r>
            <w:r w:rsidRPr="00913F57">
              <w:rPr>
                <w:rFonts w:ascii="Arial" w:hAnsi="Arial" w:cs="Arial"/>
                <w:b/>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8DB3E2"/>
            <w:textDirection w:val="btLr"/>
            <w:vAlign w:val="center"/>
            <w:hideMark/>
          </w:tcPr>
          <w:p w:rsidR="007E080B" w:rsidRPr="00913F57" w:rsidRDefault="007E080B" w:rsidP="00A27AD3">
            <w:pPr>
              <w:spacing w:after="0" w:line="240" w:lineRule="auto"/>
              <w:jc w:val="center"/>
              <w:rPr>
                <w:rFonts w:ascii="Arial" w:hAnsi="Arial" w:cs="Arial"/>
                <w:b/>
                <w:color w:val="000000"/>
                <w:sz w:val="20"/>
                <w:szCs w:val="20"/>
              </w:rPr>
            </w:pPr>
            <w:r w:rsidRPr="00913F57">
              <w:rPr>
                <w:rFonts w:ascii="Arial" w:hAnsi="Arial" w:cs="Arial"/>
                <w:b/>
                <w:color w:val="000000"/>
                <w:sz w:val="20"/>
                <w:szCs w:val="20"/>
              </w:rPr>
              <w:t>Desemprego programado (</w:t>
            </w:r>
            <w:r w:rsidRPr="00913F57">
              <w:rPr>
                <w:rFonts w:ascii="Arial" w:hAnsi="Arial" w:cs="Arial"/>
                <w:b/>
                <w:color w:val="000000"/>
                <w:sz w:val="20"/>
                <w:szCs w:val="20"/>
              </w:rPr>
              <w:fldChar w:fldCharType="begin"/>
            </w:r>
            <w:r w:rsidRPr="00913F57">
              <w:rPr>
                <w:rFonts w:ascii="Arial" w:hAnsi="Arial" w:cs="Arial"/>
                <w:b/>
                <w:color w:val="000000"/>
                <w:sz w:val="20"/>
                <w:szCs w:val="20"/>
              </w:rPr>
              <w:instrText xml:space="preserve"> QUOTE </w:instrText>
            </w:r>
            <m:oMath>
              <m:r>
                <w:rPr>
                  <w:rFonts w:ascii="Cambria Math" w:hAnsi="Cambria Math"/>
                  <w:color w:val="000000"/>
                </w:rPr>
                <m:t>µp</m:t>
              </m:r>
            </m:oMath>
            <w:r w:rsidRPr="00913F57">
              <w:rPr>
                <w:rFonts w:ascii="Arial" w:hAnsi="Arial" w:cs="Arial"/>
                <w:b/>
                <w:color w:val="000000"/>
                <w:sz w:val="20"/>
                <w:szCs w:val="20"/>
              </w:rPr>
              <w:instrText xml:space="preserve"> </w:instrText>
            </w:r>
            <w:r w:rsidRPr="00913F57">
              <w:rPr>
                <w:rFonts w:ascii="Arial" w:hAnsi="Arial" w:cs="Arial"/>
                <w:b/>
                <w:color w:val="000000"/>
                <w:sz w:val="20"/>
                <w:szCs w:val="20"/>
              </w:rPr>
              <w:fldChar w:fldCharType="separate"/>
            </w:r>
            <w:r w:rsidRPr="00913F57">
              <w:rPr>
                <w:rFonts w:ascii="Arial" w:hAnsi="Arial" w:cs="Arial"/>
                <w:b/>
                <w:noProof/>
                <w:sz w:val="20"/>
                <w:szCs w:val="20"/>
              </w:rPr>
            </w:r>
            <w:r w:rsidRPr="00913F57">
              <w:rPr>
                <w:rFonts w:ascii="Arial" w:hAnsi="Arial" w:cs="Arial"/>
                <w:b/>
                <w:color w:val="000000"/>
                <w:sz w:val="20"/>
                <w:szCs w:val="20"/>
              </w:rPr>
              <w:pict>
                <v:shape id="_x0000_s1030" type="#_x0000_t75" style="width:15pt;height:12pt;mso-position-horizontal-relative:char;mso-position-vertical-relative:line"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6&quot;/&gt;&lt;w:bordersDontSurroundHeader/&gt;&lt;w:bordersDontSurroundFooter/&gt;&lt;w:defaultTabStop w:val=&quot;720&quot;/&gt;&lt;w:hyphenationZone w:val=&quot;425&quot;/&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compat&gt;&lt;wsp:rsids&gt;&lt;wsp:rsidRoot wsp:val=&quot;00ED04BD&quot;/&gt;&lt;wsp:rsid wsp:val=&quot;00012B02&quot;/&gt;&lt;wsp:rsid wsp:val=&quot;0001609C&quot;/&gt;&lt;wsp:rsid wsp:val=&quot;0008634F&quot;/&gt;&lt;wsp:rsid wsp:val=&quot;00091089&quot;/&gt;&lt;wsp:rsid wsp:val=&quot;000A620B&quot;/&gt;&lt;wsp:rsid wsp:val=&quot;000E37F2&quot;/&gt;&lt;wsp:rsid wsp:val=&quot;000F47BA&quot;/&gt;&lt;wsp:rsid wsp:val=&quot;00123978&quot;/&gt;&lt;wsp:rsid wsp:val=&quot;00124A2F&quot;/&gt;&lt;wsp:rsid wsp:val=&quot;00127BA8&quot;/&gt;&lt;wsp:rsid wsp:val=&quot;00132717&quot;/&gt;&lt;wsp:rsid wsp:val=&quot;00163560&quot;/&gt;&lt;wsp:rsid wsp:val=&quot;001675AE&quot;/&gt;&lt;wsp:rsid wsp:val=&quot;001827F5&quot;/&gt;&lt;wsp:rsid wsp:val=&quot;00192752&quot;/&gt;&lt;wsp:rsid wsp:val=&quot;001A5AB1&quot;/&gt;&lt;wsp:rsid wsp:val=&quot;001B05E0&quot;/&gt;&lt;wsp:rsid wsp:val=&quot;001C36C0&quot;/&gt;&lt;wsp:rsid wsp:val=&quot;001D2242&quot;/&gt;&lt;wsp:rsid wsp:val=&quot;00232D0A&quot;/&gt;&lt;wsp:rsid wsp:val=&quot;00241DA0&quot;/&gt;&lt;wsp:rsid wsp:val=&quot;00251765&quot;/&gt;&lt;wsp:rsid wsp:val=&quot;002558C5&quot;/&gt;&lt;wsp:rsid wsp:val=&quot;00262448&quot;/&gt;&lt;wsp:rsid wsp:val=&quot;002B296D&quot;/&gt;&lt;wsp:rsid wsp:val=&quot;002E155F&quot;/&gt;&lt;wsp:rsid wsp:val=&quot;002E5647&quot;/&gt;&lt;wsp:rsid wsp:val=&quot;003016D3&quot;/&gt;&lt;wsp:rsid wsp:val=&quot;00372ECE&quot;/&gt;&lt;wsp:rsid wsp:val=&quot;00376226&quot;/&gt;&lt;wsp:rsid wsp:val=&quot;00387C6E&quot;/&gt;&lt;wsp:rsid wsp:val=&quot;003A4374&quot;/&gt;&lt;wsp:rsid wsp:val=&quot;003C3B43&quot;/&gt;&lt;wsp:rsid wsp:val=&quot;003C4138&quot;/&gt;&lt;wsp:rsid wsp:val=&quot;00427482&quot;/&gt;&lt;wsp:rsid wsp:val=&quot;0043070D&quot;/&gt;&lt;wsp:rsid wsp:val=&quot;00441D2E&quot;/&gt;&lt;wsp:rsid wsp:val=&quot;0049583B&quot;/&gt;&lt;wsp:rsid wsp:val=&quot;004972F9&quot;/&gt;&lt;wsp:rsid wsp:val=&quot;004B016D&quot;/&gt;&lt;wsp:rsid wsp:val=&quot;004C3262&quot;/&gt;&lt;wsp:rsid wsp:val=&quot;004E174E&quot;/&gt;&lt;wsp:rsid wsp:val=&quot;00503CD3&quot;/&gt;&lt;wsp:rsid wsp:val=&quot;005160BD&quot;/&gt;&lt;wsp:rsid wsp:val=&quot;005343BC&quot;/&gt;&lt;wsp:rsid wsp:val=&quot;00580595&quot;/&gt;&lt;wsp:rsid wsp:val=&quot;006002E2&quot;/&gt;&lt;wsp:rsid wsp:val=&quot;00622E11&quot;/&gt;&lt;wsp:rsid wsp:val=&quot;00650DB5&quot;/&gt;&lt;wsp:rsid wsp:val=&quot;006A1B95&quot;/&gt;&lt;wsp:rsid wsp:val=&quot;006A30A8&quot;/&gt;&lt;wsp:rsid wsp:val=&quot;006C3861&quot;/&gt;&lt;wsp:rsid wsp:val=&quot;006F2A0F&quot;/&gt;&lt;wsp:rsid wsp:val=&quot;006F69CD&quot;/&gt;&lt;wsp:rsid wsp:val=&quot;00743400&quot;/&gt;&lt;wsp:rsid wsp:val=&quot;00757767&quot;/&gt;&lt;wsp:rsid wsp:val=&quot;007B5C0E&quot;/&gt;&lt;wsp:rsid wsp:val=&quot;007F6E1F&quot;/&gt;&lt;wsp:rsid wsp:val=&quot;008043FA&quot;/&gt;&lt;wsp:rsid wsp:val=&quot;00811E1E&quot;/&gt;&lt;wsp:rsid wsp:val=&quot;00826D7B&quot;/&gt;&lt;wsp:rsid wsp:val=&quot;00833307&quot;/&gt;&lt;wsp:rsid wsp:val=&quot;00845AD7&quot;/&gt;&lt;wsp:rsid wsp:val=&quot;00850C00&quot;/&gt;&lt;wsp:rsid wsp:val=&quot;008572F7&quot;/&gt;&lt;wsp:rsid wsp:val=&quot;008613ED&quot;/&gt;&lt;wsp:rsid wsp:val=&quot;00865130&quot;/&gt;&lt;wsp:rsid wsp:val=&quot;008B36A1&quot;/&gt;&lt;wsp:rsid wsp:val=&quot;008D2ECA&quot;/&gt;&lt;wsp:rsid wsp:val=&quot;008E3FBE&quot;/&gt;&lt;wsp:rsid wsp:val=&quot;00955108&quot;/&gt;&lt;wsp:rsid wsp:val=&quot;009A40AA&quot;/&gt;&lt;wsp:rsid wsp:val=&quot;009B26D7&quot;/&gt;&lt;wsp:rsid wsp:val=&quot;00A21233&quot;/&gt;&lt;wsp:rsid wsp:val=&quot;00A50F18&quot;/&gt;&lt;wsp:rsid wsp:val=&quot;00A862F8&quot;/&gt;&lt;wsp:rsid wsp:val=&quot;00A86A69&quot;/&gt;&lt;wsp:rsid wsp:val=&quot;00AE2A21&quot;/&gt;&lt;wsp:rsid wsp:val=&quot;00B25DD3&quot;/&gt;&lt;wsp:rsid wsp:val=&quot;00B268B7&quot;/&gt;&lt;wsp:rsid wsp:val=&quot;00B4253D&quot;/&gt;&lt;wsp:rsid wsp:val=&quot;00B52EC2&quot;/&gt;&lt;wsp:rsid wsp:val=&quot;00B702C2&quot;/&gt;&lt;wsp:rsid wsp:val=&quot;00B7162E&quot;/&gt;&lt;wsp:rsid wsp:val=&quot;00B87744&quot;/&gt;&lt;wsp:rsid wsp:val=&quot;00B9047D&quot;/&gt;&lt;wsp:rsid wsp:val=&quot;00B925CA&quot;/&gt;&lt;wsp:rsid wsp:val=&quot;00BA0177&quot;/&gt;&lt;wsp:rsid wsp:val=&quot;00BE14F8&quot;/&gt;&lt;wsp:rsid wsp:val=&quot;00BE3AC0&quot;/&gt;&lt;wsp:rsid wsp:val=&quot;00BF6383&quot;/&gt;&lt;wsp:rsid wsp:val=&quot;00BF7FED&quot;/&gt;&lt;wsp:rsid wsp:val=&quot;00C30B78&quot;/&gt;&lt;wsp:rsid wsp:val=&quot;00C61D19&quot;/&gt;&lt;wsp:rsid wsp:val=&quot;00C67A52&quot;/&gt;&lt;wsp:rsid wsp:val=&quot;00C71EAE&quot;/&gt;&lt;wsp:rsid wsp:val=&quot;00C72E6C&quot;/&gt;&lt;wsp:rsid wsp:val=&quot;00CB10D6&quot;/&gt;&lt;wsp:rsid wsp:val=&quot;00CE0A4A&quot;/&gt;&lt;wsp:rsid wsp:val=&quot;00CF5550&quot;/&gt;&lt;wsp:rsid wsp:val=&quot;00D1757D&quot;/&gt;&lt;wsp:rsid wsp:val=&quot;00D27156&quot;/&gt;&lt;wsp:rsid wsp:val=&quot;00D555FE&quot;/&gt;&lt;wsp:rsid wsp:val=&quot;00D60E79&quot;/&gt;&lt;wsp:rsid wsp:val=&quot;00D72E7E&quot;/&gt;&lt;wsp:rsid wsp:val=&quot;00D75B64&quot;/&gt;&lt;wsp:rsid wsp:val=&quot;00DA5D07&quot;/&gt;&lt;wsp:rsid wsp:val=&quot;00DC45D5&quot;/&gt;&lt;wsp:rsid wsp:val=&quot;00DD2A5E&quot;/&gt;&lt;wsp:rsid wsp:val=&quot;00DE4367&quot;/&gt;&lt;wsp:rsid wsp:val=&quot;00DE4906&quot;/&gt;&lt;wsp:rsid wsp:val=&quot;00E03178&quot;/&gt;&lt;wsp:rsid wsp:val=&quot;00E03FCE&quot;/&gt;&lt;wsp:rsid wsp:val=&quot;00E52699&quot;/&gt;&lt;wsp:rsid wsp:val=&quot;00E53E86&quot;/&gt;&lt;wsp:rsid wsp:val=&quot;00E8663A&quot;/&gt;&lt;wsp:rsid wsp:val=&quot;00E933F0&quot;/&gt;&lt;wsp:rsid wsp:val=&quot;00ED04BD&quot;/&gt;&lt;wsp:rsid wsp:val=&quot;00EE1D05&quot;/&gt;&lt;wsp:rsid wsp:val=&quot;00EF5807&quot;/&gt;&lt;wsp:rsid wsp:val=&quot;00F03A15&quot;/&gt;&lt;wsp:rsid wsp:val=&quot;00F3414D&quot;/&gt;&lt;wsp:rsid wsp:val=&quot;00F45DE8&quot;/&gt;&lt;wsp:rsid wsp:val=&quot;00F46678&quot;/&gt;&lt;wsp:rsid wsp:val=&quot;00F56D68&quot;/&gt;&lt;wsp:rsid wsp:val=&quot;00F60502&quot;/&gt;&lt;wsp:rsid wsp:val=&quot;00F71649&quot;/&gt;&lt;wsp:rsid wsp:val=&quot;00F8055A&quot;/&gt;&lt;wsp:rsid wsp:val=&quot;00FC441D&quot;/&gt;&lt;wsp:rsid wsp:val=&quot;00FE59E4&quot;/&gt;&lt;/wsp:rsids&gt;&lt;/w:docPr&gt;&lt;w:body&gt;&lt;w:p wsp:rsidR=&quot;00000000&quot; wsp:rsidRDefault=&quot;00E03178&quot;&gt;&lt;m:oMathPara&gt;&lt;m:oMath&gt;&lt;m:r&gt;&lt;w:rPr&gt;&lt;w:rFonts w:ascii=&quot;Cambria Math&quot; w:h-ansi=&quot;Cambria Math&quot;/&gt;&lt;wx:font wx:val=&quot;Cambria Math&quot;/&gt;&lt;w:i/&gt;&lt;w:color w:val=&quot;000000&quot;/&gt;&lt;/w:rPr&gt;&lt;m:t&gt;Âµp&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5" o:title="" chromakey="white"/>
                  <w10:wrap type="none"/>
                  <w10:anchorlock/>
                </v:shape>
              </w:pict>
            </w:r>
            <w:r w:rsidRPr="00913F57">
              <w:rPr>
                <w:rFonts w:ascii="Arial" w:hAnsi="Arial" w:cs="Arial"/>
                <w:b/>
                <w:color w:val="000000"/>
                <w:sz w:val="20"/>
                <w:szCs w:val="20"/>
              </w:rPr>
              <w:fldChar w:fldCharType="end"/>
            </w:r>
            <w:r w:rsidRPr="00913F57">
              <w:rPr>
                <w:rFonts w:ascii="Arial" w:hAnsi="Arial" w:cs="Arial"/>
                <w:b/>
                <w:color w:val="000000"/>
                <w:sz w:val="20"/>
                <w:szCs w:val="20"/>
              </w:rPr>
              <w:t>)</w:t>
            </w:r>
          </w:p>
        </w:tc>
        <w:tc>
          <w:tcPr>
            <w:tcW w:w="809" w:type="dxa"/>
            <w:tcBorders>
              <w:top w:val="single" w:sz="4" w:space="0" w:color="auto"/>
              <w:left w:val="single" w:sz="4" w:space="0" w:color="auto"/>
              <w:bottom w:val="single" w:sz="4" w:space="0" w:color="auto"/>
              <w:right w:val="single" w:sz="4" w:space="0" w:color="auto"/>
            </w:tcBorders>
            <w:shd w:val="clear" w:color="auto" w:fill="8DB3E2"/>
            <w:textDirection w:val="btLr"/>
            <w:vAlign w:val="center"/>
            <w:hideMark/>
          </w:tcPr>
          <w:p w:rsidR="007E080B" w:rsidRPr="00913F57" w:rsidRDefault="007E080B" w:rsidP="00A27AD3">
            <w:pPr>
              <w:spacing w:after="0" w:line="240" w:lineRule="auto"/>
              <w:jc w:val="center"/>
              <w:rPr>
                <w:rFonts w:ascii="Arial" w:hAnsi="Arial" w:cs="Arial"/>
                <w:b/>
                <w:color w:val="000000"/>
                <w:sz w:val="20"/>
                <w:szCs w:val="20"/>
              </w:rPr>
            </w:pPr>
            <w:r w:rsidRPr="00913F57">
              <w:rPr>
                <w:rFonts w:ascii="Arial" w:hAnsi="Arial" w:cs="Arial"/>
                <w:b/>
                <w:color w:val="000000"/>
                <w:sz w:val="20"/>
                <w:szCs w:val="20"/>
              </w:rPr>
              <w:t>Desemprego efetivo (µ)</w:t>
            </w:r>
          </w:p>
        </w:tc>
        <w:tc>
          <w:tcPr>
            <w:tcW w:w="810" w:type="dxa"/>
            <w:tcBorders>
              <w:top w:val="single" w:sz="4" w:space="0" w:color="auto"/>
              <w:left w:val="single" w:sz="4" w:space="0" w:color="auto"/>
              <w:bottom w:val="single" w:sz="4" w:space="0" w:color="auto"/>
              <w:right w:val="single" w:sz="4" w:space="0" w:color="auto"/>
            </w:tcBorders>
            <w:shd w:val="clear" w:color="auto" w:fill="8DB3E2"/>
            <w:textDirection w:val="btLr"/>
            <w:vAlign w:val="center"/>
            <w:hideMark/>
          </w:tcPr>
          <w:p w:rsidR="007E080B" w:rsidRPr="00913F57" w:rsidRDefault="007E080B" w:rsidP="00A27AD3">
            <w:pPr>
              <w:spacing w:after="0" w:line="240" w:lineRule="auto"/>
              <w:jc w:val="center"/>
              <w:rPr>
                <w:rFonts w:ascii="Arial" w:hAnsi="Arial" w:cs="Arial"/>
                <w:b/>
                <w:color w:val="000000"/>
                <w:sz w:val="20"/>
                <w:szCs w:val="20"/>
              </w:rPr>
            </w:pPr>
            <w:r w:rsidRPr="00913F57">
              <w:rPr>
                <w:rFonts w:ascii="Arial" w:hAnsi="Arial" w:cs="Arial"/>
                <w:b/>
                <w:color w:val="000000"/>
                <w:sz w:val="20"/>
                <w:szCs w:val="20"/>
              </w:rPr>
              <w:t>Razão (</w:t>
            </w:r>
            <w:r w:rsidRPr="00913F57">
              <w:rPr>
                <w:rFonts w:ascii="Arial" w:hAnsi="Arial" w:cs="Arial"/>
                <w:b/>
                <w:color w:val="000000"/>
                <w:sz w:val="20"/>
                <w:szCs w:val="20"/>
              </w:rPr>
              <w:fldChar w:fldCharType="begin"/>
            </w:r>
            <w:r w:rsidRPr="00913F57">
              <w:rPr>
                <w:rFonts w:ascii="Arial" w:hAnsi="Arial" w:cs="Arial"/>
                <w:b/>
                <w:color w:val="000000"/>
                <w:sz w:val="20"/>
                <w:szCs w:val="20"/>
              </w:rPr>
              <w:instrText xml:space="preserve"> QUOTE </w:instrText>
            </w:r>
            <m:oMath>
              <m:f>
                <m:fPr>
                  <m:ctrlPr>
                    <w:rPr>
                      <w:rFonts w:ascii="Cambria Math" w:hAnsi="Cambria Math"/>
                      <w:i/>
                      <w:color w:val="000000"/>
                    </w:rPr>
                  </m:ctrlPr>
                </m:fPr>
                <m:num>
                  <m:r>
                    <w:rPr>
                      <w:rFonts w:ascii="Cambria Math" w:hAnsi="Cambria Math"/>
                      <w:color w:val="000000"/>
                    </w:rPr>
                    <m:t>µp</m:t>
                  </m:r>
                </m:num>
                <m:den>
                  <m:r>
                    <m:rPr>
                      <m:sty m:val="p"/>
                    </m:rPr>
                    <w:rPr>
                      <w:rFonts w:ascii="Cambria Math" w:hAnsi="Cambria Math"/>
                      <w:color w:val="000000"/>
                    </w:rPr>
                    <m:t>µ</m:t>
                  </m:r>
                </m:den>
              </m:f>
            </m:oMath>
            <w:r w:rsidRPr="00913F57">
              <w:rPr>
                <w:rFonts w:ascii="Arial" w:hAnsi="Arial" w:cs="Arial"/>
                <w:b/>
                <w:color w:val="000000"/>
                <w:sz w:val="20"/>
                <w:szCs w:val="20"/>
              </w:rPr>
              <w:instrText xml:space="preserve"> </w:instrText>
            </w:r>
            <w:r w:rsidRPr="00913F57">
              <w:rPr>
                <w:rFonts w:ascii="Arial" w:hAnsi="Arial" w:cs="Arial"/>
                <w:b/>
                <w:color w:val="000000"/>
                <w:sz w:val="20"/>
                <w:szCs w:val="20"/>
              </w:rPr>
              <w:fldChar w:fldCharType="separate"/>
            </w:r>
            <w:r w:rsidRPr="00913F57">
              <w:rPr>
                <w:rFonts w:ascii="Arial" w:hAnsi="Arial" w:cs="Arial"/>
                <w:b/>
                <w:noProof/>
                <w:sz w:val="20"/>
                <w:szCs w:val="20"/>
              </w:rPr>
            </w:r>
            <w:r w:rsidRPr="00913F57">
              <w:rPr>
                <w:rFonts w:ascii="Arial" w:hAnsi="Arial" w:cs="Arial"/>
                <w:b/>
                <w:color w:val="000000"/>
                <w:sz w:val="20"/>
                <w:szCs w:val="20"/>
              </w:rPr>
              <w:pict>
                <v:shape id="_x0000_s1031" type="#_x0000_t75" style="width:21pt;height:9.75pt;mso-position-horizontal-relative:char;mso-position-vertical-relative:line"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6&quot;/&gt;&lt;w:bordersDontSurroundHeader/&gt;&lt;w:bordersDontSurroundFooter/&gt;&lt;w:defaultTabStop w:val=&quot;720&quot;/&gt;&lt;w:hyphenationZone w:val=&quot;425&quot;/&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compat&gt;&lt;wsp:rsids&gt;&lt;wsp:rsidRoot wsp:val=&quot;00ED04BD&quot;/&gt;&lt;wsp:rsid wsp:val=&quot;00012B02&quot;/&gt;&lt;wsp:rsid wsp:val=&quot;0001609C&quot;/&gt;&lt;wsp:rsid wsp:val=&quot;0008634F&quot;/&gt;&lt;wsp:rsid wsp:val=&quot;00091089&quot;/&gt;&lt;wsp:rsid wsp:val=&quot;000A620B&quot;/&gt;&lt;wsp:rsid wsp:val=&quot;000E37F2&quot;/&gt;&lt;wsp:rsid wsp:val=&quot;000F47BA&quot;/&gt;&lt;wsp:rsid wsp:val=&quot;00123978&quot;/&gt;&lt;wsp:rsid wsp:val=&quot;00124A2F&quot;/&gt;&lt;wsp:rsid wsp:val=&quot;00127BA8&quot;/&gt;&lt;wsp:rsid wsp:val=&quot;00132717&quot;/&gt;&lt;wsp:rsid wsp:val=&quot;00163560&quot;/&gt;&lt;wsp:rsid wsp:val=&quot;001675AE&quot;/&gt;&lt;wsp:rsid wsp:val=&quot;001827F5&quot;/&gt;&lt;wsp:rsid wsp:val=&quot;00192752&quot;/&gt;&lt;wsp:rsid wsp:val=&quot;001A5AB1&quot;/&gt;&lt;wsp:rsid wsp:val=&quot;001B05E0&quot;/&gt;&lt;wsp:rsid wsp:val=&quot;001C36C0&quot;/&gt;&lt;wsp:rsid wsp:val=&quot;001D2242&quot;/&gt;&lt;wsp:rsid wsp:val=&quot;00232D0A&quot;/&gt;&lt;wsp:rsid wsp:val=&quot;00241DA0&quot;/&gt;&lt;wsp:rsid wsp:val=&quot;00251765&quot;/&gt;&lt;wsp:rsid wsp:val=&quot;002558C5&quot;/&gt;&lt;wsp:rsid wsp:val=&quot;00262448&quot;/&gt;&lt;wsp:rsid wsp:val=&quot;002B296D&quot;/&gt;&lt;wsp:rsid wsp:val=&quot;002E155F&quot;/&gt;&lt;wsp:rsid wsp:val=&quot;002E5647&quot;/&gt;&lt;wsp:rsid wsp:val=&quot;003016D3&quot;/&gt;&lt;wsp:rsid wsp:val=&quot;00372ECE&quot;/&gt;&lt;wsp:rsid wsp:val=&quot;00376226&quot;/&gt;&lt;wsp:rsid wsp:val=&quot;00387C6E&quot;/&gt;&lt;wsp:rsid wsp:val=&quot;003A4374&quot;/&gt;&lt;wsp:rsid wsp:val=&quot;003C3B43&quot;/&gt;&lt;wsp:rsid wsp:val=&quot;003C4138&quot;/&gt;&lt;wsp:rsid wsp:val=&quot;00427482&quot;/&gt;&lt;wsp:rsid wsp:val=&quot;0043070D&quot;/&gt;&lt;wsp:rsid wsp:val=&quot;00441D2E&quot;/&gt;&lt;wsp:rsid wsp:val=&quot;0049583B&quot;/&gt;&lt;wsp:rsid wsp:val=&quot;004972F9&quot;/&gt;&lt;wsp:rsid wsp:val=&quot;004B016D&quot;/&gt;&lt;wsp:rsid wsp:val=&quot;004C3262&quot;/&gt;&lt;wsp:rsid wsp:val=&quot;004E174E&quot;/&gt;&lt;wsp:rsid wsp:val=&quot;00503CD3&quot;/&gt;&lt;wsp:rsid wsp:val=&quot;005160BD&quot;/&gt;&lt;wsp:rsid wsp:val=&quot;005343BC&quot;/&gt;&lt;wsp:rsid wsp:val=&quot;00580595&quot;/&gt;&lt;wsp:rsid wsp:val=&quot;005B2E4F&quot;/&gt;&lt;wsp:rsid wsp:val=&quot;006002E2&quot;/&gt;&lt;wsp:rsid wsp:val=&quot;00622E11&quot;/&gt;&lt;wsp:rsid wsp:val=&quot;00650DB5&quot;/&gt;&lt;wsp:rsid wsp:val=&quot;006A1B95&quot;/&gt;&lt;wsp:rsid wsp:val=&quot;006A30A8&quot;/&gt;&lt;wsp:rsid wsp:val=&quot;006C3861&quot;/&gt;&lt;wsp:rsid wsp:val=&quot;006F2A0F&quot;/&gt;&lt;wsp:rsid wsp:val=&quot;006F69CD&quot;/&gt;&lt;wsp:rsid wsp:val=&quot;00743400&quot;/&gt;&lt;wsp:rsid wsp:val=&quot;00757767&quot;/&gt;&lt;wsp:rsid wsp:val=&quot;007B5C0E&quot;/&gt;&lt;wsp:rsid wsp:val=&quot;007F6E1F&quot;/&gt;&lt;wsp:rsid wsp:val=&quot;008043FA&quot;/&gt;&lt;wsp:rsid wsp:val=&quot;00811E1E&quot;/&gt;&lt;wsp:rsid wsp:val=&quot;00826D7B&quot;/&gt;&lt;wsp:rsid wsp:val=&quot;00833307&quot;/&gt;&lt;wsp:rsid wsp:val=&quot;00845AD7&quot;/&gt;&lt;wsp:rsid wsp:val=&quot;00850C00&quot;/&gt;&lt;wsp:rsid wsp:val=&quot;008572F7&quot;/&gt;&lt;wsp:rsid wsp:val=&quot;008613ED&quot;/&gt;&lt;wsp:rsid wsp:val=&quot;00865130&quot;/&gt;&lt;wsp:rsid wsp:val=&quot;008B36A1&quot;/&gt;&lt;wsp:rsid wsp:val=&quot;008D2ECA&quot;/&gt;&lt;wsp:rsid wsp:val=&quot;008E3FBE&quot;/&gt;&lt;wsp:rsid wsp:val=&quot;00955108&quot;/&gt;&lt;wsp:rsid wsp:val=&quot;009A40AA&quot;/&gt;&lt;wsp:rsid wsp:val=&quot;009B26D7&quot;/&gt;&lt;wsp:rsid wsp:val=&quot;00A21233&quot;/&gt;&lt;wsp:rsid wsp:val=&quot;00A50F18&quot;/&gt;&lt;wsp:rsid wsp:val=&quot;00A862F8&quot;/&gt;&lt;wsp:rsid wsp:val=&quot;00A86A69&quot;/&gt;&lt;wsp:rsid wsp:val=&quot;00AE2A21&quot;/&gt;&lt;wsp:rsid wsp:val=&quot;00B25DD3&quot;/&gt;&lt;wsp:rsid wsp:val=&quot;00B268B7&quot;/&gt;&lt;wsp:rsid wsp:val=&quot;00B4253D&quot;/&gt;&lt;wsp:rsid wsp:val=&quot;00B52EC2&quot;/&gt;&lt;wsp:rsid wsp:val=&quot;00B702C2&quot;/&gt;&lt;wsp:rsid wsp:val=&quot;00B7162E&quot;/&gt;&lt;wsp:rsid wsp:val=&quot;00B87744&quot;/&gt;&lt;wsp:rsid wsp:val=&quot;00B9047D&quot;/&gt;&lt;wsp:rsid wsp:val=&quot;00B925CA&quot;/&gt;&lt;wsp:rsid wsp:val=&quot;00BA0177&quot;/&gt;&lt;wsp:rsid wsp:val=&quot;00BE14F8&quot;/&gt;&lt;wsp:rsid wsp:val=&quot;00BE3AC0&quot;/&gt;&lt;wsp:rsid wsp:val=&quot;00BF6383&quot;/&gt;&lt;wsp:rsid wsp:val=&quot;00BF7FED&quot;/&gt;&lt;wsp:rsid wsp:val=&quot;00C30B78&quot;/&gt;&lt;wsp:rsid wsp:val=&quot;00C61D19&quot;/&gt;&lt;wsp:rsid wsp:val=&quot;00C67A52&quot;/&gt;&lt;wsp:rsid wsp:val=&quot;00C71EAE&quot;/&gt;&lt;wsp:rsid wsp:val=&quot;00C72E6C&quot;/&gt;&lt;wsp:rsid wsp:val=&quot;00CB10D6&quot;/&gt;&lt;wsp:rsid wsp:val=&quot;00CE0A4A&quot;/&gt;&lt;wsp:rsid wsp:val=&quot;00CF5550&quot;/&gt;&lt;wsp:rsid wsp:val=&quot;00D1757D&quot;/&gt;&lt;wsp:rsid wsp:val=&quot;00D27156&quot;/&gt;&lt;wsp:rsid wsp:val=&quot;00D555FE&quot;/&gt;&lt;wsp:rsid wsp:val=&quot;00D60E79&quot;/&gt;&lt;wsp:rsid wsp:val=&quot;00D72E7E&quot;/&gt;&lt;wsp:rsid wsp:val=&quot;00D75B64&quot;/&gt;&lt;wsp:rsid wsp:val=&quot;00DA5D07&quot;/&gt;&lt;wsp:rsid wsp:val=&quot;00DC45D5&quot;/&gt;&lt;wsp:rsid wsp:val=&quot;00DD2A5E&quot;/&gt;&lt;wsp:rsid wsp:val=&quot;00DE4367&quot;/&gt;&lt;wsp:rsid wsp:val=&quot;00DE4906&quot;/&gt;&lt;wsp:rsid wsp:val=&quot;00E03FCE&quot;/&gt;&lt;wsp:rsid wsp:val=&quot;00E52699&quot;/&gt;&lt;wsp:rsid wsp:val=&quot;00E53E86&quot;/&gt;&lt;wsp:rsid wsp:val=&quot;00E8663A&quot;/&gt;&lt;wsp:rsid wsp:val=&quot;00E933F0&quot;/&gt;&lt;wsp:rsid wsp:val=&quot;00ED04BD&quot;/&gt;&lt;wsp:rsid wsp:val=&quot;00EE1D05&quot;/&gt;&lt;wsp:rsid wsp:val=&quot;00EF5807&quot;/&gt;&lt;wsp:rsid wsp:val=&quot;00F03A15&quot;/&gt;&lt;wsp:rsid wsp:val=&quot;00F3414D&quot;/&gt;&lt;wsp:rsid wsp:val=&quot;00F45DE8&quot;/&gt;&lt;wsp:rsid wsp:val=&quot;00F46678&quot;/&gt;&lt;wsp:rsid wsp:val=&quot;00F56D68&quot;/&gt;&lt;wsp:rsid wsp:val=&quot;00F60502&quot;/&gt;&lt;wsp:rsid wsp:val=&quot;00F71649&quot;/&gt;&lt;wsp:rsid wsp:val=&quot;00F8055A&quot;/&gt;&lt;wsp:rsid wsp:val=&quot;00FC441D&quot;/&gt;&lt;wsp:rsid wsp:val=&quot;00FE59E4&quot;/&gt;&lt;/wsp:rsids&gt;&lt;/w:docPr&gt;&lt;w:body&gt;&lt;w:p wsp:rsidR=&quot;00000000&quot; wsp:rsidRDefault=&quot;005B2E4F&quot;&gt;&lt;m:oMathPara&gt;&lt;m:oMath&gt;&lt;m:f&gt;&lt;m:fPr&gt;&lt;m:ctrlPr&gt;&lt;w:rPr&gt;&lt;w:rFonts w:ascii=&quot;Cambria Math&quot; w:h-ansi=&quot;Cambria Math&quot;/&gt;&lt;wx:font wx:val=&quot;Cambria Math&quot;/&gt;&lt;w:i/&gt;&lt;w:color w:val=&quot;000000&quot;/&gt;&lt;/w:rPr&gt;&lt;/m:ctrlPr&gt;&lt;/m:fPr&gt;&lt;m:num&gt;&lt;m:r&gt;&lt;w:rPr&gt;&lt;w:rFonts w:ascii=&quot;Cambria Math&quot; w:h-ansi=&quot;Cambria Math&quot;/&gt;&lt;wx:font wx:val=&quot;Cambria Math&quot;/&gt;&lt;w:i/&gt;&lt;w:color w:val=&quot;000000&quot;/&gt;&lt;/w:rPr&gt;&lt;m:t&gt;Âµp&lt;/m:t&gt;&lt;/m:r&gt;&lt;/m:num&gt;&lt;m:den&gt;&lt;m:r&gt;&lt;m:rPr&gt;&lt;m:sty m:val=&quot;p&quot;/&gt;&lt;/m:rPr&gt;&lt;w:rPr&gt;&lt;w:rFonts w:ascii=&quot;Cambria Math&quot; w:h-ansi=&quot;Cambria Math&quot;/&gt;&lt;wx:font wx:val=&quot;Cambria Math&quot;/&gt;&lt;w:color w:val=&quot;000000&quot;/&gt;&lt;/w:rPr&gt;&lt;m:t&gt;Âµ&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6" o:title="" chromakey="white"/>
                  <w10:wrap type="none"/>
                  <w10:anchorlock/>
                </v:shape>
              </w:pict>
            </w:r>
            <w:r w:rsidRPr="00913F57">
              <w:rPr>
                <w:rFonts w:ascii="Arial" w:hAnsi="Arial" w:cs="Arial"/>
                <w:b/>
                <w:color w:val="000000"/>
                <w:sz w:val="20"/>
                <w:szCs w:val="20"/>
              </w:rPr>
              <w:fldChar w:fldCharType="end"/>
            </w:r>
            <w:r w:rsidRPr="00913F57">
              <w:rPr>
                <w:rFonts w:ascii="Arial" w:hAnsi="Arial" w:cs="Arial"/>
                <w:b/>
                <w:color w:val="000000"/>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8DB3E2"/>
            <w:textDirection w:val="btLr"/>
            <w:vAlign w:val="center"/>
            <w:hideMark/>
          </w:tcPr>
          <w:p w:rsidR="007E080B" w:rsidRPr="00913F57" w:rsidRDefault="007E080B" w:rsidP="00A27AD3">
            <w:pPr>
              <w:spacing w:after="0" w:line="240" w:lineRule="auto"/>
              <w:jc w:val="center"/>
              <w:rPr>
                <w:rFonts w:ascii="Arial" w:hAnsi="Arial" w:cs="Arial"/>
                <w:b/>
                <w:color w:val="000000"/>
                <w:sz w:val="20"/>
                <w:szCs w:val="20"/>
              </w:rPr>
            </w:pPr>
            <w:r w:rsidRPr="00913F57">
              <w:rPr>
                <w:rFonts w:ascii="Arial" w:hAnsi="Arial" w:cs="Arial"/>
                <w:b/>
                <w:color w:val="000000"/>
                <w:sz w:val="20"/>
                <w:szCs w:val="20"/>
              </w:rPr>
              <w:t>Custo Total (CT)</w:t>
            </w:r>
          </w:p>
        </w:tc>
        <w:tc>
          <w:tcPr>
            <w:tcW w:w="810" w:type="dxa"/>
            <w:tcBorders>
              <w:top w:val="single" w:sz="4" w:space="0" w:color="auto"/>
              <w:left w:val="single" w:sz="4" w:space="0" w:color="auto"/>
              <w:bottom w:val="single" w:sz="4" w:space="0" w:color="auto"/>
              <w:right w:val="single" w:sz="4" w:space="0" w:color="auto"/>
            </w:tcBorders>
            <w:shd w:val="clear" w:color="auto" w:fill="8DB3E2"/>
            <w:textDirection w:val="btLr"/>
            <w:vAlign w:val="center"/>
            <w:hideMark/>
          </w:tcPr>
          <w:p w:rsidR="007E080B" w:rsidRPr="00913F57" w:rsidRDefault="007E080B" w:rsidP="00A27AD3">
            <w:pPr>
              <w:spacing w:after="0" w:line="240" w:lineRule="auto"/>
              <w:jc w:val="center"/>
              <w:rPr>
                <w:rFonts w:ascii="Arial" w:hAnsi="Arial" w:cs="Arial"/>
                <w:b/>
                <w:color w:val="000000"/>
                <w:sz w:val="20"/>
                <w:szCs w:val="20"/>
              </w:rPr>
            </w:pPr>
            <w:r w:rsidRPr="00913F57">
              <w:rPr>
                <w:rFonts w:ascii="Arial" w:hAnsi="Arial" w:cs="Arial"/>
                <w:b/>
                <w:color w:val="000000"/>
                <w:sz w:val="20"/>
                <w:szCs w:val="20"/>
              </w:rPr>
              <w:t>Eficácia</w:t>
            </w:r>
          </w:p>
        </w:tc>
        <w:tc>
          <w:tcPr>
            <w:tcW w:w="810" w:type="dxa"/>
            <w:tcBorders>
              <w:top w:val="single" w:sz="4" w:space="0" w:color="auto"/>
              <w:left w:val="single" w:sz="4" w:space="0" w:color="auto"/>
              <w:bottom w:val="single" w:sz="4" w:space="0" w:color="auto"/>
              <w:right w:val="single" w:sz="4" w:space="0" w:color="auto"/>
            </w:tcBorders>
            <w:shd w:val="clear" w:color="auto" w:fill="8DB3E2"/>
            <w:textDirection w:val="btLr"/>
            <w:vAlign w:val="center"/>
            <w:hideMark/>
          </w:tcPr>
          <w:p w:rsidR="007E080B" w:rsidRPr="00913F57" w:rsidRDefault="007E080B" w:rsidP="00A27AD3">
            <w:pPr>
              <w:spacing w:after="0" w:line="240" w:lineRule="auto"/>
              <w:jc w:val="center"/>
              <w:rPr>
                <w:rFonts w:ascii="Arial" w:hAnsi="Arial" w:cs="Arial"/>
                <w:b/>
                <w:color w:val="000000"/>
                <w:sz w:val="20"/>
                <w:szCs w:val="20"/>
              </w:rPr>
            </w:pPr>
            <w:r w:rsidRPr="00913F57">
              <w:rPr>
                <w:rFonts w:ascii="Arial" w:hAnsi="Arial" w:cs="Arial"/>
                <w:b/>
                <w:color w:val="000000"/>
                <w:sz w:val="20"/>
                <w:szCs w:val="20"/>
              </w:rPr>
              <w:t>Eficiência</w:t>
            </w:r>
          </w:p>
        </w:tc>
        <w:tc>
          <w:tcPr>
            <w:tcW w:w="810" w:type="dxa"/>
            <w:tcBorders>
              <w:top w:val="single" w:sz="4" w:space="0" w:color="auto"/>
              <w:left w:val="single" w:sz="4" w:space="0" w:color="auto"/>
              <w:bottom w:val="single" w:sz="4" w:space="0" w:color="auto"/>
              <w:right w:val="nil"/>
            </w:tcBorders>
            <w:shd w:val="clear" w:color="auto" w:fill="8DB3E2"/>
            <w:textDirection w:val="btLr"/>
            <w:vAlign w:val="center"/>
            <w:hideMark/>
          </w:tcPr>
          <w:p w:rsidR="007E080B" w:rsidRPr="00913F57" w:rsidRDefault="007E080B" w:rsidP="00A27AD3">
            <w:pPr>
              <w:spacing w:after="0" w:line="240" w:lineRule="auto"/>
              <w:jc w:val="center"/>
              <w:rPr>
                <w:rFonts w:ascii="Arial" w:hAnsi="Arial" w:cs="Arial"/>
                <w:b/>
                <w:color w:val="000000"/>
                <w:sz w:val="20"/>
                <w:szCs w:val="20"/>
              </w:rPr>
            </w:pPr>
            <w:r w:rsidRPr="00913F57">
              <w:rPr>
                <w:rFonts w:ascii="Arial" w:hAnsi="Arial" w:cs="Arial"/>
                <w:b/>
                <w:color w:val="000000"/>
                <w:sz w:val="20"/>
                <w:szCs w:val="20"/>
              </w:rPr>
              <w:t>Variação eficiência</w:t>
            </w:r>
          </w:p>
        </w:tc>
      </w:tr>
      <w:tr w:rsidR="007E080B" w:rsidRPr="00913F57" w:rsidTr="00A27AD3">
        <w:trPr>
          <w:trHeight w:val="356"/>
          <w:jc w:val="center"/>
        </w:trPr>
        <w:tc>
          <w:tcPr>
            <w:tcW w:w="809" w:type="dxa"/>
            <w:tcBorders>
              <w:top w:val="nil"/>
              <w:left w:val="nil"/>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2000</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108.09</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106.08</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1.02</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7.88</w:t>
            </w:r>
          </w:p>
        </w:tc>
        <w:tc>
          <w:tcPr>
            <w:tcW w:w="809"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8.128</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0.97</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0.99</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0.94</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0.93</w:t>
            </w:r>
          </w:p>
        </w:tc>
        <w:tc>
          <w:tcPr>
            <w:tcW w:w="810" w:type="dxa"/>
            <w:tcBorders>
              <w:top w:val="nil"/>
              <w:left w:val="single" w:sz="4" w:space="0" w:color="auto"/>
              <w:bottom w:val="nil"/>
              <w:right w:val="nil"/>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p>
        </w:tc>
      </w:tr>
      <w:tr w:rsidR="007E080B" w:rsidRPr="00913F57" w:rsidTr="00A27AD3">
        <w:trPr>
          <w:trHeight w:val="356"/>
          <w:jc w:val="center"/>
        </w:trPr>
        <w:tc>
          <w:tcPr>
            <w:tcW w:w="809" w:type="dxa"/>
            <w:tcBorders>
              <w:top w:val="nil"/>
              <w:left w:val="nil"/>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2001</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112.00</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108.92</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1.03</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7.78</w:t>
            </w:r>
          </w:p>
        </w:tc>
        <w:tc>
          <w:tcPr>
            <w:tcW w:w="809"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6.777</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1.15</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1.18</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0.62</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0.73</w:t>
            </w:r>
          </w:p>
        </w:tc>
        <w:tc>
          <w:tcPr>
            <w:tcW w:w="810" w:type="dxa"/>
            <w:tcBorders>
              <w:top w:val="nil"/>
              <w:left w:val="single" w:sz="4" w:space="0" w:color="auto"/>
              <w:bottom w:val="nil"/>
              <w:right w:val="nil"/>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-0.20</w:t>
            </w:r>
          </w:p>
        </w:tc>
      </w:tr>
      <w:tr w:rsidR="007E080B" w:rsidRPr="00913F57" w:rsidTr="00A27AD3">
        <w:trPr>
          <w:trHeight w:val="356"/>
          <w:jc w:val="center"/>
        </w:trPr>
        <w:tc>
          <w:tcPr>
            <w:tcW w:w="809" w:type="dxa"/>
            <w:tcBorders>
              <w:top w:val="nil"/>
              <w:left w:val="nil"/>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2002</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112.47</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111.78</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1.01</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7.74</w:t>
            </w:r>
          </w:p>
        </w:tc>
        <w:tc>
          <w:tcPr>
            <w:tcW w:w="809"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7.759</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1.00</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1.00</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0.31</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0.31</w:t>
            </w:r>
          </w:p>
        </w:tc>
        <w:tc>
          <w:tcPr>
            <w:tcW w:w="810" w:type="dxa"/>
            <w:tcBorders>
              <w:top w:val="nil"/>
              <w:left w:val="single" w:sz="4" w:space="0" w:color="auto"/>
              <w:bottom w:val="nil"/>
              <w:right w:val="nil"/>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-0.43</w:t>
            </w:r>
          </w:p>
        </w:tc>
      </w:tr>
      <w:tr w:rsidR="007E080B" w:rsidRPr="00913F57" w:rsidTr="00A27AD3">
        <w:trPr>
          <w:trHeight w:val="356"/>
          <w:jc w:val="center"/>
        </w:trPr>
        <w:tc>
          <w:tcPr>
            <w:tcW w:w="809" w:type="dxa"/>
            <w:tcBorders>
              <w:top w:val="nil"/>
              <w:left w:val="nil"/>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2003</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115.77</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114.87</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1.01</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7.65</w:t>
            </w:r>
          </w:p>
        </w:tc>
        <w:tc>
          <w:tcPr>
            <w:tcW w:w="809"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8.168</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0.94</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0.94</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0.46</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0.43</w:t>
            </w:r>
          </w:p>
        </w:tc>
        <w:tc>
          <w:tcPr>
            <w:tcW w:w="810" w:type="dxa"/>
            <w:tcBorders>
              <w:top w:val="nil"/>
              <w:left w:val="single" w:sz="4" w:space="0" w:color="auto"/>
              <w:bottom w:val="nil"/>
              <w:right w:val="nil"/>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0.13</w:t>
            </w:r>
          </w:p>
        </w:tc>
      </w:tr>
      <w:tr w:rsidR="007E080B" w:rsidRPr="00913F57" w:rsidTr="00A27AD3">
        <w:trPr>
          <w:trHeight w:val="356"/>
          <w:jc w:val="center"/>
        </w:trPr>
        <w:tc>
          <w:tcPr>
            <w:tcW w:w="809" w:type="dxa"/>
            <w:tcBorders>
              <w:top w:val="nil"/>
              <w:left w:val="nil"/>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2004</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119.19</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118.45</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1.01</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7.44</w:t>
            </w:r>
          </w:p>
        </w:tc>
        <w:tc>
          <w:tcPr>
            <w:tcW w:w="809"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8.101</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0.92</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0.92</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0.76</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0.70</w:t>
            </w:r>
          </w:p>
        </w:tc>
        <w:tc>
          <w:tcPr>
            <w:tcW w:w="810" w:type="dxa"/>
            <w:tcBorders>
              <w:top w:val="nil"/>
              <w:left w:val="single" w:sz="4" w:space="0" w:color="auto"/>
              <w:bottom w:val="nil"/>
              <w:right w:val="nil"/>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0.27</w:t>
            </w:r>
          </w:p>
        </w:tc>
      </w:tr>
      <w:tr w:rsidR="007E080B" w:rsidRPr="00913F57" w:rsidTr="00A27AD3">
        <w:trPr>
          <w:trHeight w:val="356"/>
          <w:jc w:val="center"/>
        </w:trPr>
        <w:tc>
          <w:tcPr>
            <w:tcW w:w="809" w:type="dxa"/>
            <w:tcBorders>
              <w:top w:val="nil"/>
              <w:left w:val="nil"/>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2005</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125.39</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122.69</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1.02</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7.09</w:t>
            </w:r>
          </w:p>
        </w:tc>
        <w:tc>
          <w:tcPr>
            <w:tcW w:w="809"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6.861</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1.03</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1.06</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1.04</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1.10</w:t>
            </w:r>
          </w:p>
        </w:tc>
        <w:tc>
          <w:tcPr>
            <w:tcW w:w="810" w:type="dxa"/>
            <w:tcBorders>
              <w:top w:val="nil"/>
              <w:left w:val="single" w:sz="4" w:space="0" w:color="auto"/>
              <w:bottom w:val="nil"/>
              <w:right w:val="nil"/>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0.40</w:t>
            </w:r>
          </w:p>
        </w:tc>
      </w:tr>
      <w:tr w:rsidR="007E080B" w:rsidRPr="00913F57" w:rsidTr="00A27AD3">
        <w:trPr>
          <w:trHeight w:val="356"/>
          <w:jc w:val="center"/>
        </w:trPr>
        <w:tc>
          <w:tcPr>
            <w:tcW w:w="809" w:type="dxa"/>
            <w:tcBorders>
              <w:top w:val="nil"/>
              <w:left w:val="nil"/>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2006</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128.68</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127.57</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1.01</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6.68</w:t>
            </w:r>
          </w:p>
        </w:tc>
        <w:tc>
          <w:tcPr>
            <w:tcW w:w="809"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6.770</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0.99</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0.99</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1.51</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1.50</w:t>
            </w:r>
          </w:p>
        </w:tc>
        <w:tc>
          <w:tcPr>
            <w:tcW w:w="810" w:type="dxa"/>
            <w:tcBorders>
              <w:top w:val="nil"/>
              <w:left w:val="single" w:sz="4" w:space="0" w:color="auto"/>
              <w:bottom w:val="nil"/>
              <w:right w:val="nil"/>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0.41</w:t>
            </w:r>
          </w:p>
        </w:tc>
      </w:tr>
      <w:tr w:rsidR="007E080B" w:rsidRPr="00913F57" w:rsidTr="00A27AD3">
        <w:trPr>
          <w:trHeight w:val="356"/>
          <w:jc w:val="center"/>
        </w:trPr>
        <w:tc>
          <w:tcPr>
            <w:tcW w:w="809" w:type="dxa"/>
            <w:tcBorders>
              <w:top w:val="nil"/>
              <w:left w:val="nil"/>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2007</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135.51</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132.97</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1.02</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6.20</w:t>
            </w:r>
          </w:p>
        </w:tc>
        <w:tc>
          <w:tcPr>
            <w:tcW w:w="809"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6.510</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0.95</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0.97</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1.40</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1.36</w:t>
            </w:r>
          </w:p>
        </w:tc>
        <w:tc>
          <w:tcPr>
            <w:tcW w:w="810" w:type="dxa"/>
            <w:tcBorders>
              <w:top w:val="nil"/>
              <w:left w:val="single" w:sz="4" w:space="0" w:color="auto"/>
              <w:bottom w:val="nil"/>
              <w:right w:val="nil"/>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-0.14</w:t>
            </w:r>
          </w:p>
        </w:tc>
      </w:tr>
      <w:tr w:rsidR="007E080B" w:rsidRPr="00913F57" w:rsidTr="00A27AD3">
        <w:trPr>
          <w:trHeight w:val="356"/>
          <w:jc w:val="center"/>
        </w:trPr>
        <w:tc>
          <w:tcPr>
            <w:tcW w:w="809" w:type="dxa"/>
            <w:tcBorders>
              <w:top w:val="nil"/>
              <w:left w:val="nil"/>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2008</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144.15</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138.69</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1.04</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5.70</w:t>
            </w:r>
          </w:p>
        </w:tc>
        <w:tc>
          <w:tcPr>
            <w:tcW w:w="809"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5.501</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1.04</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1.08</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1.30</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1.40</w:t>
            </w:r>
          </w:p>
        </w:tc>
        <w:tc>
          <w:tcPr>
            <w:tcW w:w="810" w:type="dxa"/>
            <w:tcBorders>
              <w:top w:val="nil"/>
              <w:left w:val="single" w:sz="4" w:space="0" w:color="auto"/>
              <w:bottom w:val="nil"/>
              <w:right w:val="nil"/>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0.04</w:t>
            </w:r>
          </w:p>
        </w:tc>
      </w:tr>
      <w:tr w:rsidR="007E080B" w:rsidRPr="00913F57" w:rsidTr="00A27AD3">
        <w:trPr>
          <w:trHeight w:val="356"/>
          <w:jc w:val="center"/>
        </w:trPr>
        <w:tc>
          <w:tcPr>
            <w:tcW w:w="809" w:type="dxa"/>
            <w:tcBorders>
              <w:top w:val="nil"/>
              <w:left w:val="nil"/>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2009</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145.15</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144.39</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1.01</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5.20</w:t>
            </w:r>
          </w:p>
        </w:tc>
        <w:tc>
          <w:tcPr>
            <w:tcW w:w="809"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5.507</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0.94</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0.95</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1.67</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1.58</w:t>
            </w:r>
          </w:p>
        </w:tc>
        <w:tc>
          <w:tcPr>
            <w:tcW w:w="810" w:type="dxa"/>
            <w:tcBorders>
              <w:top w:val="nil"/>
              <w:left w:val="single" w:sz="4" w:space="0" w:color="auto"/>
              <w:bottom w:val="nil"/>
              <w:right w:val="nil"/>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0.18</w:t>
            </w:r>
          </w:p>
        </w:tc>
      </w:tr>
      <w:tr w:rsidR="007E080B" w:rsidRPr="00913F57" w:rsidTr="00A27AD3">
        <w:trPr>
          <w:trHeight w:val="356"/>
          <w:jc w:val="center"/>
        </w:trPr>
        <w:tc>
          <w:tcPr>
            <w:tcW w:w="809" w:type="dxa"/>
            <w:tcBorders>
              <w:top w:val="nil"/>
              <w:left w:val="nil"/>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2010</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152.90</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149.89</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1.02</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4.71</w:t>
            </w:r>
          </w:p>
        </w:tc>
        <w:tc>
          <w:tcPr>
            <w:tcW w:w="809"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4.844</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0.97</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0.99</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1.68</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1.67</w:t>
            </w:r>
          </w:p>
        </w:tc>
        <w:tc>
          <w:tcPr>
            <w:tcW w:w="810" w:type="dxa"/>
            <w:tcBorders>
              <w:top w:val="nil"/>
              <w:left w:val="single" w:sz="4" w:space="0" w:color="auto"/>
              <w:bottom w:val="nil"/>
              <w:right w:val="nil"/>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0.09</w:t>
            </w:r>
          </w:p>
        </w:tc>
      </w:tr>
      <w:tr w:rsidR="007E080B" w:rsidRPr="00913F57" w:rsidTr="00A27AD3">
        <w:trPr>
          <w:trHeight w:val="356"/>
          <w:jc w:val="center"/>
        </w:trPr>
        <w:tc>
          <w:tcPr>
            <w:tcW w:w="809" w:type="dxa"/>
            <w:tcBorders>
              <w:top w:val="nil"/>
              <w:left w:val="nil"/>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2011</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160.42</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155.16</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1.03</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4.25</w:t>
            </w:r>
          </w:p>
        </w:tc>
        <w:tc>
          <w:tcPr>
            <w:tcW w:w="809"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4.141</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1.03</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1.06</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1.27</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1.35</w:t>
            </w:r>
          </w:p>
        </w:tc>
        <w:tc>
          <w:tcPr>
            <w:tcW w:w="810" w:type="dxa"/>
            <w:tcBorders>
              <w:top w:val="nil"/>
              <w:left w:val="single" w:sz="4" w:space="0" w:color="auto"/>
              <w:bottom w:val="nil"/>
              <w:right w:val="nil"/>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-0.32</w:t>
            </w:r>
          </w:p>
        </w:tc>
      </w:tr>
      <w:tr w:rsidR="007E080B" w:rsidRPr="00913F57" w:rsidTr="00A27AD3">
        <w:trPr>
          <w:trHeight w:val="356"/>
          <w:jc w:val="center"/>
        </w:trPr>
        <w:tc>
          <w:tcPr>
            <w:tcW w:w="809" w:type="dxa"/>
            <w:tcBorders>
              <w:top w:val="nil"/>
              <w:left w:val="nil"/>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2012</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148.18</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159.97</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0.93</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3.84</w:t>
            </w:r>
          </w:p>
        </w:tc>
        <w:tc>
          <w:tcPr>
            <w:tcW w:w="809"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3.790</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1.01</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0.94</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1.35</w:t>
            </w:r>
          </w:p>
        </w:tc>
        <w:tc>
          <w:tcPr>
            <w:tcW w:w="810" w:type="dxa"/>
            <w:tcBorders>
              <w:top w:val="nil"/>
              <w:left w:val="single" w:sz="4" w:space="0" w:color="auto"/>
              <w:bottom w:val="nil"/>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1.27</w:t>
            </w:r>
          </w:p>
        </w:tc>
        <w:tc>
          <w:tcPr>
            <w:tcW w:w="810" w:type="dxa"/>
            <w:tcBorders>
              <w:top w:val="nil"/>
              <w:left w:val="single" w:sz="4" w:space="0" w:color="auto"/>
              <w:bottom w:val="nil"/>
              <w:right w:val="nil"/>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-0.09</w:t>
            </w:r>
          </w:p>
        </w:tc>
      </w:tr>
      <w:tr w:rsidR="007E080B" w:rsidRPr="00913F57" w:rsidTr="00A27AD3">
        <w:trPr>
          <w:trHeight w:val="356"/>
          <w:jc w:val="center"/>
        </w:trPr>
        <w:tc>
          <w:tcPr>
            <w:tcW w:w="809" w:type="dxa"/>
            <w:tcBorders>
              <w:top w:val="nil"/>
              <w:left w:val="nil"/>
              <w:bottom w:val="single" w:sz="4" w:space="0" w:color="auto"/>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2013</w:t>
            </w:r>
          </w:p>
        </w:tc>
        <w:tc>
          <w:tcPr>
            <w:tcW w:w="810" w:type="dxa"/>
            <w:tcBorders>
              <w:top w:val="nil"/>
              <w:left w:val="single" w:sz="4" w:space="0" w:color="auto"/>
              <w:bottom w:val="single" w:sz="4" w:space="0" w:color="auto"/>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159.14</w:t>
            </w:r>
          </w:p>
        </w:tc>
        <w:tc>
          <w:tcPr>
            <w:tcW w:w="810" w:type="dxa"/>
            <w:tcBorders>
              <w:top w:val="nil"/>
              <w:left w:val="single" w:sz="4" w:space="0" w:color="auto"/>
              <w:bottom w:val="single" w:sz="4" w:space="0" w:color="auto"/>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164.31</w:t>
            </w:r>
          </w:p>
        </w:tc>
        <w:tc>
          <w:tcPr>
            <w:tcW w:w="810" w:type="dxa"/>
            <w:tcBorders>
              <w:top w:val="nil"/>
              <w:left w:val="single" w:sz="4" w:space="0" w:color="auto"/>
              <w:bottom w:val="single" w:sz="4" w:space="0" w:color="auto"/>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0.97</w:t>
            </w:r>
          </w:p>
        </w:tc>
        <w:tc>
          <w:tcPr>
            <w:tcW w:w="810" w:type="dxa"/>
            <w:tcBorders>
              <w:top w:val="nil"/>
              <w:left w:val="single" w:sz="4" w:space="0" w:color="auto"/>
              <w:bottom w:val="single" w:sz="4" w:space="0" w:color="auto"/>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3.46</w:t>
            </w:r>
          </w:p>
        </w:tc>
        <w:tc>
          <w:tcPr>
            <w:tcW w:w="809" w:type="dxa"/>
            <w:tcBorders>
              <w:top w:val="nil"/>
              <w:left w:val="single" w:sz="4" w:space="0" w:color="auto"/>
              <w:bottom w:val="single" w:sz="4" w:space="0" w:color="auto"/>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3.705</w:t>
            </w:r>
          </w:p>
        </w:tc>
        <w:tc>
          <w:tcPr>
            <w:tcW w:w="810" w:type="dxa"/>
            <w:tcBorders>
              <w:top w:val="nil"/>
              <w:left w:val="single" w:sz="4" w:space="0" w:color="auto"/>
              <w:bottom w:val="single" w:sz="4" w:space="0" w:color="auto"/>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0.93</w:t>
            </w:r>
          </w:p>
        </w:tc>
        <w:tc>
          <w:tcPr>
            <w:tcW w:w="810" w:type="dxa"/>
            <w:tcBorders>
              <w:top w:val="nil"/>
              <w:left w:val="single" w:sz="4" w:space="0" w:color="auto"/>
              <w:bottom w:val="single" w:sz="4" w:space="0" w:color="auto"/>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0.90</w:t>
            </w:r>
          </w:p>
        </w:tc>
        <w:tc>
          <w:tcPr>
            <w:tcW w:w="810" w:type="dxa"/>
            <w:tcBorders>
              <w:top w:val="nil"/>
              <w:left w:val="single" w:sz="4" w:space="0" w:color="auto"/>
              <w:bottom w:val="single" w:sz="4" w:space="0" w:color="auto"/>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1.85</w:t>
            </w:r>
          </w:p>
        </w:tc>
        <w:tc>
          <w:tcPr>
            <w:tcW w:w="810" w:type="dxa"/>
            <w:tcBorders>
              <w:top w:val="nil"/>
              <w:left w:val="single" w:sz="4" w:space="0" w:color="auto"/>
              <w:bottom w:val="single" w:sz="4" w:space="0" w:color="auto"/>
              <w:right w:val="single" w:sz="4" w:space="0" w:color="auto"/>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1.67</w:t>
            </w:r>
          </w:p>
        </w:tc>
        <w:tc>
          <w:tcPr>
            <w:tcW w:w="810" w:type="dxa"/>
            <w:tcBorders>
              <w:top w:val="nil"/>
              <w:left w:val="single" w:sz="4" w:space="0" w:color="auto"/>
              <w:bottom w:val="single" w:sz="4" w:space="0" w:color="auto"/>
              <w:right w:val="nil"/>
            </w:tcBorders>
            <w:shd w:val="clear" w:color="auto" w:fill="C6D9F1"/>
            <w:noWrap/>
            <w:vAlign w:val="bottom"/>
            <w:hideMark/>
          </w:tcPr>
          <w:p w:rsidR="007E080B" w:rsidRPr="00913F57" w:rsidRDefault="007E080B" w:rsidP="00A27AD3">
            <w:pPr>
              <w:spacing w:after="0" w:line="240" w:lineRule="auto"/>
              <w:jc w:val="center"/>
              <w:rPr>
                <w:rFonts w:ascii="Arial" w:hAnsi="Arial" w:cs="Arial"/>
                <w:color w:val="000000"/>
                <w:sz w:val="20"/>
                <w:szCs w:val="20"/>
              </w:rPr>
            </w:pPr>
            <w:r w:rsidRPr="00913F57">
              <w:rPr>
                <w:rFonts w:ascii="Arial" w:hAnsi="Arial" w:cs="Arial"/>
                <w:color w:val="000000"/>
                <w:sz w:val="20"/>
                <w:szCs w:val="20"/>
              </w:rPr>
              <w:t>0.40</w:t>
            </w:r>
          </w:p>
        </w:tc>
      </w:tr>
    </w:tbl>
    <w:p w:rsidR="007E080B" w:rsidRPr="00DA6FB3" w:rsidRDefault="007E080B" w:rsidP="007E080B">
      <w:pPr>
        <w:pStyle w:val="CAROLFONTE"/>
      </w:pPr>
      <w:r w:rsidRPr="00DA6FB3">
        <w:t>Fonte:</w:t>
      </w:r>
      <w:r>
        <w:t xml:space="preserve"> </w:t>
      </w:r>
      <w:r w:rsidRPr="00DA6FB3">
        <w:t xml:space="preserve">Adaptação de Leal </w:t>
      </w:r>
      <w:r>
        <w:t>e Feijó 2011</w:t>
      </w:r>
      <w:r w:rsidRPr="00DA6FB3">
        <w:t>,</w:t>
      </w:r>
      <w:r>
        <w:t xml:space="preserve"> p. 18</w:t>
      </w:r>
      <w:r w:rsidRPr="00DA6FB3">
        <w:t>.</w:t>
      </w:r>
    </w:p>
    <w:p w:rsidR="007E080B" w:rsidRDefault="007E080B" w:rsidP="007E080B">
      <w:pPr>
        <w:pStyle w:val="CAROLTEXTOS"/>
      </w:pPr>
    </w:p>
    <w:p w:rsidR="00ED526C" w:rsidRDefault="007E080B" w:rsidP="007E080B">
      <w:pPr>
        <w:pStyle w:val="CAROLTEXTOS"/>
      </w:pPr>
      <w:r>
        <w:t xml:space="preserve">Partindo-se do pressuposto de que o limite entre eficiência e ineficiência é dado pela constante de valor um, pode-se afirmar que o período de 2000 a 2004 apresentou uma política monetária ineficiente, enquanto à partir do ano de 2005, observou-se que esta passou a ser mais que eficiente. Isso demonstra que os custos relacionados à política - queda do emprego e do PIB -  foi inferior ao benefício de controle da inflação. Além disso, através dos valores acima, vê-se que o ano de 2013 foi o mais Eficiente , apresentando um valor de 1,67, enquanto o ano de 2002 foi o mais ineficiente, apresentando um valor de 0,31. </w:t>
      </w:r>
    </w:p>
    <w:p w:rsidR="007E080B" w:rsidRDefault="00ED526C" w:rsidP="007E080B">
      <w:pPr>
        <w:pStyle w:val="CAROLTEXTOS"/>
      </w:pPr>
      <w:r>
        <w:t>P</w:t>
      </w:r>
      <w:r w:rsidR="007E080B">
        <w:t xml:space="preserve">ode-se perceber facilmente que o período de 2000 a 2004 apresentou uma política monetária ineficiente, enquanto o período de 2005 até 2013 foi mais que eficiente. Esses dados indicam uma forte melhora da condução da política monetária frente aos custos da mesma, uma vez que há  oito  anos o Brasil consegue desenvolver um controle inflacionário com custos menores que </w:t>
      </w:r>
      <w:r w:rsidR="007E080B">
        <w:lastRenderedPageBreak/>
        <w:t>os benefícios de controle inflacionários.</w:t>
      </w:r>
    </w:p>
    <w:p w:rsidR="005E098C" w:rsidRDefault="005E098C" w:rsidP="007E080B">
      <w:pPr>
        <w:pStyle w:val="CAROLTTULO1"/>
      </w:pPr>
      <w:bookmarkStart w:id="47" w:name="_Toc388302229"/>
      <w:bookmarkStart w:id="48" w:name="_Toc388306388"/>
      <w:bookmarkStart w:id="49" w:name="_Toc388306479"/>
      <w:bookmarkStart w:id="50" w:name="_Toc388447494"/>
    </w:p>
    <w:p w:rsidR="007E080B" w:rsidRPr="002A4ABB" w:rsidRDefault="007E080B" w:rsidP="007E080B">
      <w:pPr>
        <w:pStyle w:val="CAROLTTULO1"/>
      </w:pPr>
      <w:r w:rsidRPr="002A4ABB">
        <w:t>5 CONCLUSÕES</w:t>
      </w:r>
      <w:bookmarkEnd w:id="47"/>
      <w:bookmarkEnd w:id="48"/>
      <w:bookmarkEnd w:id="49"/>
      <w:bookmarkEnd w:id="50"/>
    </w:p>
    <w:p w:rsidR="007E080B" w:rsidRPr="002A4ABB" w:rsidRDefault="007E080B" w:rsidP="007E080B">
      <w:pPr>
        <w:pStyle w:val="CAROLTTULO2"/>
      </w:pPr>
      <w:bookmarkStart w:id="51" w:name="_Toc388302230"/>
      <w:bookmarkStart w:id="52" w:name="_Toc388306389"/>
      <w:bookmarkStart w:id="53" w:name="_Toc388306480"/>
      <w:bookmarkStart w:id="54" w:name="_Toc388447495"/>
      <w:r w:rsidRPr="002A4ABB">
        <w:t>5.1 Análises dos Governos</w:t>
      </w:r>
      <w:bookmarkEnd w:id="51"/>
      <w:bookmarkEnd w:id="52"/>
      <w:bookmarkEnd w:id="53"/>
      <w:bookmarkEnd w:id="54"/>
    </w:p>
    <w:p w:rsidR="007E080B" w:rsidRDefault="007E080B" w:rsidP="007E080B">
      <w:pPr>
        <w:pStyle w:val="CAROLTEXTOS"/>
      </w:pPr>
      <w:r>
        <w:t>Para finalizar a análise, a tabela 6, sintetiza os resultados encontrados para a eficácia e a eficiência das políticas monetárias no período de 2000 a 2013. Além disso, pode-se fazer um paralelo dos resultados encontrados com os Governos atuantes em cada ano analisado.</w:t>
      </w:r>
    </w:p>
    <w:p w:rsidR="007E080B" w:rsidRPr="009003C8" w:rsidRDefault="007E080B" w:rsidP="007E080B">
      <w:pPr>
        <w:pStyle w:val="CAROLTEXTOS"/>
      </w:pPr>
    </w:p>
    <w:p w:rsidR="007E080B" w:rsidRPr="00841393" w:rsidRDefault="007E080B" w:rsidP="007E080B">
      <w:pPr>
        <w:pStyle w:val="CAROLTABELAS"/>
      </w:pPr>
      <w:bookmarkStart w:id="55" w:name="_Toc388447196"/>
      <w:r>
        <w:t xml:space="preserve">Tabela </w:t>
      </w:r>
      <w:r w:rsidR="008167E4">
        <w:t>4</w:t>
      </w:r>
      <w:r>
        <w:t xml:space="preserve"> - </w:t>
      </w:r>
      <w:r w:rsidRPr="00DA6FB3">
        <w:t>Balanço dos resultados comparativos entre Governos</w:t>
      </w:r>
      <w:bookmarkEnd w:id="55"/>
    </w:p>
    <w:tbl>
      <w:tblPr>
        <w:tblW w:w="5000" w:type="pct"/>
        <w:tblCellMar>
          <w:left w:w="70" w:type="dxa"/>
          <w:right w:w="70" w:type="dxa"/>
        </w:tblCellMar>
        <w:tblLook w:val="04A0"/>
      </w:tblPr>
      <w:tblGrid>
        <w:gridCol w:w="738"/>
        <w:gridCol w:w="1167"/>
        <w:gridCol w:w="1912"/>
        <w:gridCol w:w="1291"/>
        <w:gridCol w:w="2246"/>
        <w:gridCol w:w="1290"/>
      </w:tblGrid>
      <w:tr w:rsidR="007E080B" w:rsidRPr="00883A7A" w:rsidTr="00A27AD3">
        <w:trPr>
          <w:trHeight w:val="420"/>
        </w:trPr>
        <w:tc>
          <w:tcPr>
            <w:tcW w:w="427" w:type="pct"/>
            <w:tcBorders>
              <w:top w:val="single" w:sz="4" w:space="0" w:color="auto"/>
              <w:left w:val="nil"/>
              <w:bottom w:val="single" w:sz="4" w:space="0" w:color="auto"/>
              <w:right w:val="single" w:sz="4" w:space="0" w:color="auto"/>
            </w:tcBorders>
            <w:shd w:val="clear" w:color="auto" w:fill="8DB3E2"/>
            <w:vAlign w:val="center"/>
            <w:hideMark/>
          </w:tcPr>
          <w:p w:rsidR="007E080B" w:rsidRPr="00883A7A" w:rsidRDefault="007E080B" w:rsidP="00A27AD3">
            <w:pPr>
              <w:spacing w:before="40" w:after="40" w:line="240" w:lineRule="auto"/>
              <w:jc w:val="center"/>
              <w:rPr>
                <w:rFonts w:ascii="Arial" w:hAnsi="Arial" w:cs="Arial"/>
                <w:b/>
                <w:bCs/>
                <w:color w:val="000000"/>
                <w:sz w:val="20"/>
                <w:szCs w:val="20"/>
              </w:rPr>
            </w:pPr>
            <w:r w:rsidRPr="00883A7A">
              <w:rPr>
                <w:rFonts w:ascii="Arial" w:hAnsi="Arial" w:cs="Arial"/>
                <w:b/>
                <w:bCs/>
                <w:color w:val="000000"/>
                <w:sz w:val="20"/>
                <w:szCs w:val="20"/>
              </w:rPr>
              <w:t>Ano</w:t>
            </w:r>
          </w:p>
        </w:tc>
        <w:tc>
          <w:tcPr>
            <w:tcW w:w="675"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7E080B" w:rsidRPr="00883A7A" w:rsidRDefault="007E080B" w:rsidP="00A27AD3">
            <w:pPr>
              <w:spacing w:before="40" w:after="40" w:line="240" w:lineRule="auto"/>
              <w:jc w:val="center"/>
              <w:rPr>
                <w:rFonts w:ascii="Arial" w:hAnsi="Arial" w:cs="Arial"/>
                <w:b/>
                <w:bCs/>
                <w:color w:val="000000"/>
                <w:sz w:val="20"/>
                <w:szCs w:val="20"/>
              </w:rPr>
            </w:pPr>
            <w:r w:rsidRPr="00883A7A">
              <w:rPr>
                <w:rFonts w:ascii="Arial" w:hAnsi="Arial" w:cs="Arial"/>
                <w:b/>
                <w:bCs/>
                <w:color w:val="000000"/>
                <w:sz w:val="20"/>
                <w:szCs w:val="20"/>
              </w:rPr>
              <w:t>Governo</w:t>
            </w:r>
          </w:p>
        </w:tc>
        <w:tc>
          <w:tcPr>
            <w:tcW w:w="1106"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7E080B" w:rsidRPr="00883A7A" w:rsidRDefault="007E080B" w:rsidP="00A27AD3">
            <w:pPr>
              <w:spacing w:before="40" w:after="40" w:line="240" w:lineRule="auto"/>
              <w:jc w:val="center"/>
              <w:rPr>
                <w:rFonts w:ascii="Arial" w:hAnsi="Arial" w:cs="Arial"/>
                <w:b/>
                <w:bCs/>
                <w:color w:val="000000"/>
                <w:sz w:val="20"/>
                <w:szCs w:val="20"/>
              </w:rPr>
            </w:pPr>
            <w:r w:rsidRPr="00883A7A">
              <w:rPr>
                <w:rFonts w:ascii="Arial" w:hAnsi="Arial" w:cs="Arial"/>
                <w:b/>
                <w:bCs/>
                <w:color w:val="000000"/>
                <w:sz w:val="20"/>
                <w:szCs w:val="20"/>
              </w:rPr>
              <w:t>Eficácia</w:t>
            </w:r>
          </w:p>
        </w:tc>
        <w:tc>
          <w:tcPr>
            <w:tcW w:w="747"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7E080B" w:rsidRPr="00883A7A" w:rsidRDefault="007E080B" w:rsidP="00A27AD3">
            <w:pPr>
              <w:spacing w:before="40" w:after="40" w:line="240" w:lineRule="auto"/>
              <w:jc w:val="center"/>
              <w:rPr>
                <w:rFonts w:ascii="Arial" w:hAnsi="Arial" w:cs="Arial"/>
                <w:b/>
                <w:bCs/>
                <w:color w:val="000000"/>
                <w:sz w:val="20"/>
                <w:szCs w:val="20"/>
              </w:rPr>
            </w:pPr>
            <w:r w:rsidRPr="00883A7A">
              <w:rPr>
                <w:rFonts w:ascii="Arial" w:hAnsi="Arial" w:cs="Arial"/>
                <w:b/>
                <w:bCs/>
                <w:color w:val="000000"/>
                <w:sz w:val="20"/>
                <w:szCs w:val="20"/>
              </w:rPr>
              <w:t>Variação</w:t>
            </w:r>
          </w:p>
        </w:tc>
        <w:tc>
          <w:tcPr>
            <w:tcW w:w="1299" w:type="pct"/>
            <w:tcBorders>
              <w:top w:val="single" w:sz="4" w:space="0" w:color="auto"/>
              <w:left w:val="single" w:sz="4" w:space="0" w:color="auto"/>
              <w:bottom w:val="single" w:sz="4" w:space="0" w:color="auto"/>
              <w:right w:val="single" w:sz="4" w:space="0" w:color="auto"/>
            </w:tcBorders>
            <w:shd w:val="clear" w:color="auto" w:fill="8DB3E2"/>
            <w:vAlign w:val="center"/>
            <w:hideMark/>
          </w:tcPr>
          <w:p w:rsidR="007E080B" w:rsidRPr="00883A7A" w:rsidRDefault="007E080B" w:rsidP="00A27AD3">
            <w:pPr>
              <w:spacing w:before="40" w:after="40" w:line="240" w:lineRule="auto"/>
              <w:jc w:val="center"/>
              <w:rPr>
                <w:rFonts w:ascii="Arial" w:hAnsi="Arial" w:cs="Arial"/>
                <w:b/>
                <w:bCs/>
                <w:color w:val="000000"/>
                <w:sz w:val="20"/>
                <w:szCs w:val="20"/>
              </w:rPr>
            </w:pPr>
            <w:r w:rsidRPr="00883A7A">
              <w:rPr>
                <w:rFonts w:ascii="Arial" w:hAnsi="Arial" w:cs="Arial"/>
                <w:b/>
                <w:bCs/>
                <w:color w:val="000000"/>
                <w:sz w:val="20"/>
                <w:szCs w:val="20"/>
              </w:rPr>
              <w:t>Eficiência</w:t>
            </w:r>
          </w:p>
        </w:tc>
        <w:tc>
          <w:tcPr>
            <w:tcW w:w="747" w:type="pct"/>
            <w:tcBorders>
              <w:top w:val="single" w:sz="4" w:space="0" w:color="auto"/>
              <w:left w:val="single" w:sz="4" w:space="0" w:color="auto"/>
              <w:bottom w:val="single" w:sz="4" w:space="0" w:color="auto"/>
              <w:right w:val="nil"/>
            </w:tcBorders>
            <w:shd w:val="clear" w:color="auto" w:fill="8DB3E2"/>
            <w:vAlign w:val="center"/>
            <w:hideMark/>
          </w:tcPr>
          <w:p w:rsidR="007E080B" w:rsidRPr="00883A7A" w:rsidRDefault="007E080B" w:rsidP="00A27AD3">
            <w:pPr>
              <w:spacing w:before="40" w:after="40" w:line="240" w:lineRule="auto"/>
              <w:jc w:val="center"/>
              <w:rPr>
                <w:rFonts w:ascii="Arial" w:hAnsi="Arial" w:cs="Arial"/>
                <w:b/>
                <w:bCs/>
                <w:color w:val="000000"/>
                <w:sz w:val="20"/>
                <w:szCs w:val="20"/>
              </w:rPr>
            </w:pPr>
            <w:r w:rsidRPr="00883A7A">
              <w:rPr>
                <w:rFonts w:ascii="Arial" w:hAnsi="Arial" w:cs="Arial"/>
                <w:b/>
                <w:bCs/>
                <w:color w:val="000000"/>
                <w:sz w:val="20"/>
                <w:szCs w:val="20"/>
              </w:rPr>
              <w:t>Variação</w:t>
            </w:r>
          </w:p>
        </w:tc>
      </w:tr>
      <w:tr w:rsidR="007E080B" w:rsidRPr="00883A7A" w:rsidTr="00A27AD3">
        <w:trPr>
          <w:trHeight w:val="155"/>
        </w:trPr>
        <w:tc>
          <w:tcPr>
            <w:tcW w:w="427" w:type="pct"/>
            <w:tcBorders>
              <w:top w:val="nil"/>
              <w:left w:val="nil"/>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2000</w:t>
            </w:r>
          </w:p>
        </w:tc>
        <w:tc>
          <w:tcPr>
            <w:tcW w:w="675"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FHC</w:t>
            </w:r>
          </w:p>
        </w:tc>
        <w:tc>
          <w:tcPr>
            <w:tcW w:w="1106"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Ineficaz</w:t>
            </w:r>
          </w:p>
        </w:tc>
        <w:tc>
          <w:tcPr>
            <w:tcW w:w="747"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w:t>
            </w:r>
          </w:p>
        </w:tc>
        <w:tc>
          <w:tcPr>
            <w:tcW w:w="1299"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Ineficiente</w:t>
            </w:r>
          </w:p>
        </w:tc>
        <w:tc>
          <w:tcPr>
            <w:tcW w:w="747" w:type="pct"/>
            <w:tcBorders>
              <w:top w:val="nil"/>
              <w:left w:val="single" w:sz="4" w:space="0" w:color="auto"/>
              <w:bottom w:val="nil"/>
              <w:right w:val="nil"/>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w:t>
            </w:r>
          </w:p>
        </w:tc>
      </w:tr>
      <w:tr w:rsidR="007E080B" w:rsidRPr="00883A7A" w:rsidTr="00A27AD3">
        <w:trPr>
          <w:trHeight w:val="155"/>
        </w:trPr>
        <w:tc>
          <w:tcPr>
            <w:tcW w:w="427" w:type="pct"/>
            <w:tcBorders>
              <w:top w:val="nil"/>
              <w:left w:val="nil"/>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2001</w:t>
            </w:r>
          </w:p>
        </w:tc>
        <w:tc>
          <w:tcPr>
            <w:tcW w:w="675"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FHC</w:t>
            </w:r>
          </w:p>
        </w:tc>
        <w:tc>
          <w:tcPr>
            <w:tcW w:w="1106"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Ineficaz</w:t>
            </w:r>
          </w:p>
        </w:tc>
        <w:tc>
          <w:tcPr>
            <w:tcW w:w="747"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Piorou</w:t>
            </w:r>
          </w:p>
        </w:tc>
        <w:tc>
          <w:tcPr>
            <w:tcW w:w="1299"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Ineficiente</w:t>
            </w:r>
          </w:p>
        </w:tc>
        <w:tc>
          <w:tcPr>
            <w:tcW w:w="747" w:type="pct"/>
            <w:tcBorders>
              <w:top w:val="nil"/>
              <w:left w:val="single" w:sz="4" w:space="0" w:color="auto"/>
              <w:bottom w:val="nil"/>
              <w:right w:val="nil"/>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Piorou</w:t>
            </w:r>
          </w:p>
        </w:tc>
      </w:tr>
      <w:tr w:rsidR="007E080B" w:rsidRPr="00883A7A" w:rsidTr="00A27AD3">
        <w:trPr>
          <w:trHeight w:val="155"/>
        </w:trPr>
        <w:tc>
          <w:tcPr>
            <w:tcW w:w="427" w:type="pct"/>
            <w:tcBorders>
              <w:top w:val="nil"/>
              <w:left w:val="nil"/>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2002</w:t>
            </w:r>
          </w:p>
        </w:tc>
        <w:tc>
          <w:tcPr>
            <w:tcW w:w="675"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FHC</w:t>
            </w:r>
          </w:p>
        </w:tc>
        <w:tc>
          <w:tcPr>
            <w:tcW w:w="1106"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Ineficaz</w:t>
            </w:r>
          </w:p>
        </w:tc>
        <w:tc>
          <w:tcPr>
            <w:tcW w:w="747"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Piorou</w:t>
            </w:r>
          </w:p>
        </w:tc>
        <w:tc>
          <w:tcPr>
            <w:tcW w:w="1299"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Ineficiente</w:t>
            </w:r>
          </w:p>
        </w:tc>
        <w:tc>
          <w:tcPr>
            <w:tcW w:w="747" w:type="pct"/>
            <w:tcBorders>
              <w:top w:val="nil"/>
              <w:left w:val="single" w:sz="4" w:space="0" w:color="auto"/>
              <w:bottom w:val="nil"/>
              <w:right w:val="nil"/>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Piorou</w:t>
            </w:r>
          </w:p>
        </w:tc>
      </w:tr>
      <w:tr w:rsidR="007E080B" w:rsidRPr="00883A7A" w:rsidTr="00A27AD3">
        <w:trPr>
          <w:trHeight w:val="155"/>
        </w:trPr>
        <w:tc>
          <w:tcPr>
            <w:tcW w:w="427" w:type="pct"/>
            <w:tcBorders>
              <w:top w:val="nil"/>
              <w:left w:val="nil"/>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2003</w:t>
            </w:r>
          </w:p>
        </w:tc>
        <w:tc>
          <w:tcPr>
            <w:tcW w:w="675"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LULA 1°</w:t>
            </w:r>
          </w:p>
        </w:tc>
        <w:tc>
          <w:tcPr>
            <w:tcW w:w="1106"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Ineficaz</w:t>
            </w:r>
          </w:p>
        </w:tc>
        <w:tc>
          <w:tcPr>
            <w:tcW w:w="747"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Melhorou</w:t>
            </w:r>
          </w:p>
        </w:tc>
        <w:tc>
          <w:tcPr>
            <w:tcW w:w="1299"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Ineficiente</w:t>
            </w:r>
          </w:p>
        </w:tc>
        <w:tc>
          <w:tcPr>
            <w:tcW w:w="747" w:type="pct"/>
            <w:tcBorders>
              <w:top w:val="nil"/>
              <w:left w:val="single" w:sz="4" w:space="0" w:color="auto"/>
              <w:bottom w:val="nil"/>
              <w:right w:val="nil"/>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Melhorou</w:t>
            </w:r>
          </w:p>
        </w:tc>
      </w:tr>
      <w:tr w:rsidR="007E080B" w:rsidRPr="00883A7A" w:rsidTr="00A27AD3">
        <w:trPr>
          <w:trHeight w:val="155"/>
        </w:trPr>
        <w:tc>
          <w:tcPr>
            <w:tcW w:w="427" w:type="pct"/>
            <w:tcBorders>
              <w:top w:val="nil"/>
              <w:left w:val="nil"/>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2004</w:t>
            </w:r>
          </w:p>
        </w:tc>
        <w:tc>
          <w:tcPr>
            <w:tcW w:w="675"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LULA 1°</w:t>
            </w:r>
          </w:p>
        </w:tc>
        <w:tc>
          <w:tcPr>
            <w:tcW w:w="1106"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Ineficaz</w:t>
            </w:r>
          </w:p>
        </w:tc>
        <w:tc>
          <w:tcPr>
            <w:tcW w:w="747"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Melhorou</w:t>
            </w:r>
          </w:p>
        </w:tc>
        <w:tc>
          <w:tcPr>
            <w:tcW w:w="1299"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Ineficiente</w:t>
            </w:r>
          </w:p>
        </w:tc>
        <w:tc>
          <w:tcPr>
            <w:tcW w:w="747" w:type="pct"/>
            <w:tcBorders>
              <w:top w:val="nil"/>
              <w:left w:val="single" w:sz="4" w:space="0" w:color="auto"/>
              <w:bottom w:val="nil"/>
              <w:right w:val="nil"/>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Melhorou</w:t>
            </w:r>
          </w:p>
        </w:tc>
      </w:tr>
      <w:tr w:rsidR="007E080B" w:rsidRPr="00883A7A" w:rsidTr="00A27AD3">
        <w:trPr>
          <w:trHeight w:val="155"/>
        </w:trPr>
        <w:tc>
          <w:tcPr>
            <w:tcW w:w="427" w:type="pct"/>
            <w:tcBorders>
              <w:top w:val="nil"/>
              <w:left w:val="nil"/>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2005</w:t>
            </w:r>
          </w:p>
        </w:tc>
        <w:tc>
          <w:tcPr>
            <w:tcW w:w="675"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LULA 1°</w:t>
            </w:r>
          </w:p>
        </w:tc>
        <w:tc>
          <w:tcPr>
            <w:tcW w:w="1106"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Mais que Eficaz</w:t>
            </w:r>
          </w:p>
        </w:tc>
        <w:tc>
          <w:tcPr>
            <w:tcW w:w="747"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Melhorou</w:t>
            </w:r>
          </w:p>
        </w:tc>
        <w:tc>
          <w:tcPr>
            <w:tcW w:w="1299"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Mais que Eficiente</w:t>
            </w:r>
          </w:p>
        </w:tc>
        <w:tc>
          <w:tcPr>
            <w:tcW w:w="747" w:type="pct"/>
            <w:tcBorders>
              <w:top w:val="nil"/>
              <w:left w:val="single" w:sz="4" w:space="0" w:color="auto"/>
              <w:bottom w:val="nil"/>
              <w:right w:val="nil"/>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Melhorou</w:t>
            </w:r>
          </w:p>
        </w:tc>
      </w:tr>
      <w:tr w:rsidR="007E080B" w:rsidRPr="00883A7A" w:rsidTr="00A27AD3">
        <w:trPr>
          <w:trHeight w:val="155"/>
        </w:trPr>
        <w:tc>
          <w:tcPr>
            <w:tcW w:w="427" w:type="pct"/>
            <w:tcBorders>
              <w:top w:val="nil"/>
              <w:left w:val="nil"/>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2006</w:t>
            </w:r>
          </w:p>
        </w:tc>
        <w:tc>
          <w:tcPr>
            <w:tcW w:w="675"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LULA 1°</w:t>
            </w:r>
          </w:p>
        </w:tc>
        <w:tc>
          <w:tcPr>
            <w:tcW w:w="1106"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Mais que Eficaz</w:t>
            </w:r>
          </w:p>
        </w:tc>
        <w:tc>
          <w:tcPr>
            <w:tcW w:w="747"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Melhorou</w:t>
            </w:r>
          </w:p>
        </w:tc>
        <w:tc>
          <w:tcPr>
            <w:tcW w:w="1299"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Mais que Eficiente</w:t>
            </w:r>
          </w:p>
        </w:tc>
        <w:tc>
          <w:tcPr>
            <w:tcW w:w="747" w:type="pct"/>
            <w:tcBorders>
              <w:top w:val="nil"/>
              <w:left w:val="single" w:sz="4" w:space="0" w:color="auto"/>
              <w:bottom w:val="nil"/>
              <w:right w:val="nil"/>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Melhorou</w:t>
            </w:r>
          </w:p>
        </w:tc>
      </w:tr>
      <w:tr w:rsidR="007E080B" w:rsidRPr="00883A7A" w:rsidTr="00A27AD3">
        <w:trPr>
          <w:trHeight w:val="155"/>
        </w:trPr>
        <w:tc>
          <w:tcPr>
            <w:tcW w:w="427" w:type="pct"/>
            <w:tcBorders>
              <w:top w:val="nil"/>
              <w:left w:val="nil"/>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2007</w:t>
            </w:r>
          </w:p>
        </w:tc>
        <w:tc>
          <w:tcPr>
            <w:tcW w:w="675"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LULA 2°</w:t>
            </w:r>
          </w:p>
        </w:tc>
        <w:tc>
          <w:tcPr>
            <w:tcW w:w="1106"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Mais que Eficaz</w:t>
            </w:r>
          </w:p>
        </w:tc>
        <w:tc>
          <w:tcPr>
            <w:tcW w:w="747"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Piorou</w:t>
            </w:r>
          </w:p>
        </w:tc>
        <w:tc>
          <w:tcPr>
            <w:tcW w:w="1299"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Mais que Eficiente</w:t>
            </w:r>
          </w:p>
        </w:tc>
        <w:tc>
          <w:tcPr>
            <w:tcW w:w="747" w:type="pct"/>
            <w:tcBorders>
              <w:top w:val="nil"/>
              <w:left w:val="single" w:sz="4" w:space="0" w:color="auto"/>
              <w:bottom w:val="nil"/>
              <w:right w:val="nil"/>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Piorou</w:t>
            </w:r>
          </w:p>
        </w:tc>
      </w:tr>
      <w:tr w:rsidR="007E080B" w:rsidRPr="00883A7A" w:rsidTr="00A27AD3">
        <w:trPr>
          <w:trHeight w:val="155"/>
        </w:trPr>
        <w:tc>
          <w:tcPr>
            <w:tcW w:w="427" w:type="pct"/>
            <w:tcBorders>
              <w:top w:val="nil"/>
              <w:left w:val="nil"/>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2008</w:t>
            </w:r>
          </w:p>
        </w:tc>
        <w:tc>
          <w:tcPr>
            <w:tcW w:w="675"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LULA 2°</w:t>
            </w:r>
          </w:p>
        </w:tc>
        <w:tc>
          <w:tcPr>
            <w:tcW w:w="1106"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Mais que Eficaz</w:t>
            </w:r>
          </w:p>
        </w:tc>
        <w:tc>
          <w:tcPr>
            <w:tcW w:w="747"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Piorou</w:t>
            </w:r>
          </w:p>
        </w:tc>
        <w:tc>
          <w:tcPr>
            <w:tcW w:w="1299"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Mais que Eficiente</w:t>
            </w:r>
          </w:p>
        </w:tc>
        <w:tc>
          <w:tcPr>
            <w:tcW w:w="747" w:type="pct"/>
            <w:tcBorders>
              <w:top w:val="nil"/>
              <w:left w:val="single" w:sz="4" w:space="0" w:color="auto"/>
              <w:bottom w:val="nil"/>
              <w:right w:val="nil"/>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Melhorou</w:t>
            </w:r>
          </w:p>
        </w:tc>
      </w:tr>
      <w:tr w:rsidR="007E080B" w:rsidRPr="00883A7A" w:rsidTr="00A27AD3">
        <w:trPr>
          <w:trHeight w:val="155"/>
        </w:trPr>
        <w:tc>
          <w:tcPr>
            <w:tcW w:w="427" w:type="pct"/>
            <w:tcBorders>
              <w:top w:val="nil"/>
              <w:left w:val="nil"/>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2009</w:t>
            </w:r>
          </w:p>
        </w:tc>
        <w:tc>
          <w:tcPr>
            <w:tcW w:w="675"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LULA 2°</w:t>
            </w:r>
          </w:p>
        </w:tc>
        <w:tc>
          <w:tcPr>
            <w:tcW w:w="1106"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Mais que Eficaz</w:t>
            </w:r>
          </w:p>
        </w:tc>
        <w:tc>
          <w:tcPr>
            <w:tcW w:w="747"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Melhorou</w:t>
            </w:r>
          </w:p>
        </w:tc>
        <w:tc>
          <w:tcPr>
            <w:tcW w:w="1299"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Mais que Eficiente</w:t>
            </w:r>
          </w:p>
        </w:tc>
        <w:tc>
          <w:tcPr>
            <w:tcW w:w="747" w:type="pct"/>
            <w:tcBorders>
              <w:top w:val="nil"/>
              <w:left w:val="single" w:sz="4" w:space="0" w:color="auto"/>
              <w:bottom w:val="nil"/>
              <w:right w:val="nil"/>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Melhorou</w:t>
            </w:r>
          </w:p>
        </w:tc>
      </w:tr>
      <w:tr w:rsidR="007E080B" w:rsidRPr="00883A7A" w:rsidTr="00A27AD3">
        <w:trPr>
          <w:trHeight w:val="155"/>
        </w:trPr>
        <w:tc>
          <w:tcPr>
            <w:tcW w:w="427" w:type="pct"/>
            <w:tcBorders>
              <w:top w:val="nil"/>
              <w:left w:val="nil"/>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2010</w:t>
            </w:r>
          </w:p>
        </w:tc>
        <w:tc>
          <w:tcPr>
            <w:tcW w:w="675"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LULA 2°</w:t>
            </w:r>
          </w:p>
        </w:tc>
        <w:tc>
          <w:tcPr>
            <w:tcW w:w="1106"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Mais que Eficaz</w:t>
            </w:r>
          </w:p>
        </w:tc>
        <w:tc>
          <w:tcPr>
            <w:tcW w:w="747"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Melhorou</w:t>
            </w:r>
          </w:p>
        </w:tc>
        <w:tc>
          <w:tcPr>
            <w:tcW w:w="1299"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Mais que Eficiente</w:t>
            </w:r>
          </w:p>
        </w:tc>
        <w:tc>
          <w:tcPr>
            <w:tcW w:w="747" w:type="pct"/>
            <w:tcBorders>
              <w:top w:val="nil"/>
              <w:left w:val="single" w:sz="4" w:space="0" w:color="auto"/>
              <w:bottom w:val="nil"/>
              <w:right w:val="nil"/>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Melhorou</w:t>
            </w:r>
          </w:p>
        </w:tc>
      </w:tr>
      <w:tr w:rsidR="007E080B" w:rsidRPr="00883A7A" w:rsidTr="00A27AD3">
        <w:trPr>
          <w:trHeight w:val="155"/>
        </w:trPr>
        <w:tc>
          <w:tcPr>
            <w:tcW w:w="427" w:type="pct"/>
            <w:tcBorders>
              <w:top w:val="nil"/>
              <w:left w:val="nil"/>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2011</w:t>
            </w:r>
          </w:p>
        </w:tc>
        <w:tc>
          <w:tcPr>
            <w:tcW w:w="675"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DILMA</w:t>
            </w:r>
          </w:p>
        </w:tc>
        <w:tc>
          <w:tcPr>
            <w:tcW w:w="1106"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Mais que Eficaz</w:t>
            </w:r>
          </w:p>
        </w:tc>
        <w:tc>
          <w:tcPr>
            <w:tcW w:w="747"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Piorou</w:t>
            </w:r>
          </w:p>
        </w:tc>
        <w:tc>
          <w:tcPr>
            <w:tcW w:w="1299"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Mais que Eficiente</w:t>
            </w:r>
          </w:p>
        </w:tc>
        <w:tc>
          <w:tcPr>
            <w:tcW w:w="747" w:type="pct"/>
            <w:tcBorders>
              <w:top w:val="nil"/>
              <w:left w:val="single" w:sz="4" w:space="0" w:color="auto"/>
              <w:bottom w:val="nil"/>
              <w:right w:val="nil"/>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Piorou</w:t>
            </w:r>
          </w:p>
        </w:tc>
      </w:tr>
      <w:tr w:rsidR="007E080B" w:rsidRPr="00883A7A" w:rsidTr="00A27AD3">
        <w:trPr>
          <w:trHeight w:val="155"/>
        </w:trPr>
        <w:tc>
          <w:tcPr>
            <w:tcW w:w="427" w:type="pct"/>
            <w:tcBorders>
              <w:top w:val="nil"/>
              <w:left w:val="nil"/>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2012</w:t>
            </w:r>
          </w:p>
        </w:tc>
        <w:tc>
          <w:tcPr>
            <w:tcW w:w="675"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DILMA</w:t>
            </w:r>
          </w:p>
        </w:tc>
        <w:tc>
          <w:tcPr>
            <w:tcW w:w="1106"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Mais que Eficaz</w:t>
            </w:r>
          </w:p>
        </w:tc>
        <w:tc>
          <w:tcPr>
            <w:tcW w:w="747"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Melhorou</w:t>
            </w:r>
          </w:p>
        </w:tc>
        <w:tc>
          <w:tcPr>
            <w:tcW w:w="1299" w:type="pct"/>
            <w:tcBorders>
              <w:top w:val="nil"/>
              <w:left w:val="single" w:sz="4" w:space="0" w:color="auto"/>
              <w:bottom w:val="nil"/>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Mais que Eficiente</w:t>
            </w:r>
          </w:p>
        </w:tc>
        <w:tc>
          <w:tcPr>
            <w:tcW w:w="747" w:type="pct"/>
            <w:tcBorders>
              <w:top w:val="nil"/>
              <w:left w:val="single" w:sz="4" w:space="0" w:color="auto"/>
              <w:bottom w:val="nil"/>
              <w:right w:val="nil"/>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Piorou</w:t>
            </w:r>
          </w:p>
        </w:tc>
      </w:tr>
      <w:tr w:rsidR="007E080B" w:rsidRPr="00883A7A" w:rsidTr="00A27AD3">
        <w:trPr>
          <w:trHeight w:val="155"/>
        </w:trPr>
        <w:tc>
          <w:tcPr>
            <w:tcW w:w="427" w:type="pct"/>
            <w:tcBorders>
              <w:top w:val="nil"/>
              <w:left w:val="nil"/>
              <w:bottom w:val="single" w:sz="4" w:space="0" w:color="auto"/>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2013</w:t>
            </w:r>
          </w:p>
        </w:tc>
        <w:tc>
          <w:tcPr>
            <w:tcW w:w="675" w:type="pct"/>
            <w:tcBorders>
              <w:top w:val="nil"/>
              <w:left w:val="single" w:sz="4" w:space="0" w:color="auto"/>
              <w:bottom w:val="single" w:sz="4" w:space="0" w:color="auto"/>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DILMA</w:t>
            </w:r>
          </w:p>
        </w:tc>
        <w:tc>
          <w:tcPr>
            <w:tcW w:w="1106" w:type="pct"/>
            <w:tcBorders>
              <w:top w:val="nil"/>
              <w:left w:val="single" w:sz="4" w:space="0" w:color="auto"/>
              <w:bottom w:val="single" w:sz="4" w:space="0" w:color="auto"/>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Mais que Eficaz</w:t>
            </w:r>
          </w:p>
        </w:tc>
        <w:tc>
          <w:tcPr>
            <w:tcW w:w="747" w:type="pct"/>
            <w:tcBorders>
              <w:top w:val="nil"/>
              <w:left w:val="single" w:sz="4" w:space="0" w:color="auto"/>
              <w:bottom w:val="single" w:sz="4" w:space="0" w:color="auto"/>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Melhorou</w:t>
            </w:r>
          </w:p>
        </w:tc>
        <w:tc>
          <w:tcPr>
            <w:tcW w:w="1299" w:type="pct"/>
            <w:tcBorders>
              <w:top w:val="nil"/>
              <w:left w:val="single" w:sz="4" w:space="0" w:color="auto"/>
              <w:bottom w:val="single" w:sz="4" w:space="0" w:color="auto"/>
              <w:right w:val="single" w:sz="4" w:space="0" w:color="auto"/>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Mais que Eficiente</w:t>
            </w:r>
          </w:p>
        </w:tc>
        <w:tc>
          <w:tcPr>
            <w:tcW w:w="747" w:type="pct"/>
            <w:tcBorders>
              <w:top w:val="nil"/>
              <w:left w:val="single" w:sz="4" w:space="0" w:color="auto"/>
              <w:bottom w:val="single" w:sz="4" w:space="0" w:color="auto"/>
              <w:right w:val="nil"/>
            </w:tcBorders>
            <w:shd w:val="clear" w:color="auto" w:fill="C6D9F1"/>
            <w:noWrap/>
            <w:vAlign w:val="bottom"/>
            <w:hideMark/>
          </w:tcPr>
          <w:p w:rsidR="007E080B" w:rsidRPr="00883A7A" w:rsidRDefault="007E080B" w:rsidP="00A27AD3">
            <w:pPr>
              <w:spacing w:before="40" w:after="40" w:line="240" w:lineRule="auto"/>
              <w:jc w:val="center"/>
              <w:rPr>
                <w:rFonts w:ascii="Arial" w:hAnsi="Arial" w:cs="Arial"/>
                <w:color w:val="000000"/>
                <w:sz w:val="20"/>
                <w:szCs w:val="20"/>
              </w:rPr>
            </w:pPr>
            <w:r w:rsidRPr="00883A7A">
              <w:rPr>
                <w:rFonts w:ascii="Arial" w:hAnsi="Arial" w:cs="Arial"/>
                <w:color w:val="000000"/>
                <w:sz w:val="20"/>
                <w:szCs w:val="20"/>
              </w:rPr>
              <w:t>Melhorou</w:t>
            </w:r>
          </w:p>
        </w:tc>
      </w:tr>
    </w:tbl>
    <w:p w:rsidR="007E080B" w:rsidRPr="00DA6FB3" w:rsidRDefault="007E080B" w:rsidP="007E080B">
      <w:pPr>
        <w:pStyle w:val="CAROLFONTE"/>
      </w:pPr>
      <w:r w:rsidRPr="00DA6FB3">
        <w:t xml:space="preserve">Fonte: </w:t>
      </w:r>
      <w:r>
        <w:t>Adaptação Leal e Feijó 2011, p.20.</w:t>
      </w:r>
    </w:p>
    <w:p w:rsidR="007E080B" w:rsidRDefault="007E080B" w:rsidP="007E080B">
      <w:pPr>
        <w:pStyle w:val="CAROLTEXTOS"/>
      </w:pPr>
    </w:p>
    <w:p w:rsidR="007E080B" w:rsidRDefault="007E080B" w:rsidP="007E080B">
      <w:pPr>
        <w:pStyle w:val="CAROLTEXTOS"/>
      </w:pPr>
      <w:r>
        <w:t xml:space="preserve">Analisando os resultados comparativos entre os governos, pode-se afirmar que o Governo FHC foi o mais ineficiente e mais ineficaz do período analisado, além de apresentar pioras na evolução da condução da política monetária. Logo após, observa-se que o Governo Dilma é mais que eficaz e mais que eficiente em todos os anos porém, observou-se uma piora na eficácia e na eficiência no ano de  2011 além de uma queda no nível de eficiência em 2012. Assim, pode-se dizer que o Governo Lula teve o melhor desempenho na condução da política monetária pois, apesar de ter apresentado ineficiência e </w:t>
      </w:r>
      <w:r>
        <w:lastRenderedPageBreak/>
        <w:t>ineficácia em seus dois primeiros anos de mandato,</w:t>
      </w:r>
      <w:r>
        <w:rPr>
          <w:rStyle w:val="Refdenotaderodap"/>
        </w:rPr>
        <w:footnoteReference w:id="18"/>
      </w:r>
      <w:r>
        <w:t xml:space="preserve"> apresentou uma melhora na condução das políticas para tais anos. Ademais, as políticas foram mais que eficazes e mais que eficientes todos os anos à partir de 2005 e, somente em 2007 e 2008 , com a crise internacional , pôde-se perceber uma piora nos índices mas, não o suficiente para ultrapassar o limite da Eficácia e Eficiência iguais a um. Porém, é importante destacar que a medida de eficácia e eficiência proposta pelo trabalho, não leva em conta todas as variáveis atuantes no custo econômico, de forma que variáveis exógenas foram desconsideradas no trabalho. Assim, a comparação entre os diferentes governos não abrange todos os pontos consideráveis de uma análise completa mas , apenas , custos relacionados ao nível do produto e do desemprego decorrentes de variações no nível da taxa de juros, principal variável utilizada para o controle inflacionário. </w:t>
      </w:r>
    </w:p>
    <w:p w:rsidR="007E080B" w:rsidRDefault="007E080B"/>
    <w:p w:rsidR="005E098C" w:rsidRDefault="005E098C"/>
    <w:p w:rsidR="005E098C" w:rsidRDefault="005E098C"/>
    <w:p w:rsidR="005E098C" w:rsidRDefault="005E098C"/>
    <w:p w:rsidR="005E098C" w:rsidRDefault="005E098C"/>
    <w:p w:rsidR="005E098C" w:rsidRDefault="005E098C"/>
    <w:p w:rsidR="005E098C" w:rsidRDefault="005E098C"/>
    <w:p w:rsidR="005E098C" w:rsidRDefault="005E098C"/>
    <w:p w:rsidR="005E098C" w:rsidRDefault="005E098C"/>
    <w:p w:rsidR="005E098C" w:rsidRDefault="005E098C"/>
    <w:p w:rsidR="005E098C" w:rsidRDefault="005E098C"/>
    <w:p w:rsidR="005E098C" w:rsidRDefault="005E098C"/>
    <w:p w:rsidR="005E098C" w:rsidRDefault="005E098C"/>
    <w:p w:rsidR="005E098C" w:rsidRDefault="005E098C"/>
    <w:p w:rsidR="005E098C" w:rsidRDefault="005E098C"/>
    <w:p w:rsidR="005E098C" w:rsidRDefault="005E098C" w:rsidP="005E098C">
      <w:pPr>
        <w:pStyle w:val="CAROLTTULO1"/>
        <w:jc w:val="center"/>
      </w:pPr>
      <w:bookmarkStart w:id="56" w:name="_Toc388447497"/>
      <w:r w:rsidRPr="008D33D3">
        <w:lastRenderedPageBreak/>
        <w:t>REFERÊNCIAS</w:t>
      </w:r>
      <w:bookmarkEnd w:id="56"/>
    </w:p>
    <w:p w:rsidR="005E098C" w:rsidRPr="0091539B" w:rsidRDefault="005E098C" w:rsidP="005E098C">
      <w:pPr>
        <w:spacing w:after="300" w:line="240" w:lineRule="auto"/>
        <w:jc w:val="both"/>
        <w:rPr>
          <w:rFonts w:ascii="Arial" w:hAnsi="Arial" w:cs="Arial"/>
          <w:sz w:val="24"/>
          <w:szCs w:val="24"/>
        </w:rPr>
      </w:pPr>
      <w:r w:rsidRPr="0091539B">
        <w:rPr>
          <w:rFonts w:ascii="Arial" w:hAnsi="Arial" w:cs="Arial"/>
          <w:sz w:val="24"/>
          <w:szCs w:val="24"/>
        </w:rPr>
        <w:t>ARESTIS, Philip; PAULA, Luis Fernando; FERRARI</w:t>
      </w:r>
      <w:r>
        <w:rPr>
          <w:rFonts w:ascii="Arial" w:hAnsi="Arial" w:cs="Arial"/>
          <w:sz w:val="24"/>
          <w:szCs w:val="24"/>
        </w:rPr>
        <w:t xml:space="preserve"> </w:t>
      </w:r>
      <w:r w:rsidRPr="0091539B">
        <w:rPr>
          <w:rFonts w:ascii="Arial" w:hAnsi="Arial" w:cs="Arial"/>
          <w:sz w:val="24"/>
          <w:szCs w:val="24"/>
        </w:rPr>
        <w:t xml:space="preserve">FILHO, Fernando. </w:t>
      </w:r>
      <w:r w:rsidRPr="00D937B5">
        <w:rPr>
          <w:rFonts w:ascii="Arial" w:hAnsi="Arial" w:cs="Arial"/>
          <w:b/>
          <w:sz w:val="24"/>
          <w:szCs w:val="24"/>
        </w:rPr>
        <w:t>A nova política monetária: uma análise do regime de metas de inflação no Brasil</w:t>
      </w:r>
      <w:r w:rsidRPr="0091539B">
        <w:rPr>
          <w:rFonts w:ascii="Arial" w:hAnsi="Arial" w:cs="Arial"/>
          <w:sz w:val="24"/>
          <w:szCs w:val="24"/>
        </w:rPr>
        <w:t>. Revista Economia e Sociedade, Campinas, abr. 2009. v.18,n.1(35), p. 1-30. Disponível em: &lt;</w:t>
      </w:r>
      <w:hyperlink r:id="rId17" w:history="1">
        <w:r w:rsidRPr="0091539B">
          <w:rPr>
            <w:rStyle w:val="Hyperlink"/>
            <w:rFonts w:ascii="Arial" w:hAnsi="Arial" w:cs="Arial"/>
            <w:color w:val="auto"/>
            <w:sz w:val="24"/>
            <w:szCs w:val="24"/>
          </w:rPr>
          <w:t>http://www.scielo.br/pdf/ecos/v18n1/01.pdf</w:t>
        </w:r>
      </w:hyperlink>
      <w:r w:rsidRPr="0091539B">
        <w:rPr>
          <w:rFonts w:ascii="Arial" w:hAnsi="Arial" w:cs="Arial"/>
          <w:sz w:val="24"/>
          <w:szCs w:val="24"/>
        </w:rPr>
        <w:t>&gt;. Acesso em: 15 out. 2013</w:t>
      </w:r>
      <w:r>
        <w:rPr>
          <w:rFonts w:ascii="Arial" w:hAnsi="Arial" w:cs="Arial"/>
          <w:sz w:val="24"/>
          <w:szCs w:val="24"/>
        </w:rPr>
        <w:t>.</w:t>
      </w:r>
    </w:p>
    <w:p w:rsidR="005E098C" w:rsidRPr="0091539B" w:rsidRDefault="005E098C" w:rsidP="005E098C">
      <w:pPr>
        <w:shd w:val="clear" w:color="auto" w:fill="FFFFFF"/>
        <w:spacing w:after="300" w:line="240" w:lineRule="auto"/>
        <w:jc w:val="both"/>
        <w:rPr>
          <w:rFonts w:ascii="Arial" w:hAnsi="Arial" w:cs="Arial"/>
          <w:sz w:val="24"/>
          <w:szCs w:val="24"/>
        </w:rPr>
      </w:pPr>
      <w:r w:rsidRPr="0091539B">
        <w:rPr>
          <w:rFonts w:ascii="Arial" w:hAnsi="Arial" w:cs="Arial"/>
          <w:sz w:val="24"/>
          <w:szCs w:val="24"/>
        </w:rPr>
        <w:t xml:space="preserve">BANCO CENTRAL DO BRASIL. </w:t>
      </w:r>
      <w:r w:rsidRPr="00D937B5">
        <w:rPr>
          <w:rFonts w:ascii="Arial" w:hAnsi="Arial" w:cs="Arial"/>
          <w:b/>
          <w:sz w:val="24"/>
          <w:szCs w:val="24"/>
        </w:rPr>
        <w:t xml:space="preserve">33ª Reunião. </w:t>
      </w:r>
      <w:r w:rsidRPr="00D937B5">
        <w:rPr>
          <w:rFonts w:ascii="Arial" w:hAnsi="Arial" w:cs="Arial"/>
          <w:b/>
          <w:bCs/>
          <w:sz w:val="24"/>
          <w:szCs w:val="24"/>
        </w:rPr>
        <w:t>Ata do COPOM</w:t>
      </w:r>
      <w:r w:rsidRPr="0091539B">
        <w:rPr>
          <w:rFonts w:ascii="Arial" w:hAnsi="Arial" w:cs="Arial"/>
          <w:sz w:val="24"/>
          <w:szCs w:val="24"/>
        </w:rPr>
        <w:t>, Brasília, 1999. Não paginado. Disponível em: &lt;http://www.bcb.gov.br/?COPOM33&gt;. Acesso em: 25 mai</w:t>
      </w:r>
      <w:r>
        <w:rPr>
          <w:rFonts w:ascii="Arial" w:hAnsi="Arial" w:cs="Arial"/>
          <w:sz w:val="24"/>
          <w:szCs w:val="24"/>
        </w:rPr>
        <w:t>.</w:t>
      </w:r>
      <w:r w:rsidRPr="0091539B">
        <w:rPr>
          <w:rFonts w:ascii="Arial" w:hAnsi="Arial" w:cs="Arial"/>
          <w:sz w:val="24"/>
          <w:szCs w:val="24"/>
        </w:rPr>
        <w:t xml:space="preserve"> 2010.</w:t>
      </w:r>
    </w:p>
    <w:p w:rsidR="005E098C" w:rsidRDefault="005E098C" w:rsidP="005E098C">
      <w:pPr>
        <w:shd w:val="clear" w:color="auto" w:fill="FFFFFF"/>
        <w:spacing w:after="300" w:line="240" w:lineRule="auto"/>
        <w:jc w:val="both"/>
        <w:rPr>
          <w:rFonts w:ascii="Arial" w:hAnsi="Arial" w:cs="Arial"/>
          <w:sz w:val="24"/>
          <w:szCs w:val="24"/>
        </w:rPr>
      </w:pPr>
      <w:r>
        <w:rPr>
          <w:rFonts w:ascii="Arial" w:hAnsi="Arial" w:cs="Arial"/>
          <w:sz w:val="24"/>
          <w:szCs w:val="24"/>
        </w:rPr>
        <w:t xml:space="preserve">BRESSER </w:t>
      </w:r>
      <w:r w:rsidRPr="0091539B">
        <w:rPr>
          <w:rFonts w:ascii="Arial" w:hAnsi="Arial" w:cs="Arial"/>
          <w:sz w:val="24"/>
          <w:szCs w:val="24"/>
        </w:rPr>
        <w:t>PEREIRA, Luiz Carlos</w:t>
      </w:r>
      <w:r>
        <w:rPr>
          <w:rFonts w:ascii="Arial" w:hAnsi="Arial" w:cs="Arial"/>
          <w:sz w:val="24"/>
          <w:szCs w:val="24"/>
        </w:rPr>
        <w:t xml:space="preserve"> </w:t>
      </w:r>
      <w:r w:rsidRPr="0091539B">
        <w:rPr>
          <w:rFonts w:ascii="Arial" w:hAnsi="Arial" w:cs="Arial"/>
          <w:sz w:val="24"/>
          <w:szCs w:val="24"/>
        </w:rPr>
        <w:t xml:space="preserve">Bresser; NAKANO, </w:t>
      </w:r>
      <w:proofErr w:type="spellStart"/>
      <w:r w:rsidRPr="0091539B">
        <w:rPr>
          <w:rFonts w:ascii="Arial" w:hAnsi="Arial" w:cs="Arial"/>
          <w:sz w:val="24"/>
          <w:szCs w:val="24"/>
        </w:rPr>
        <w:t>Yoshaki</w:t>
      </w:r>
      <w:proofErr w:type="spellEnd"/>
      <w:r w:rsidRPr="0091539B">
        <w:rPr>
          <w:rFonts w:ascii="Arial" w:hAnsi="Arial" w:cs="Arial"/>
          <w:sz w:val="24"/>
          <w:szCs w:val="24"/>
        </w:rPr>
        <w:t xml:space="preserve">. Inflação inercial e choque Heterodoxo no Brasil. </w:t>
      </w:r>
      <w:r w:rsidRPr="00D937B5">
        <w:rPr>
          <w:rFonts w:ascii="Arial" w:hAnsi="Arial" w:cs="Arial"/>
          <w:b/>
          <w:sz w:val="24"/>
          <w:szCs w:val="24"/>
        </w:rPr>
        <w:t>In</w:t>
      </w:r>
      <w:r w:rsidRPr="0091539B">
        <w:rPr>
          <w:rFonts w:ascii="Arial" w:hAnsi="Arial" w:cs="Arial"/>
          <w:sz w:val="24"/>
          <w:szCs w:val="24"/>
        </w:rPr>
        <w:t>: REGO, José Marcio (Org.) Inflação inercial, teorias sobre inflação e o Plano Cruzado. Rio de Janeiro: Paz e Terra, 1986. p. 123-148. Disponível em: &lt;</w:t>
      </w:r>
      <w:hyperlink r:id="rId18" w:history="1">
        <w:r w:rsidRPr="0091539B">
          <w:rPr>
            <w:rStyle w:val="Hyperlink"/>
            <w:rFonts w:ascii="Arial" w:hAnsi="Arial" w:cs="Arial"/>
            <w:color w:val="auto"/>
            <w:sz w:val="24"/>
            <w:szCs w:val="24"/>
          </w:rPr>
          <w:t>http://www.bresserpereira.org.br/view.asp?cod=2387</w:t>
        </w:r>
      </w:hyperlink>
      <w:r w:rsidRPr="0091539B">
        <w:rPr>
          <w:rFonts w:ascii="Arial" w:hAnsi="Arial" w:cs="Arial"/>
          <w:sz w:val="24"/>
          <w:szCs w:val="24"/>
        </w:rPr>
        <w:t>&gt;. Acesso em: 23 ago. 2013.</w:t>
      </w:r>
    </w:p>
    <w:p w:rsidR="005E098C" w:rsidRPr="0091539B" w:rsidRDefault="005E098C" w:rsidP="005E098C">
      <w:pPr>
        <w:spacing w:after="300" w:line="240" w:lineRule="auto"/>
        <w:jc w:val="both"/>
        <w:rPr>
          <w:rFonts w:ascii="Arial" w:hAnsi="Arial" w:cs="Arial"/>
          <w:sz w:val="24"/>
          <w:szCs w:val="24"/>
        </w:rPr>
      </w:pPr>
      <w:r>
        <w:rPr>
          <w:rFonts w:ascii="Arial" w:hAnsi="Arial" w:cs="Arial"/>
          <w:sz w:val="24"/>
          <w:szCs w:val="24"/>
        </w:rPr>
        <w:t>BRESSER PEREIRA,Luis Carlos</w:t>
      </w:r>
      <w:r w:rsidRPr="0091539B">
        <w:rPr>
          <w:rFonts w:ascii="Arial" w:hAnsi="Arial" w:cs="Arial"/>
          <w:sz w:val="24"/>
          <w:szCs w:val="24"/>
        </w:rPr>
        <w:t xml:space="preserve">. </w:t>
      </w:r>
      <w:r w:rsidRPr="00D937B5">
        <w:rPr>
          <w:rFonts w:ascii="Arial" w:hAnsi="Arial" w:cs="Arial"/>
          <w:b/>
          <w:sz w:val="24"/>
          <w:szCs w:val="24"/>
        </w:rPr>
        <w:t>A descoberta da inflação inercial</w:t>
      </w:r>
      <w:r w:rsidRPr="0091539B">
        <w:rPr>
          <w:rFonts w:ascii="Arial" w:hAnsi="Arial" w:cs="Arial"/>
          <w:sz w:val="24"/>
          <w:szCs w:val="24"/>
        </w:rPr>
        <w:t>. Textos para discussão. FGV. Mar, 2009. Disponível em: &lt;</w:t>
      </w:r>
      <w:r w:rsidRPr="00D937B5">
        <w:rPr>
          <w:rFonts w:ascii="Arial" w:hAnsi="Arial" w:cs="Arial"/>
          <w:sz w:val="24"/>
          <w:szCs w:val="24"/>
        </w:rPr>
        <w:t xml:space="preserve">http://www.bresserpereira.org.br/ </w:t>
      </w:r>
      <w:proofErr w:type="spellStart"/>
      <w:r w:rsidRPr="00D937B5">
        <w:rPr>
          <w:rFonts w:ascii="Arial" w:hAnsi="Arial" w:cs="Arial"/>
          <w:sz w:val="24"/>
          <w:szCs w:val="24"/>
        </w:rPr>
        <w:t>papers</w:t>
      </w:r>
      <w:proofErr w:type="spellEnd"/>
      <w:r w:rsidRPr="00D937B5">
        <w:rPr>
          <w:rFonts w:ascii="Arial" w:hAnsi="Arial" w:cs="Arial"/>
          <w:sz w:val="24"/>
          <w:szCs w:val="24"/>
        </w:rPr>
        <w:t>/1989/96InflacaoReexaminada.</w:t>
      </w:r>
      <w:proofErr w:type="spellStart"/>
      <w:r w:rsidRPr="00D937B5">
        <w:rPr>
          <w:rFonts w:ascii="Arial" w:hAnsi="Arial" w:cs="Arial"/>
          <w:sz w:val="24"/>
          <w:szCs w:val="24"/>
        </w:rPr>
        <w:t>pdf</w:t>
      </w:r>
      <w:proofErr w:type="spellEnd"/>
      <w:r w:rsidRPr="0091539B">
        <w:rPr>
          <w:rFonts w:ascii="Arial" w:hAnsi="Arial" w:cs="Arial"/>
          <w:sz w:val="24"/>
          <w:szCs w:val="24"/>
        </w:rPr>
        <w:t>&gt;. Acesso em: 9 set. 2013.</w:t>
      </w:r>
    </w:p>
    <w:p w:rsidR="005E098C" w:rsidRPr="0091539B" w:rsidRDefault="005E098C" w:rsidP="005E098C">
      <w:pPr>
        <w:spacing w:after="300" w:line="240" w:lineRule="auto"/>
        <w:jc w:val="both"/>
        <w:rPr>
          <w:rFonts w:ascii="Arial" w:hAnsi="Arial" w:cs="Arial"/>
          <w:sz w:val="24"/>
          <w:szCs w:val="24"/>
        </w:rPr>
      </w:pPr>
      <w:r>
        <w:rPr>
          <w:rFonts w:ascii="Arial" w:hAnsi="Arial" w:cs="Arial"/>
          <w:sz w:val="24"/>
          <w:szCs w:val="24"/>
        </w:rPr>
        <w:t>BRESSER PEREIRA,</w:t>
      </w:r>
      <w:r w:rsidRPr="00C53FA2">
        <w:rPr>
          <w:rFonts w:ascii="Arial" w:hAnsi="Arial" w:cs="Arial"/>
          <w:sz w:val="24"/>
          <w:szCs w:val="24"/>
        </w:rPr>
        <w:t xml:space="preserve"> </w:t>
      </w:r>
      <w:r>
        <w:rPr>
          <w:rFonts w:ascii="Arial" w:hAnsi="Arial" w:cs="Arial"/>
          <w:sz w:val="24"/>
          <w:szCs w:val="24"/>
        </w:rPr>
        <w:t>Luis Carlos</w:t>
      </w:r>
      <w:r w:rsidRPr="0091539B">
        <w:rPr>
          <w:rFonts w:ascii="Arial" w:hAnsi="Arial" w:cs="Arial"/>
          <w:sz w:val="24"/>
          <w:szCs w:val="24"/>
        </w:rPr>
        <w:t xml:space="preserve">. </w:t>
      </w:r>
      <w:r w:rsidRPr="00D937B5">
        <w:rPr>
          <w:rFonts w:ascii="Arial" w:hAnsi="Arial" w:cs="Arial"/>
          <w:b/>
          <w:sz w:val="24"/>
          <w:szCs w:val="24"/>
        </w:rPr>
        <w:t>A teoria da inflação inercial reexaminada</w:t>
      </w:r>
      <w:r w:rsidRPr="0091539B">
        <w:rPr>
          <w:rFonts w:ascii="Arial" w:hAnsi="Arial" w:cs="Arial"/>
          <w:sz w:val="24"/>
          <w:szCs w:val="24"/>
        </w:rPr>
        <w:t>,1989. Disponível em: &lt;</w:t>
      </w:r>
      <w:r w:rsidRPr="00D937B5">
        <w:rPr>
          <w:rFonts w:ascii="Arial" w:hAnsi="Arial" w:cs="Arial"/>
          <w:sz w:val="24"/>
          <w:szCs w:val="24"/>
        </w:rPr>
        <w:t>http://www.bresserpereira.org.br/papers/1989/96Inflacao Reexaminada.pdf</w:t>
      </w:r>
      <w:r w:rsidRPr="0091539B">
        <w:rPr>
          <w:rFonts w:ascii="Arial" w:hAnsi="Arial" w:cs="Arial"/>
          <w:sz w:val="24"/>
          <w:szCs w:val="24"/>
        </w:rPr>
        <w:t>&gt;. Acesso em: 12 set. 2013.</w:t>
      </w:r>
    </w:p>
    <w:p w:rsidR="005E098C" w:rsidRDefault="005E098C" w:rsidP="005E098C">
      <w:pPr>
        <w:shd w:val="clear" w:color="auto" w:fill="FFFFFF"/>
        <w:spacing w:after="300" w:line="240" w:lineRule="auto"/>
        <w:jc w:val="both"/>
        <w:rPr>
          <w:rFonts w:ascii="Arial" w:hAnsi="Arial" w:cs="Arial"/>
          <w:bCs/>
          <w:sz w:val="24"/>
          <w:szCs w:val="24"/>
        </w:rPr>
      </w:pPr>
      <w:r>
        <w:rPr>
          <w:rFonts w:ascii="Arial" w:hAnsi="Arial" w:cs="Arial"/>
          <w:sz w:val="24"/>
          <w:szCs w:val="24"/>
        </w:rPr>
        <w:t>BRESSER PEREIRA,</w:t>
      </w:r>
      <w:r w:rsidRPr="00C53FA2">
        <w:rPr>
          <w:rFonts w:ascii="Arial" w:hAnsi="Arial" w:cs="Arial"/>
          <w:sz w:val="24"/>
          <w:szCs w:val="24"/>
        </w:rPr>
        <w:t xml:space="preserve"> </w:t>
      </w:r>
      <w:r>
        <w:rPr>
          <w:rFonts w:ascii="Arial" w:hAnsi="Arial" w:cs="Arial"/>
          <w:sz w:val="24"/>
          <w:szCs w:val="24"/>
        </w:rPr>
        <w:t>Luis Carlos;</w:t>
      </w:r>
      <w:r w:rsidRPr="0091539B">
        <w:rPr>
          <w:rFonts w:ascii="Arial" w:hAnsi="Arial" w:cs="Arial"/>
          <w:sz w:val="24"/>
          <w:szCs w:val="24"/>
        </w:rPr>
        <w:t xml:space="preserve">NAKANO, </w:t>
      </w:r>
      <w:proofErr w:type="spellStart"/>
      <w:r w:rsidRPr="0091539B">
        <w:rPr>
          <w:rFonts w:ascii="Arial" w:hAnsi="Arial" w:cs="Arial"/>
          <w:sz w:val="24"/>
          <w:szCs w:val="24"/>
        </w:rPr>
        <w:t>Yoshaki</w:t>
      </w:r>
      <w:proofErr w:type="spellEnd"/>
      <w:r w:rsidRPr="0091539B">
        <w:rPr>
          <w:rFonts w:ascii="Arial" w:hAnsi="Arial" w:cs="Arial"/>
          <w:sz w:val="24"/>
          <w:szCs w:val="24"/>
        </w:rPr>
        <w:t xml:space="preserve">. </w:t>
      </w:r>
      <w:r w:rsidRPr="00D55AF7">
        <w:rPr>
          <w:rFonts w:ascii="Arial" w:hAnsi="Arial" w:cs="Arial"/>
          <w:sz w:val="24"/>
          <w:szCs w:val="24"/>
        </w:rPr>
        <w:t>Fatores aceleradores, mantenedores e sancionadores da inflação.</w:t>
      </w:r>
      <w:r w:rsidRPr="0091539B">
        <w:rPr>
          <w:rFonts w:ascii="Arial" w:hAnsi="Arial" w:cs="Arial"/>
          <w:sz w:val="24"/>
          <w:szCs w:val="24"/>
        </w:rPr>
        <w:t xml:space="preserve"> </w:t>
      </w:r>
      <w:r w:rsidRPr="00D55AF7">
        <w:rPr>
          <w:rFonts w:ascii="Arial" w:hAnsi="Arial" w:cs="Arial"/>
          <w:b/>
          <w:sz w:val="24"/>
          <w:szCs w:val="24"/>
        </w:rPr>
        <w:t>Revista de Economia Política</w:t>
      </w:r>
      <w:r w:rsidRPr="0091539B">
        <w:rPr>
          <w:rFonts w:ascii="Arial" w:hAnsi="Arial" w:cs="Arial"/>
          <w:sz w:val="24"/>
          <w:szCs w:val="24"/>
        </w:rPr>
        <w:t>, jan. – mar. 1984. vol. 4 , n°1. Disponível em: &lt;</w:t>
      </w:r>
      <w:hyperlink r:id="rId19" w:history="1">
        <w:r w:rsidRPr="0091539B">
          <w:rPr>
            <w:rStyle w:val="Hyperlink"/>
            <w:rFonts w:ascii="Arial" w:hAnsi="Arial" w:cs="Arial"/>
            <w:color w:val="auto"/>
            <w:sz w:val="24"/>
            <w:szCs w:val="24"/>
          </w:rPr>
          <w:t>http://www.rep.org.br/PDF/13-1.PDF</w:t>
        </w:r>
      </w:hyperlink>
      <w:r w:rsidRPr="0091539B">
        <w:rPr>
          <w:rFonts w:ascii="Arial" w:hAnsi="Arial" w:cs="Arial"/>
          <w:sz w:val="24"/>
          <w:szCs w:val="24"/>
        </w:rPr>
        <w:t>&gt;. Acesso em: 12 set. 2013.</w:t>
      </w:r>
    </w:p>
    <w:p w:rsidR="005E098C" w:rsidRPr="0091539B" w:rsidRDefault="005E098C" w:rsidP="005E098C">
      <w:pPr>
        <w:shd w:val="clear" w:color="auto" w:fill="FFFFFF"/>
        <w:spacing w:after="300" w:line="240" w:lineRule="auto"/>
        <w:jc w:val="both"/>
        <w:rPr>
          <w:rFonts w:ascii="Arial" w:hAnsi="Arial" w:cs="Arial"/>
          <w:sz w:val="24"/>
          <w:szCs w:val="24"/>
        </w:rPr>
      </w:pPr>
      <w:r w:rsidRPr="0091539B">
        <w:rPr>
          <w:rFonts w:ascii="Arial" w:hAnsi="Arial" w:cs="Arial"/>
          <w:bCs/>
          <w:sz w:val="24"/>
          <w:szCs w:val="24"/>
        </w:rPr>
        <w:t xml:space="preserve">BIONDI, Roberta </w:t>
      </w:r>
      <w:proofErr w:type="spellStart"/>
      <w:r w:rsidRPr="0091539B">
        <w:rPr>
          <w:rFonts w:ascii="Arial" w:hAnsi="Arial" w:cs="Arial"/>
          <w:bCs/>
          <w:sz w:val="24"/>
          <w:szCs w:val="24"/>
        </w:rPr>
        <w:t>Loboda</w:t>
      </w:r>
      <w:proofErr w:type="spellEnd"/>
      <w:r w:rsidRPr="0091539B">
        <w:rPr>
          <w:rFonts w:ascii="Arial" w:hAnsi="Arial" w:cs="Arial"/>
          <w:bCs/>
          <w:sz w:val="24"/>
          <w:szCs w:val="24"/>
        </w:rPr>
        <w:t xml:space="preserve">. </w:t>
      </w:r>
      <w:r w:rsidRPr="00D937B5">
        <w:rPr>
          <w:rFonts w:ascii="Arial" w:hAnsi="Arial" w:cs="Arial"/>
          <w:b/>
          <w:bCs/>
          <w:sz w:val="24"/>
          <w:szCs w:val="24"/>
        </w:rPr>
        <w:t>O regime de metas inflacionárias e sua adequação ao caso brasileiro</w:t>
      </w:r>
      <w:r w:rsidRPr="0091539B">
        <w:rPr>
          <w:rFonts w:ascii="Arial" w:hAnsi="Arial" w:cs="Arial"/>
          <w:bCs/>
          <w:sz w:val="24"/>
          <w:szCs w:val="24"/>
        </w:rPr>
        <w:t>: os custos de manutenção do regime. 2006. Dissertação (Mestrado em Economia) - Universidade de São Paulo, Faculdade de Economia, Administração e Contabilidade de Ribeirão Preto, Ribeirão Preto. Disponível em: &lt;</w:t>
      </w:r>
      <w:r w:rsidRPr="0091539B">
        <w:rPr>
          <w:rStyle w:val="CitaoHTML"/>
          <w:rFonts w:ascii="Arial" w:hAnsi="Arial" w:cs="Arial"/>
          <w:iCs/>
          <w:sz w:val="24"/>
          <w:szCs w:val="24"/>
        </w:rPr>
        <w:t>www.teses.usp.br/teses/disponiveis/96/.../RobertaLobodaBiondi.pdf</w:t>
      </w:r>
      <w:r w:rsidRPr="0091539B">
        <w:rPr>
          <w:rFonts w:ascii="Arial" w:hAnsi="Arial" w:cs="Arial"/>
          <w:sz w:val="24"/>
          <w:szCs w:val="24"/>
        </w:rPr>
        <w:t xml:space="preserve">‎&gt; </w:t>
      </w:r>
      <w:r w:rsidRPr="0091539B">
        <w:rPr>
          <w:rFonts w:ascii="Arial" w:hAnsi="Arial" w:cs="Arial"/>
          <w:bCs/>
          <w:sz w:val="24"/>
          <w:szCs w:val="24"/>
        </w:rPr>
        <w:t xml:space="preserve">Acesso: em: </w:t>
      </w:r>
      <w:r w:rsidRPr="0091539B">
        <w:rPr>
          <w:rFonts w:ascii="Arial" w:hAnsi="Arial" w:cs="Arial"/>
          <w:sz w:val="24"/>
          <w:szCs w:val="24"/>
        </w:rPr>
        <w:t xml:space="preserve">22 </w:t>
      </w:r>
      <w:r w:rsidRPr="0091539B">
        <w:rPr>
          <w:rFonts w:ascii="Arial" w:hAnsi="Arial" w:cs="Arial"/>
          <w:bCs/>
          <w:sz w:val="24"/>
          <w:szCs w:val="24"/>
        </w:rPr>
        <w:t>set. 2013.</w:t>
      </w:r>
    </w:p>
    <w:p w:rsidR="005E098C" w:rsidRPr="0091539B" w:rsidRDefault="005E098C" w:rsidP="005E098C">
      <w:pPr>
        <w:shd w:val="clear" w:color="auto" w:fill="FFFFFF"/>
        <w:spacing w:after="300" w:line="240" w:lineRule="auto"/>
        <w:jc w:val="both"/>
        <w:rPr>
          <w:rFonts w:ascii="Arial" w:hAnsi="Arial" w:cs="Arial"/>
          <w:sz w:val="24"/>
          <w:szCs w:val="24"/>
        </w:rPr>
      </w:pPr>
      <w:r w:rsidRPr="0091539B">
        <w:rPr>
          <w:rFonts w:ascii="Arial" w:hAnsi="Arial" w:cs="Arial"/>
          <w:sz w:val="24"/>
          <w:szCs w:val="24"/>
          <w:shd w:val="clear" w:color="auto" w:fill="FFFFFF"/>
        </w:rPr>
        <w:br/>
      </w:r>
      <w:r w:rsidRPr="0091539B">
        <w:rPr>
          <w:rFonts w:ascii="Arial" w:hAnsi="Arial" w:cs="Arial"/>
          <w:sz w:val="24"/>
          <w:szCs w:val="24"/>
        </w:rPr>
        <w:t xml:space="preserve">BIONDI, Roberta </w:t>
      </w:r>
      <w:proofErr w:type="spellStart"/>
      <w:r w:rsidRPr="0091539B">
        <w:rPr>
          <w:rFonts w:ascii="Arial" w:hAnsi="Arial" w:cs="Arial"/>
          <w:sz w:val="24"/>
          <w:szCs w:val="24"/>
        </w:rPr>
        <w:t>Loboda</w:t>
      </w:r>
      <w:proofErr w:type="spellEnd"/>
      <w:r w:rsidRPr="0091539B">
        <w:rPr>
          <w:rFonts w:ascii="Arial" w:hAnsi="Arial" w:cs="Arial"/>
          <w:sz w:val="24"/>
          <w:szCs w:val="24"/>
        </w:rPr>
        <w:t xml:space="preserve">; TONETO JR., </w:t>
      </w:r>
      <w:proofErr w:type="spellStart"/>
      <w:r w:rsidRPr="0091539B">
        <w:rPr>
          <w:rFonts w:ascii="Arial" w:hAnsi="Arial" w:cs="Arial"/>
          <w:sz w:val="24"/>
          <w:szCs w:val="24"/>
        </w:rPr>
        <w:t>Rudinei</w:t>
      </w:r>
      <w:proofErr w:type="spellEnd"/>
      <w:r w:rsidRPr="0091539B">
        <w:rPr>
          <w:rFonts w:ascii="Arial" w:hAnsi="Arial" w:cs="Arial"/>
          <w:sz w:val="24"/>
          <w:szCs w:val="24"/>
        </w:rPr>
        <w:t xml:space="preserve">. </w:t>
      </w:r>
      <w:r w:rsidRPr="00D937B5">
        <w:rPr>
          <w:rFonts w:ascii="Arial" w:hAnsi="Arial" w:cs="Arial"/>
          <w:b/>
          <w:sz w:val="24"/>
          <w:szCs w:val="24"/>
        </w:rPr>
        <w:t>O desempenho dos Países que adotaram o regime de metas inflacionárias</w:t>
      </w:r>
      <w:r w:rsidRPr="0091539B">
        <w:rPr>
          <w:rFonts w:ascii="Arial" w:hAnsi="Arial" w:cs="Arial"/>
          <w:sz w:val="24"/>
          <w:szCs w:val="24"/>
        </w:rPr>
        <w:t xml:space="preserve">: uma análise comparativa. </w:t>
      </w:r>
      <w:proofErr w:type="spellStart"/>
      <w:r w:rsidRPr="0091539B">
        <w:rPr>
          <w:rFonts w:ascii="Arial" w:hAnsi="Arial" w:cs="Arial"/>
          <w:sz w:val="24"/>
          <w:szCs w:val="24"/>
        </w:rPr>
        <w:t>Cadernus</w:t>
      </w:r>
      <w:proofErr w:type="spellEnd"/>
      <w:r w:rsidRPr="0091539B">
        <w:rPr>
          <w:rFonts w:ascii="Arial" w:hAnsi="Arial" w:cs="Arial"/>
          <w:sz w:val="24"/>
          <w:szCs w:val="24"/>
        </w:rPr>
        <w:t xml:space="preserve"> PROLAM/USP. Ano 04, Vol.</w:t>
      </w:r>
      <w:r>
        <w:rPr>
          <w:rFonts w:ascii="Arial" w:hAnsi="Arial" w:cs="Arial"/>
          <w:sz w:val="24"/>
          <w:szCs w:val="24"/>
        </w:rPr>
        <w:t xml:space="preserve"> </w:t>
      </w:r>
      <w:r w:rsidRPr="0091539B">
        <w:rPr>
          <w:rFonts w:ascii="Arial" w:hAnsi="Arial" w:cs="Arial"/>
          <w:sz w:val="24"/>
          <w:szCs w:val="24"/>
        </w:rPr>
        <w:t>02, 2005. p.</w:t>
      </w:r>
      <w:r>
        <w:rPr>
          <w:rFonts w:ascii="Arial" w:hAnsi="Arial" w:cs="Arial"/>
          <w:sz w:val="24"/>
          <w:szCs w:val="24"/>
        </w:rPr>
        <w:t xml:space="preserve"> </w:t>
      </w:r>
      <w:r w:rsidRPr="0091539B">
        <w:rPr>
          <w:rFonts w:ascii="Arial" w:hAnsi="Arial" w:cs="Arial"/>
          <w:sz w:val="24"/>
          <w:szCs w:val="24"/>
        </w:rPr>
        <w:t>7-31. Disponível em: &lt;</w:t>
      </w:r>
      <w:hyperlink r:id="rId20" w:history="1">
        <w:r w:rsidRPr="0091539B">
          <w:rPr>
            <w:rStyle w:val="Hyperlink"/>
            <w:rFonts w:ascii="Arial" w:hAnsi="Arial" w:cs="Arial"/>
            <w:color w:val="auto"/>
            <w:sz w:val="24"/>
            <w:szCs w:val="24"/>
          </w:rPr>
          <w:t>http://www.usp.br/prolam/downloads/2005_2_1.pdf</w:t>
        </w:r>
      </w:hyperlink>
      <w:r w:rsidRPr="0091539B">
        <w:rPr>
          <w:rFonts w:ascii="Arial" w:hAnsi="Arial" w:cs="Arial"/>
          <w:sz w:val="24"/>
          <w:szCs w:val="24"/>
        </w:rPr>
        <w:t>&gt;. Acesso em: 15 mar. 2013.</w:t>
      </w:r>
    </w:p>
    <w:p w:rsidR="005E098C" w:rsidRPr="0091539B" w:rsidRDefault="005E098C" w:rsidP="005E098C">
      <w:pPr>
        <w:spacing w:after="300" w:line="240" w:lineRule="auto"/>
        <w:contextualSpacing/>
        <w:jc w:val="both"/>
        <w:rPr>
          <w:rFonts w:ascii="Arial" w:hAnsi="Arial" w:cs="Arial"/>
          <w:sz w:val="24"/>
          <w:szCs w:val="24"/>
        </w:rPr>
      </w:pPr>
      <w:r w:rsidRPr="0091539B">
        <w:rPr>
          <w:rFonts w:ascii="Arial" w:hAnsi="Arial" w:cs="Arial"/>
          <w:sz w:val="24"/>
          <w:szCs w:val="24"/>
        </w:rPr>
        <w:lastRenderedPageBreak/>
        <w:t xml:space="preserve">BLANCHARD, Olivier. </w:t>
      </w:r>
      <w:r w:rsidRPr="00D937B5">
        <w:rPr>
          <w:rFonts w:ascii="Arial" w:hAnsi="Arial" w:cs="Arial"/>
          <w:b/>
          <w:bCs/>
          <w:sz w:val="24"/>
          <w:szCs w:val="24"/>
        </w:rPr>
        <w:t>Macroeconomia</w:t>
      </w:r>
      <w:r w:rsidRPr="0091539B">
        <w:rPr>
          <w:rFonts w:ascii="Arial" w:hAnsi="Arial" w:cs="Arial"/>
          <w:bCs/>
          <w:sz w:val="24"/>
          <w:szCs w:val="24"/>
        </w:rPr>
        <w:t xml:space="preserve">. </w:t>
      </w:r>
      <w:r w:rsidRPr="0091539B">
        <w:rPr>
          <w:rFonts w:ascii="Arial" w:hAnsi="Arial" w:cs="Arial"/>
          <w:sz w:val="24"/>
          <w:szCs w:val="24"/>
        </w:rPr>
        <w:t xml:space="preserve">Tradução de Cláudia Martins e Mônica </w:t>
      </w:r>
      <w:proofErr w:type="spellStart"/>
      <w:r w:rsidRPr="0091539B">
        <w:rPr>
          <w:rFonts w:ascii="Arial" w:hAnsi="Arial" w:cs="Arial"/>
          <w:sz w:val="24"/>
          <w:szCs w:val="24"/>
        </w:rPr>
        <w:t>Rosemberg</w:t>
      </w:r>
      <w:proofErr w:type="spellEnd"/>
      <w:r w:rsidRPr="0091539B">
        <w:rPr>
          <w:rFonts w:ascii="Arial" w:hAnsi="Arial" w:cs="Arial"/>
          <w:sz w:val="24"/>
          <w:szCs w:val="24"/>
        </w:rPr>
        <w:t xml:space="preserve">. 4. ed. São Paulo: Pearson </w:t>
      </w:r>
      <w:proofErr w:type="spellStart"/>
      <w:r w:rsidRPr="0091539B">
        <w:rPr>
          <w:rFonts w:ascii="Arial" w:hAnsi="Arial" w:cs="Arial"/>
          <w:sz w:val="24"/>
          <w:szCs w:val="24"/>
        </w:rPr>
        <w:t>Prentice</w:t>
      </w:r>
      <w:proofErr w:type="spellEnd"/>
      <w:r w:rsidRPr="0091539B">
        <w:rPr>
          <w:rFonts w:ascii="Arial" w:hAnsi="Arial" w:cs="Arial"/>
          <w:sz w:val="24"/>
          <w:szCs w:val="24"/>
        </w:rPr>
        <w:t xml:space="preserve"> Hall, 2007. </w:t>
      </w:r>
      <w:r>
        <w:rPr>
          <w:rFonts w:ascii="Arial" w:hAnsi="Arial" w:cs="Arial"/>
          <w:sz w:val="24"/>
          <w:szCs w:val="24"/>
        </w:rPr>
        <w:t xml:space="preserve">p. </w:t>
      </w:r>
      <w:r w:rsidRPr="0091539B">
        <w:rPr>
          <w:rFonts w:ascii="Arial" w:hAnsi="Arial" w:cs="Arial"/>
          <w:sz w:val="24"/>
          <w:szCs w:val="24"/>
        </w:rPr>
        <w:t>602</w:t>
      </w:r>
      <w:r>
        <w:rPr>
          <w:rFonts w:ascii="Arial" w:hAnsi="Arial" w:cs="Arial"/>
          <w:sz w:val="24"/>
          <w:szCs w:val="24"/>
        </w:rPr>
        <w:t>.</w:t>
      </w:r>
    </w:p>
    <w:p w:rsidR="005E098C" w:rsidRPr="0091539B" w:rsidRDefault="005E098C" w:rsidP="005E098C">
      <w:pPr>
        <w:spacing w:after="300" w:line="240" w:lineRule="auto"/>
        <w:jc w:val="both"/>
        <w:rPr>
          <w:rFonts w:ascii="Arial" w:hAnsi="Arial" w:cs="Arial"/>
          <w:sz w:val="24"/>
          <w:szCs w:val="24"/>
        </w:rPr>
      </w:pPr>
      <w:r w:rsidRPr="0091539B">
        <w:rPr>
          <w:rFonts w:ascii="Arial" w:hAnsi="Arial" w:cs="Arial"/>
          <w:sz w:val="24"/>
          <w:szCs w:val="24"/>
        </w:rPr>
        <w:t xml:space="preserve">BRASIL. Ministério da Fazenda. </w:t>
      </w:r>
      <w:r w:rsidRPr="00D937B5">
        <w:rPr>
          <w:rFonts w:ascii="Arial" w:hAnsi="Arial" w:cs="Arial"/>
          <w:b/>
          <w:sz w:val="24"/>
          <w:szCs w:val="24"/>
        </w:rPr>
        <w:t>Plano Real</w:t>
      </w:r>
      <w:r w:rsidRPr="0091539B">
        <w:rPr>
          <w:rFonts w:ascii="Arial" w:hAnsi="Arial" w:cs="Arial"/>
          <w:sz w:val="24"/>
          <w:szCs w:val="24"/>
        </w:rPr>
        <w:t>. Disponível em: &lt;</w:t>
      </w:r>
      <w:proofErr w:type="spellStart"/>
      <w:r w:rsidRPr="0091539B">
        <w:rPr>
          <w:rFonts w:ascii="Arial" w:hAnsi="Arial" w:cs="Arial"/>
          <w:sz w:val="24"/>
          <w:szCs w:val="24"/>
        </w:rPr>
        <w:t>http</w:t>
      </w:r>
      <w:proofErr w:type="spellEnd"/>
      <w:r w:rsidRPr="0091539B">
        <w:rPr>
          <w:rFonts w:ascii="Arial" w:hAnsi="Arial" w:cs="Arial"/>
          <w:sz w:val="24"/>
          <w:szCs w:val="24"/>
        </w:rPr>
        <w:t>//:www.fazenda.gov.br/portugu</w:t>
      </w:r>
      <w:proofErr w:type="spellStart"/>
      <w:r w:rsidRPr="0091539B">
        <w:rPr>
          <w:rFonts w:ascii="Arial" w:hAnsi="Arial" w:cs="Arial"/>
          <w:sz w:val="24"/>
          <w:szCs w:val="24"/>
        </w:rPr>
        <w:t>ês</w:t>
      </w:r>
      <w:proofErr w:type="spellEnd"/>
      <w:r w:rsidRPr="0091539B">
        <w:rPr>
          <w:rFonts w:ascii="Arial" w:hAnsi="Arial" w:cs="Arial"/>
          <w:sz w:val="24"/>
          <w:szCs w:val="24"/>
        </w:rPr>
        <w:t>/real/planreal.asp&gt;. Acesso em: 10 set. 2013.</w:t>
      </w:r>
    </w:p>
    <w:p w:rsidR="005E098C" w:rsidRPr="0091539B" w:rsidRDefault="005E098C" w:rsidP="005E098C">
      <w:pPr>
        <w:spacing w:after="300" w:line="240" w:lineRule="auto"/>
        <w:jc w:val="both"/>
        <w:rPr>
          <w:rFonts w:ascii="Arial" w:hAnsi="Arial" w:cs="Arial"/>
          <w:sz w:val="24"/>
          <w:szCs w:val="24"/>
        </w:rPr>
      </w:pPr>
      <w:r w:rsidRPr="0091539B">
        <w:rPr>
          <w:rFonts w:ascii="Arial" w:hAnsi="Arial" w:cs="Arial"/>
          <w:sz w:val="24"/>
          <w:szCs w:val="24"/>
        </w:rPr>
        <w:t>CARVALHEIRO, Nelson. A política monetária no Brasil pós – Real.</w:t>
      </w:r>
      <w:r>
        <w:rPr>
          <w:rFonts w:ascii="Arial" w:hAnsi="Arial" w:cs="Arial"/>
          <w:sz w:val="24"/>
          <w:szCs w:val="24"/>
        </w:rPr>
        <w:t xml:space="preserve"> </w:t>
      </w:r>
      <w:r w:rsidRPr="00A621AD">
        <w:rPr>
          <w:rFonts w:ascii="Arial" w:hAnsi="Arial" w:cs="Arial"/>
          <w:b/>
          <w:sz w:val="24"/>
          <w:szCs w:val="24"/>
        </w:rPr>
        <w:t xml:space="preserve">Revista </w:t>
      </w:r>
      <w:proofErr w:type="spellStart"/>
      <w:r w:rsidRPr="00A621AD">
        <w:rPr>
          <w:rFonts w:ascii="Arial" w:hAnsi="Arial" w:cs="Arial"/>
          <w:b/>
          <w:sz w:val="24"/>
          <w:szCs w:val="24"/>
        </w:rPr>
        <w:t>Puc</w:t>
      </w:r>
      <w:proofErr w:type="spellEnd"/>
      <w:r w:rsidRPr="00A621AD">
        <w:rPr>
          <w:rFonts w:ascii="Arial" w:hAnsi="Arial" w:cs="Arial"/>
          <w:b/>
          <w:sz w:val="24"/>
          <w:szCs w:val="24"/>
        </w:rPr>
        <w:t>.</w:t>
      </w:r>
      <w:r w:rsidRPr="00A621AD">
        <w:rPr>
          <w:rFonts w:ascii="Arial" w:hAnsi="Arial" w:cs="Arial"/>
          <w:b/>
          <w:bCs/>
          <w:i/>
          <w:iCs/>
          <w:sz w:val="24"/>
          <w:szCs w:val="24"/>
        </w:rPr>
        <w:t xml:space="preserve"> </w:t>
      </w:r>
      <w:r w:rsidRPr="00A621AD">
        <w:rPr>
          <w:rFonts w:ascii="Arial" w:hAnsi="Arial" w:cs="Arial"/>
          <w:b/>
          <w:bCs/>
          <w:iCs/>
          <w:sz w:val="24"/>
          <w:szCs w:val="24"/>
        </w:rPr>
        <w:t>PESQUISA &amp; DEBATE</w:t>
      </w:r>
      <w:r w:rsidRPr="0091539B">
        <w:rPr>
          <w:rFonts w:ascii="Arial" w:hAnsi="Arial" w:cs="Arial"/>
          <w:sz w:val="24"/>
          <w:szCs w:val="24"/>
        </w:rPr>
        <w:t>, SP, v. 13, n. 1(21), 2002. p. 5-29. Disponível em:&lt;</w:t>
      </w:r>
      <w:r w:rsidRPr="0091539B">
        <w:rPr>
          <w:rFonts w:ascii="Arial" w:hAnsi="Arial" w:cs="Arial"/>
          <w:sz w:val="24"/>
          <w:szCs w:val="24"/>
          <w:shd w:val="clear" w:color="auto" w:fill="FFFFFF"/>
        </w:rPr>
        <w:t xml:space="preserve"> revistas.</w:t>
      </w:r>
      <w:proofErr w:type="spellStart"/>
      <w:r w:rsidRPr="0091539B">
        <w:rPr>
          <w:rFonts w:ascii="Arial" w:hAnsi="Arial" w:cs="Arial"/>
          <w:sz w:val="24"/>
          <w:szCs w:val="24"/>
          <w:shd w:val="clear" w:color="auto" w:fill="FFFFFF"/>
        </w:rPr>
        <w:t>pucsp</w:t>
      </w:r>
      <w:proofErr w:type="spellEnd"/>
      <w:r w:rsidRPr="0091539B">
        <w:rPr>
          <w:rFonts w:ascii="Arial" w:hAnsi="Arial" w:cs="Arial"/>
          <w:sz w:val="24"/>
          <w:szCs w:val="24"/>
          <w:shd w:val="clear" w:color="auto" w:fill="FFFFFF"/>
        </w:rPr>
        <w:t>.</w:t>
      </w:r>
      <w:proofErr w:type="spellStart"/>
      <w:r w:rsidRPr="0091539B">
        <w:rPr>
          <w:rFonts w:ascii="Arial" w:hAnsi="Arial" w:cs="Arial"/>
          <w:sz w:val="24"/>
          <w:szCs w:val="24"/>
          <w:shd w:val="clear" w:color="auto" w:fill="FFFFFF"/>
        </w:rPr>
        <w:t>br</w:t>
      </w:r>
      <w:proofErr w:type="spellEnd"/>
      <w:r w:rsidRPr="0091539B">
        <w:rPr>
          <w:rFonts w:ascii="Arial" w:hAnsi="Arial" w:cs="Arial"/>
          <w:sz w:val="24"/>
          <w:szCs w:val="24"/>
          <w:shd w:val="clear" w:color="auto" w:fill="FFFFFF"/>
        </w:rPr>
        <w:t>/</w:t>
      </w:r>
      <w:proofErr w:type="spellStart"/>
      <w:r w:rsidRPr="0091539B">
        <w:rPr>
          <w:rFonts w:ascii="Arial" w:hAnsi="Arial" w:cs="Arial"/>
          <w:sz w:val="24"/>
          <w:szCs w:val="24"/>
          <w:shd w:val="clear" w:color="auto" w:fill="FFFFFF"/>
        </w:rPr>
        <w:t>index</w:t>
      </w:r>
      <w:proofErr w:type="spellEnd"/>
      <w:r w:rsidRPr="0091539B">
        <w:rPr>
          <w:rFonts w:ascii="Arial" w:hAnsi="Arial" w:cs="Arial"/>
          <w:sz w:val="24"/>
          <w:szCs w:val="24"/>
          <w:shd w:val="clear" w:color="auto" w:fill="FFFFFF"/>
        </w:rPr>
        <w:t>.</w:t>
      </w:r>
      <w:proofErr w:type="spellStart"/>
      <w:r w:rsidRPr="0091539B">
        <w:rPr>
          <w:rFonts w:ascii="Arial" w:hAnsi="Arial" w:cs="Arial"/>
          <w:sz w:val="24"/>
          <w:szCs w:val="24"/>
          <w:shd w:val="clear" w:color="auto" w:fill="FFFFFF"/>
        </w:rPr>
        <w:t>php</w:t>
      </w:r>
      <w:proofErr w:type="spellEnd"/>
      <w:r w:rsidRPr="0091539B">
        <w:rPr>
          <w:rFonts w:ascii="Arial" w:hAnsi="Arial" w:cs="Arial"/>
          <w:sz w:val="24"/>
          <w:szCs w:val="24"/>
          <w:shd w:val="clear" w:color="auto" w:fill="FFFFFF"/>
        </w:rPr>
        <w:t>/</w:t>
      </w:r>
      <w:proofErr w:type="spellStart"/>
      <w:r w:rsidRPr="0091539B">
        <w:rPr>
          <w:rFonts w:ascii="Arial" w:hAnsi="Arial" w:cs="Arial"/>
          <w:sz w:val="24"/>
          <w:szCs w:val="24"/>
          <w:shd w:val="clear" w:color="auto" w:fill="FFFFFF"/>
        </w:rPr>
        <w:t>rpe</w:t>
      </w:r>
      <w:proofErr w:type="spellEnd"/>
      <w:r w:rsidRPr="0091539B">
        <w:rPr>
          <w:rFonts w:ascii="Arial" w:hAnsi="Arial" w:cs="Arial"/>
          <w:sz w:val="24"/>
          <w:szCs w:val="24"/>
          <w:shd w:val="clear" w:color="auto" w:fill="FFFFFF"/>
        </w:rPr>
        <w:t>/</w:t>
      </w:r>
      <w:proofErr w:type="spellStart"/>
      <w:r w:rsidRPr="0091539B">
        <w:rPr>
          <w:rFonts w:ascii="Arial" w:hAnsi="Arial" w:cs="Arial"/>
          <w:sz w:val="24"/>
          <w:szCs w:val="24"/>
          <w:shd w:val="clear" w:color="auto" w:fill="FFFFFF"/>
        </w:rPr>
        <w:t>article</w:t>
      </w:r>
      <w:proofErr w:type="spellEnd"/>
      <w:r w:rsidRPr="0091539B">
        <w:rPr>
          <w:rFonts w:ascii="Arial" w:hAnsi="Arial" w:cs="Arial"/>
          <w:sz w:val="24"/>
          <w:szCs w:val="24"/>
          <w:shd w:val="clear" w:color="auto" w:fill="FFFFFF"/>
        </w:rPr>
        <w:t xml:space="preserve">/download/12028/8708&gt;. Acesso em: </w:t>
      </w:r>
      <w:r w:rsidRPr="0091539B">
        <w:rPr>
          <w:rFonts w:ascii="Arial" w:hAnsi="Arial" w:cs="Arial"/>
          <w:sz w:val="24"/>
          <w:szCs w:val="24"/>
        </w:rPr>
        <w:t>29 m</w:t>
      </w:r>
      <w:r w:rsidRPr="0091539B">
        <w:rPr>
          <w:rFonts w:ascii="Arial" w:hAnsi="Arial" w:cs="Arial"/>
          <w:sz w:val="24"/>
          <w:szCs w:val="24"/>
          <w:shd w:val="clear" w:color="auto" w:fill="FFFFFF"/>
        </w:rPr>
        <w:t>ar. 2013.</w:t>
      </w:r>
    </w:p>
    <w:p w:rsidR="005E098C" w:rsidRPr="0091539B" w:rsidRDefault="005E098C" w:rsidP="005E098C">
      <w:pPr>
        <w:autoSpaceDE w:val="0"/>
        <w:autoSpaceDN w:val="0"/>
        <w:adjustRightInd w:val="0"/>
        <w:spacing w:after="300" w:line="240" w:lineRule="auto"/>
        <w:jc w:val="both"/>
        <w:rPr>
          <w:rFonts w:ascii="Arial" w:hAnsi="Arial" w:cs="Arial"/>
          <w:bCs/>
          <w:sz w:val="24"/>
          <w:szCs w:val="24"/>
        </w:rPr>
      </w:pPr>
      <w:r w:rsidRPr="0091539B">
        <w:rPr>
          <w:rFonts w:ascii="Arial" w:hAnsi="Arial" w:cs="Arial"/>
          <w:sz w:val="24"/>
          <w:szCs w:val="24"/>
        </w:rPr>
        <w:t xml:space="preserve">CARVALHO, Everton. </w:t>
      </w:r>
      <w:r w:rsidRPr="00A621AD">
        <w:rPr>
          <w:rFonts w:ascii="Arial" w:hAnsi="Arial" w:cs="Arial"/>
          <w:b/>
          <w:sz w:val="24"/>
          <w:szCs w:val="24"/>
        </w:rPr>
        <w:t>Inflação e política monetária</w:t>
      </w:r>
      <w:r w:rsidRPr="0091539B">
        <w:rPr>
          <w:rFonts w:ascii="Arial" w:hAnsi="Arial" w:cs="Arial"/>
          <w:sz w:val="24"/>
          <w:szCs w:val="24"/>
        </w:rPr>
        <w:t>: um balanço do governo Lula. Conjuntura e Planejamento, Salvador. SEI, n.150, p. 18-22. Nov. 2006. Disponível em: &lt;</w:t>
      </w:r>
      <w:r w:rsidRPr="00A621AD">
        <w:rPr>
          <w:rFonts w:ascii="Arial" w:hAnsi="Arial" w:cs="Arial"/>
          <w:sz w:val="24"/>
          <w:szCs w:val="24"/>
        </w:rPr>
        <w:t>http://www.nec.ufba.br/artigos/Artigos/Revista_Conjuntura_e_Planejamento/ 2006.11%20%20Infla%C3%A7%C3%A3o%20e%20pol%C3%ADtica%20monet%C3%A1ria%20%20um%20balan%C3%A7o%20do%20governo%20Lula.pdf</w:t>
      </w:r>
      <w:r w:rsidRPr="0091539B">
        <w:rPr>
          <w:rFonts w:ascii="Arial" w:hAnsi="Arial" w:cs="Arial"/>
          <w:sz w:val="24"/>
          <w:szCs w:val="24"/>
        </w:rPr>
        <w:t xml:space="preserve"> &gt;. </w:t>
      </w:r>
      <w:r w:rsidRPr="0091539B">
        <w:rPr>
          <w:rFonts w:ascii="Arial" w:hAnsi="Arial" w:cs="Arial"/>
          <w:bCs/>
          <w:sz w:val="24"/>
          <w:szCs w:val="24"/>
        </w:rPr>
        <w:t xml:space="preserve">Acesso em: </w:t>
      </w:r>
      <w:r w:rsidRPr="0091539B">
        <w:rPr>
          <w:rFonts w:ascii="Arial" w:hAnsi="Arial" w:cs="Arial"/>
          <w:sz w:val="24"/>
          <w:szCs w:val="24"/>
        </w:rPr>
        <w:t xml:space="preserve">02 </w:t>
      </w:r>
      <w:r w:rsidRPr="0091539B">
        <w:rPr>
          <w:rFonts w:ascii="Arial" w:hAnsi="Arial" w:cs="Arial"/>
          <w:bCs/>
          <w:sz w:val="24"/>
          <w:szCs w:val="24"/>
        </w:rPr>
        <w:t>abr. 2013.</w:t>
      </w:r>
    </w:p>
    <w:p w:rsidR="005E098C" w:rsidRPr="0091539B" w:rsidRDefault="005E098C" w:rsidP="005E098C">
      <w:pPr>
        <w:spacing w:after="300" w:line="240" w:lineRule="auto"/>
        <w:jc w:val="both"/>
        <w:rPr>
          <w:rFonts w:ascii="Arial" w:eastAsia="Arial" w:hAnsi="Arial" w:cs="Arial"/>
          <w:sz w:val="24"/>
          <w:szCs w:val="24"/>
        </w:rPr>
      </w:pPr>
      <w:r w:rsidRPr="0091539B">
        <w:rPr>
          <w:rStyle w:val="Hyperlink"/>
          <w:rFonts w:ascii="Arial" w:eastAsia="Arial" w:hAnsi="Arial" w:cs="Arial"/>
          <w:color w:val="auto"/>
          <w:sz w:val="24"/>
          <w:szCs w:val="24"/>
        </w:rPr>
        <w:t xml:space="preserve">CARVALHO, </w:t>
      </w:r>
      <w:proofErr w:type="spellStart"/>
      <w:r w:rsidRPr="0091539B">
        <w:rPr>
          <w:rStyle w:val="Hyperlink"/>
          <w:rFonts w:ascii="Arial" w:eastAsia="Arial" w:hAnsi="Arial" w:cs="Arial"/>
          <w:color w:val="auto"/>
          <w:sz w:val="24"/>
          <w:szCs w:val="24"/>
        </w:rPr>
        <w:t>Vinicios</w:t>
      </w:r>
      <w:proofErr w:type="spellEnd"/>
      <w:r w:rsidRPr="0091539B">
        <w:rPr>
          <w:rStyle w:val="Hyperlink"/>
          <w:rFonts w:ascii="Arial" w:eastAsia="Arial" w:hAnsi="Arial" w:cs="Arial"/>
          <w:color w:val="auto"/>
          <w:sz w:val="24"/>
          <w:szCs w:val="24"/>
        </w:rPr>
        <w:t xml:space="preserve"> Leandro. </w:t>
      </w:r>
      <w:r w:rsidRPr="00A621AD">
        <w:rPr>
          <w:rStyle w:val="Hyperlink"/>
          <w:rFonts w:ascii="Arial" w:eastAsia="Arial" w:hAnsi="Arial" w:cs="Arial"/>
          <w:b/>
          <w:color w:val="auto"/>
          <w:sz w:val="24"/>
          <w:szCs w:val="24"/>
        </w:rPr>
        <w:t>Efeitos da condução da política monetária sobre a economia brasileira no contexto pós-plano real</w:t>
      </w:r>
      <w:r w:rsidRPr="0091539B">
        <w:rPr>
          <w:rStyle w:val="Hyperlink"/>
          <w:rFonts w:ascii="Arial" w:eastAsia="Arial" w:hAnsi="Arial" w:cs="Arial"/>
          <w:color w:val="auto"/>
          <w:sz w:val="24"/>
          <w:szCs w:val="24"/>
        </w:rPr>
        <w:t>. Sorocaba-SP, 2012. Disponível em: &lt;</w:t>
      </w:r>
      <w:r w:rsidRPr="00A621AD">
        <w:rPr>
          <w:rFonts w:ascii="Arial" w:hAnsi="Arial" w:cs="Arial"/>
          <w:sz w:val="24"/>
          <w:szCs w:val="24"/>
        </w:rPr>
        <w:t>http://www.bdtd.ufscar.br/htdocs/tedeSimplificado//tde_busca/ arquivo.</w:t>
      </w:r>
      <w:proofErr w:type="spellStart"/>
      <w:r w:rsidRPr="00A621AD">
        <w:rPr>
          <w:rFonts w:ascii="Arial" w:hAnsi="Arial" w:cs="Arial"/>
          <w:sz w:val="24"/>
          <w:szCs w:val="24"/>
        </w:rPr>
        <w:t>php</w:t>
      </w:r>
      <w:proofErr w:type="spellEnd"/>
      <w:r w:rsidRPr="00A621AD">
        <w:rPr>
          <w:rFonts w:ascii="Arial" w:hAnsi="Arial" w:cs="Arial"/>
          <w:sz w:val="24"/>
          <w:szCs w:val="24"/>
        </w:rPr>
        <w:t>?</w:t>
      </w:r>
      <w:proofErr w:type="spellStart"/>
      <w:r w:rsidRPr="00A621AD">
        <w:rPr>
          <w:rFonts w:ascii="Arial" w:hAnsi="Arial" w:cs="Arial"/>
          <w:sz w:val="24"/>
          <w:szCs w:val="24"/>
        </w:rPr>
        <w:t>codArquivo</w:t>
      </w:r>
      <w:proofErr w:type="spellEnd"/>
      <w:r w:rsidRPr="00A621AD">
        <w:rPr>
          <w:rFonts w:ascii="Arial" w:hAnsi="Arial" w:cs="Arial"/>
          <w:sz w:val="24"/>
          <w:szCs w:val="24"/>
        </w:rPr>
        <w:t>=5674</w:t>
      </w:r>
      <w:r w:rsidRPr="0091539B">
        <w:rPr>
          <w:rFonts w:ascii="Arial" w:hAnsi="Arial" w:cs="Arial"/>
          <w:sz w:val="24"/>
          <w:szCs w:val="24"/>
        </w:rPr>
        <w:t>&gt;. Acesso em: 01 abr. 2013.</w:t>
      </w:r>
    </w:p>
    <w:p w:rsidR="005E098C" w:rsidRPr="0091539B" w:rsidRDefault="005E098C" w:rsidP="005E098C">
      <w:pPr>
        <w:spacing w:after="300" w:line="240" w:lineRule="auto"/>
        <w:jc w:val="both"/>
        <w:rPr>
          <w:rFonts w:ascii="Arial" w:hAnsi="Arial" w:cs="Arial"/>
          <w:sz w:val="24"/>
          <w:szCs w:val="24"/>
        </w:rPr>
      </w:pPr>
      <w:r w:rsidRPr="0091539B">
        <w:rPr>
          <w:rFonts w:ascii="Arial" w:hAnsi="Arial" w:cs="Arial"/>
          <w:sz w:val="24"/>
          <w:szCs w:val="24"/>
        </w:rPr>
        <w:t xml:space="preserve">CASTOLDI, Agenor. </w:t>
      </w:r>
      <w:r w:rsidRPr="00A621AD">
        <w:rPr>
          <w:rFonts w:ascii="Arial" w:hAnsi="Arial" w:cs="Arial"/>
          <w:b/>
          <w:sz w:val="24"/>
          <w:szCs w:val="24"/>
        </w:rPr>
        <w:t>Economia</w:t>
      </w:r>
      <w:r>
        <w:rPr>
          <w:rFonts w:ascii="Arial" w:hAnsi="Arial" w:cs="Arial"/>
          <w:sz w:val="24"/>
          <w:szCs w:val="24"/>
        </w:rPr>
        <w:t>.</w:t>
      </w:r>
      <w:r w:rsidRPr="0091539B">
        <w:rPr>
          <w:rFonts w:ascii="Arial" w:hAnsi="Arial" w:cs="Arial"/>
          <w:sz w:val="24"/>
          <w:szCs w:val="24"/>
        </w:rPr>
        <w:t xml:space="preserve"> Material de auxílio para aulas de economia. UNIJUI, 2008. Disponível em: &lt;</w:t>
      </w:r>
      <w:r w:rsidRPr="00A621AD">
        <w:rPr>
          <w:rFonts w:ascii="Arial" w:hAnsi="Arial" w:cs="Arial"/>
          <w:sz w:val="24"/>
          <w:szCs w:val="24"/>
        </w:rPr>
        <w:t>http://www2.unijui.edu.br/~castoldi/histgeo/Indice%</w:t>
      </w:r>
      <w:r>
        <w:rPr>
          <w:rFonts w:ascii="Arial" w:hAnsi="Arial" w:cs="Arial"/>
          <w:sz w:val="24"/>
          <w:szCs w:val="24"/>
        </w:rPr>
        <w:t xml:space="preserve"> </w:t>
      </w:r>
      <w:r w:rsidRPr="00A621AD">
        <w:rPr>
          <w:rFonts w:ascii="Arial" w:hAnsi="Arial" w:cs="Arial"/>
          <w:sz w:val="24"/>
          <w:szCs w:val="24"/>
        </w:rPr>
        <w:t>20e%20Apresentacao.</w:t>
      </w:r>
      <w:proofErr w:type="spellStart"/>
      <w:r w:rsidRPr="00A621AD">
        <w:rPr>
          <w:rFonts w:ascii="Arial" w:hAnsi="Arial" w:cs="Arial"/>
          <w:sz w:val="24"/>
          <w:szCs w:val="24"/>
        </w:rPr>
        <w:t>pdf</w:t>
      </w:r>
      <w:proofErr w:type="spellEnd"/>
      <w:r w:rsidRPr="0091539B">
        <w:rPr>
          <w:rFonts w:ascii="Arial" w:hAnsi="Arial" w:cs="Arial"/>
          <w:sz w:val="24"/>
          <w:szCs w:val="24"/>
        </w:rPr>
        <w:t>&gt;. Acesso em: 01 abr. 2013.</w:t>
      </w:r>
    </w:p>
    <w:p w:rsidR="005E098C" w:rsidRPr="00E17DAC" w:rsidRDefault="005E098C" w:rsidP="005E098C">
      <w:pPr>
        <w:autoSpaceDE w:val="0"/>
        <w:autoSpaceDN w:val="0"/>
        <w:adjustRightInd w:val="0"/>
        <w:spacing w:after="300" w:line="240" w:lineRule="auto"/>
        <w:jc w:val="both"/>
        <w:rPr>
          <w:rFonts w:ascii="Arial" w:hAnsi="Arial" w:cs="Arial"/>
          <w:sz w:val="24"/>
          <w:szCs w:val="24"/>
          <w:lang w:val="en-US"/>
        </w:rPr>
      </w:pPr>
      <w:r>
        <w:rPr>
          <w:rFonts w:ascii="Arial" w:hAnsi="Arial" w:cs="Arial"/>
          <w:sz w:val="24"/>
          <w:szCs w:val="24"/>
        </w:rPr>
        <w:t xml:space="preserve">CHAVES, </w:t>
      </w:r>
      <w:proofErr w:type="spellStart"/>
      <w:r>
        <w:rPr>
          <w:rFonts w:ascii="Arial" w:hAnsi="Arial" w:cs="Arial"/>
          <w:sz w:val="24"/>
          <w:szCs w:val="24"/>
        </w:rPr>
        <w:t>Catary</w:t>
      </w:r>
      <w:proofErr w:type="spellEnd"/>
      <w:r>
        <w:rPr>
          <w:rFonts w:ascii="Arial" w:hAnsi="Arial" w:cs="Arial"/>
          <w:sz w:val="24"/>
          <w:szCs w:val="24"/>
        </w:rPr>
        <w:t xml:space="preserve"> Vilela. </w:t>
      </w:r>
      <w:r w:rsidRPr="009F14CD">
        <w:rPr>
          <w:rFonts w:ascii="Arial" w:hAnsi="Arial" w:cs="Arial"/>
          <w:b/>
          <w:sz w:val="24"/>
          <w:szCs w:val="24"/>
        </w:rPr>
        <w:t>Notas de Aula de Macroeconomia 3</w:t>
      </w:r>
      <w:r>
        <w:rPr>
          <w:rFonts w:ascii="Arial" w:hAnsi="Arial" w:cs="Arial"/>
          <w:sz w:val="24"/>
          <w:szCs w:val="24"/>
        </w:rPr>
        <w:t xml:space="preserve">. </w:t>
      </w:r>
      <w:proofErr w:type="spellStart"/>
      <w:r w:rsidRPr="00E17DAC">
        <w:rPr>
          <w:rFonts w:ascii="Arial" w:hAnsi="Arial" w:cs="Arial"/>
          <w:sz w:val="24"/>
          <w:szCs w:val="24"/>
          <w:lang w:val="en-US"/>
        </w:rPr>
        <w:t>Puc</w:t>
      </w:r>
      <w:proofErr w:type="spellEnd"/>
      <w:r w:rsidRPr="00E17DAC">
        <w:rPr>
          <w:rFonts w:ascii="Arial" w:hAnsi="Arial" w:cs="Arial"/>
          <w:sz w:val="24"/>
          <w:szCs w:val="24"/>
          <w:lang w:val="en-US"/>
        </w:rPr>
        <w:t xml:space="preserve"> -Mg. </w:t>
      </w:r>
      <w:proofErr w:type="spellStart"/>
      <w:r w:rsidRPr="00E17DAC">
        <w:rPr>
          <w:rFonts w:ascii="Arial" w:hAnsi="Arial" w:cs="Arial"/>
          <w:sz w:val="24"/>
          <w:szCs w:val="24"/>
          <w:lang w:val="en-US"/>
        </w:rPr>
        <w:t>Economia</w:t>
      </w:r>
      <w:proofErr w:type="spellEnd"/>
      <w:r w:rsidRPr="00E17DAC">
        <w:rPr>
          <w:rFonts w:ascii="Arial" w:hAnsi="Arial" w:cs="Arial"/>
          <w:sz w:val="24"/>
          <w:szCs w:val="24"/>
          <w:lang w:val="en-US"/>
        </w:rPr>
        <w:t>. 2013.</w:t>
      </w:r>
    </w:p>
    <w:p w:rsidR="005E098C" w:rsidRPr="0091539B" w:rsidRDefault="005E098C" w:rsidP="005E098C">
      <w:pPr>
        <w:autoSpaceDE w:val="0"/>
        <w:autoSpaceDN w:val="0"/>
        <w:adjustRightInd w:val="0"/>
        <w:spacing w:after="300" w:line="240" w:lineRule="auto"/>
        <w:jc w:val="both"/>
        <w:rPr>
          <w:rFonts w:ascii="Arial" w:hAnsi="Arial" w:cs="Arial"/>
          <w:bCs/>
          <w:sz w:val="24"/>
          <w:szCs w:val="24"/>
        </w:rPr>
      </w:pPr>
      <w:r w:rsidRPr="00E17DAC">
        <w:rPr>
          <w:rFonts w:ascii="Arial" w:hAnsi="Arial" w:cs="Arial"/>
          <w:sz w:val="24"/>
          <w:szCs w:val="24"/>
          <w:lang w:val="en-US"/>
        </w:rPr>
        <w:t xml:space="preserve">CHIANG, Alpha C.; WAINWRIGHT, Kevin. </w:t>
      </w:r>
      <w:r w:rsidRPr="009F14CD">
        <w:rPr>
          <w:rFonts w:ascii="Arial" w:hAnsi="Arial" w:cs="Arial"/>
          <w:b/>
          <w:bCs/>
          <w:sz w:val="24"/>
          <w:szCs w:val="24"/>
        </w:rPr>
        <w:t>Matemática para economistas</w:t>
      </w:r>
      <w:r w:rsidRPr="0091539B">
        <w:rPr>
          <w:rFonts w:ascii="Arial" w:hAnsi="Arial" w:cs="Arial"/>
          <w:sz w:val="24"/>
          <w:szCs w:val="24"/>
        </w:rPr>
        <w:t xml:space="preserve">. Tradução de Arlete </w:t>
      </w:r>
      <w:proofErr w:type="spellStart"/>
      <w:r w:rsidRPr="0091539B">
        <w:rPr>
          <w:rFonts w:ascii="Arial" w:hAnsi="Arial" w:cs="Arial"/>
          <w:sz w:val="24"/>
          <w:szCs w:val="24"/>
        </w:rPr>
        <w:t>Simille</w:t>
      </w:r>
      <w:proofErr w:type="spellEnd"/>
      <w:r w:rsidRPr="0091539B">
        <w:rPr>
          <w:rFonts w:ascii="Arial" w:hAnsi="Arial" w:cs="Arial"/>
          <w:sz w:val="24"/>
          <w:szCs w:val="24"/>
        </w:rPr>
        <w:t xml:space="preserve"> Marques. 4 ed. Rio de Janeiro: </w:t>
      </w:r>
      <w:proofErr w:type="spellStart"/>
      <w:r w:rsidRPr="0091539B">
        <w:rPr>
          <w:rFonts w:ascii="Arial" w:hAnsi="Arial" w:cs="Arial"/>
          <w:sz w:val="24"/>
          <w:szCs w:val="24"/>
        </w:rPr>
        <w:t>Elsevier</w:t>
      </w:r>
      <w:proofErr w:type="spellEnd"/>
      <w:r w:rsidRPr="0091539B">
        <w:rPr>
          <w:rFonts w:ascii="Arial" w:hAnsi="Arial" w:cs="Arial"/>
          <w:sz w:val="24"/>
          <w:szCs w:val="24"/>
        </w:rPr>
        <w:t>, 2006. p</w:t>
      </w:r>
      <w:r>
        <w:rPr>
          <w:rFonts w:ascii="Arial" w:hAnsi="Arial" w:cs="Arial"/>
          <w:sz w:val="24"/>
          <w:szCs w:val="24"/>
        </w:rPr>
        <w:t>.</w:t>
      </w:r>
      <w:r w:rsidRPr="0091539B">
        <w:rPr>
          <w:rFonts w:ascii="Arial" w:hAnsi="Arial" w:cs="Arial"/>
          <w:sz w:val="24"/>
          <w:szCs w:val="24"/>
        </w:rPr>
        <w:t xml:space="preserve"> 659. </w:t>
      </w:r>
    </w:p>
    <w:p w:rsidR="005E098C" w:rsidRPr="0091539B" w:rsidRDefault="005E098C" w:rsidP="005E098C">
      <w:pPr>
        <w:autoSpaceDE w:val="0"/>
        <w:autoSpaceDN w:val="0"/>
        <w:adjustRightInd w:val="0"/>
        <w:spacing w:after="300" w:line="240" w:lineRule="auto"/>
        <w:jc w:val="both"/>
        <w:rPr>
          <w:rStyle w:val="CitaoHTML"/>
          <w:rFonts w:ascii="Arial" w:hAnsi="Arial" w:cs="Arial"/>
          <w:sz w:val="24"/>
          <w:szCs w:val="24"/>
        </w:rPr>
      </w:pPr>
      <w:r w:rsidRPr="0091539B">
        <w:rPr>
          <w:rFonts w:ascii="Arial" w:hAnsi="Arial" w:cs="Arial"/>
          <w:bCs/>
          <w:sz w:val="24"/>
          <w:szCs w:val="24"/>
        </w:rPr>
        <w:t xml:space="preserve">CURADO, Marcelo; OREIRO, José Luis. </w:t>
      </w:r>
      <w:r w:rsidRPr="009F14CD">
        <w:rPr>
          <w:rFonts w:ascii="Arial" w:hAnsi="Arial" w:cs="Arial"/>
          <w:bCs/>
          <w:sz w:val="24"/>
          <w:szCs w:val="24"/>
        </w:rPr>
        <w:t>Metas de inflação</w:t>
      </w:r>
      <w:r w:rsidRPr="0091539B">
        <w:rPr>
          <w:rFonts w:ascii="Arial" w:hAnsi="Arial" w:cs="Arial"/>
          <w:bCs/>
          <w:sz w:val="24"/>
          <w:szCs w:val="24"/>
        </w:rPr>
        <w:t>: uma avaliação do caso brasileiro.</w:t>
      </w:r>
      <w:r w:rsidRPr="0091539B">
        <w:rPr>
          <w:rFonts w:ascii="Arial" w:hAnsi="Arial" w:cs="Arial"/>
          <w:i/>
          <w:iCs/>
          <w:sz w:val="24"/>
          <w:szCs w:val="24"/>
        </w:rPr>
        <w:t xml:space="preserve"> </w:t>
      </w:r>
      <w:r w:rsidRPr="009F14CD">
        <w:rPr>
          <w:rFonts w:ascii="Arial" w:hAnsi="Arial" w:cs="Arial"/>
          <w:b/>
          <w:iCs/>
          <w:sz w:val="24"/>
          <w:szCs w:val="24"/>
        </w:rPr>
        <w:t xml:space="preserve">Revista </w:t>
      </w:r>
      <w:proofErr w:type="spellStart"/>
      <w:r w:rsidRPr="009F14CD">
        <w:rPr>
          <w:rFonts w:ascii="Arial" w:hAnsi="Arial" w:cs="Arial"/>
          <w:b/>
          <w:iCs/>
          <w:sz w:val="24"/>
          <w:szCs w:val="24"/>
        </w:rPr>
        <w:t>Indic</w:t>
      </w:r>
      <w:proofErr w:type="spellEnd"/>
      <w:r w:rsidRPr="0091539B">
        <w:rPr>
          <w:rFonts w:ascii="Arial" w:hAnsi="Arial" w:cs="Arial"/>
          <w:iCs/>
          <w:sz w:val="24"/>
          <w:szCs w:val="24"/>
        </w:rPr>
        <w:t>. Econ. FEE, Porto Alegre, v. 33, n. 2, p. 127-146, set. 2005. Disponível em:</w:t>
      </w:r>
      <w:r>
        <w:rPr>
          <w:rFonts w:ascii="Arial" w:hAnsi="Arial" w:cs="Arial"/>
          <w:iCs/>
          <w:sz w:val="24"/>
          <w:szCs w:val="24"/>
        </w:rPr>
        <w:t xml:space="preserve"> </w:t>
      </w:r>
      <w:r w:rsidRPr="0091539B">
        <w:rPr>
          <w:rStyle w:val="CitaoHTML"/>
          <w:rFonts w:ascii="Arial" w:hAnsi="Arial" w:cs="Arial"/>
          <w:sz w:val="24"/>
          <w:szCs w:val="24"/>
        </w:rPr>
        <w:t>&lt;revistas.fee.tche.br/index.php/indicadores/article/download/1121/</w:t>
      </w:r>
      <w:r>
        <w:rPr>
          <w:rStyle w:val="CitaoHTML"/>
          <w:rFonts w:ascii="Arial" w:hAnsi="Arial" w:cs="Arial"/>
          <w:sz w:val="24"/>
          <w:szCs w:val="24"/>
        </w:rPr>
        <w:t xml:space="preserve"> </w:t>
      </w:r>
      <w:r w:rsidRPr="0091539B">
        <w:rPr>
          <w:rStyle w:val="CitaoHTML"/>
          <w:rFonts w:ascii="Arial" w:hAnsi="Arial" w:cs="Arial"/>
          <w:sz w:val="24"/>
          <w:szCs w:val="24"/>
        </w:rPr>
        <w:t xml:space="preserve">1452&gt;. Acesso em: </w:t>
      </w:r>
      <w:r w:rsidRPr="0091539B">
        <w:rPr>
          <w:rFonts w:ascii="Arial" w:hAnsi="Arial" w:cs="Arial"/>
          <w:sz w:val="24"/>
          <w:szCs w:val="24"/>
        </w:rPr>
        <w:t xml:space="preserve">17 </w:t>
      </w:r>
      <w:r w:rsidRPr="0091539B">
        <w:rPr>
          <w:rStyle w:val="CitaoHTML"/>
          <w:rFonts w:ascii="Arial" w:hAnsi="Arial" w:cs="Arial"/>
          <w:sz w:val="24"/>
          <w:szCs w:val="24"/>
        </w:rPr>
        <w:t>mar. 2013.</w:t>
      </w:r>
    </w:p>
    <w:p w:rsidR="005E098C" w:rsidRPr="0091539B" w:rsidRDefault="005E098C" w:rsidP="005E098C">
      <w:pPr>
        <w:spacing w:after="300" w:line="240" w:lineRule="auto"/>
        <w:jc w:val="both"/>
        <w:rPr>
          <w:rFonts w:ascii="Arial" w:hAnsi="Arial" w:cs="Arial"/>
          <w:sz w:val="24"/>
          <w:szCs w:val="24"/>
        </w:rPr>
      </w:pPr>
      <w:r w:rsidRPr="0091539B">
        <w:rPr>
          <w:rFonts w:ascii="Arial" w:hAnsi="Arial" w:cs="Arial"/>
          <w:sz w:val="24"/>
          <w:szCs w:val="24"/>
        </w:rPr>
        <w:t xml:space="preserve">DEL-VECCHIO, Renata; ALVES, Joana D. O.; INHUDES, Adriana. </w:t>
      </w:r>
      <w:r w:rsidRPr="009F14CD">
        <w:rPr>
          <w:rFonts w:ascii="Arial" w:hAnsi="Arial" w:cs="Arial"/>
          <w:b/>
          <w:sz w:val="24"/>
          <w:szCs w:val="24"/>
        </w:rPr>
        <w:t>Taxa de juros real de equilíbrio</w:t>
      </w:r>
      <w:r w:rsidRPr="0091539B">
        <w:rPr>
          <w:rFonts w:ascii="Arial" w:hAnsi="Arial" w:cs="Arial"/>
          <w:sz w:val="24"/>
          <w:szCs w:val="24"/>
        </w:rPr>
        <w:t xml:space="preserve">: Uma análise via equações em diferenças. In: </w:t>
      </w:r>
      <w:r w:rsidRPr="0091539B">
        <w:rPr>
          <w:rFonts w:ascii="Arial" w:hAnsi="Arial" w:cs="Arial"/>
          <w:bCs/>
          <w:sz w:val="24"/>
          <w:szCs w:val="24"/>
        </w:rPr>
        <w:t>XXX CNMAC Congresso Nacional de Matemática Aplicada e Computacional</w:t>
      </w:r>
      <w:r w:rsidRPr="0091539B">
        <w:rPr>
          <w:rFonts w:ascii="Arial" w:hAnsi="Arial" w:cs="Arial"/>
          <w:sz w:val="24"/>
          <w:szCs w:val="24"/>
        </w:rPr>
        <w:t>, 2007, Florianópolis. Não paginado. Disponível em: &lt;http://www.sbmac.org.br/eventos/cnmac/</w:t>
      </w:r>
      <w:r>
        <w:rPr>
          <w:rFonts w:ascii="Arial" w:hAnsi="Arial" w:cs="Arial"/>
          <w:sz w:val="24"/>
          <w:szCs w:val="24"/>
        </w:rPr>
        <w:t xml:space="preserve"> </w:t>
      </w:r>
      <w:proofErr w:type="spellStart"/>
      <w:r w:rsidRPr="0091539B">
        <w:rPr>
          <w:rFonts w:ascii="Arial" w:hAnsi="Arial" w:cs="Arial"/>
          <w:sz w:val="24"/>
          <w:szCs w:val="24"/>
        </w:rPr>
        <w:t>xxx_cnmac</w:t>
      </w:r>
      <w:proofErr w:type="spellEnd"/>
      <w:r w:rsidRPr="0091539B">
        <w:rPr>
          <w:rFonts w:ascii="Arial" w:hAnsi="Arial" w:cs="Arial"/>
          <w:sz w:val="24"/>
          <w:szCs w:val="24"/>
        </w:rPr>
        <w:t>/PDF/128.</w:t>
      </w:r>
      <w:proofErr w:type="spellStart"/>
      <w:r w:rsidRPr="0091539B">
        <w:rPr>
          <w:rFonts w:ascii="Arial" w:hAnsi="Arial" w:cs="Arial"/>
          <w:sz w:val="24"/>
          <w:szCs w:val="24"/>
        </w:rPr>
        <w:t>pdf</w:t>
      </w:r>
      <w:proofErr w:type="spellEnd"/>
      <w:r w:rsidRPr="0091539B">
        <w:rPr>
          <w:rFonts w:ascii="Arial" w:hAnsi="Arial" w:cs="Arial"/>
          <w:sz w:val="24"/>
          <w:szCs w:val="24"/>
        </w:rPr>
        <w:t>&gt;.  Acesso em: 27 set. 2010.</w:t>
      </w:r>
    </w:p>
    <w:p w:rsidR="005E098C" w:rsidRPr="0091539B" w:rsidRDefault="005E098C" w:rsidP="005E098C">
      <w:pPr>
        <w:spacing w:after="300" w:line="240" w:lineRule="auto"/>
        <w:jc w:val="both"/>
        <w:rPr>
          <w:rFonts w:ascii="Arial" w:hAnsi="Arial" w:cs="Arial"/>
          <w:sz w:val="24"/>
          <w:szCs w:val="24"/>
        </w:rPr>
      </w:pPr>
      <w:r w:rsidRPr="0091539B">
        <w:rPr>
          <w:rFonts w:ascii="Arial" w:hAnsi="Arial" w:cs="Arial"/>
          <w:sz w:val="24"/>
          <w:szCs w:val="24"/>
        </w:rPr>
        <w:lastRenderedPageBreak/>
        <w:t xml:space="preserve">FONTES, Rosa; ARBEX, Marcelo A.; SILVA JR.,Geraldo E. </w:t>
      </w:r>
      <w:r w:rsidRPr="009F14CD">
        <w:rPr>
          <w:rFonts w:ascii="Arial" w:hAnsi="Arial" w:cs="Arial"/>
          <w:b/>
          <w:sz w:val="24"/>
          <w:szCs w:val="24"/>
        </w:rPr>
        <w:t>Estabilização econômica no Brasil</w:t>
      </w:r>
      <w:r w:rsidRPr="0091539B">
        <w:rPr>
          <w:rFonts w:ascii="Arial" w:hAnsi="Arial" w:cs="Arial"/>
          <w:sz w:val="24"/>
          <w:szCs w:val="24"/>
        </w:rPr>
        <w:t>: reflexões sobre o Plano Real. I</w:t>
      </w:r>
      <w:r w:rsidRPr="0091539B">
        <w:rPr>
          <w:rFonts w:ascii="Arial" w:hAnsi="Arial" w:cs="Arial"/>
          <w:sz w:val="24"/>
          <w:szCs w:val="24"/>
          <w:shd w:val="clear" w:color="auto" w:fill="FFFFFF"/>
        </w:rPr>
        <w:t>ndicadores</w:t>
      </w:r>
      <w:r w:rsidRPr="0091539B">
        <w:rPr>
          <w:rStyle w:val="apple-converted-space"/>
          <w:rFonts w:ascii="Arial" w:hAnsi="Arial" w:cs="Arial"/>
          <w:sz w:val="24"/>
          <w:szCs w:val="24"/>
          <w:shd w:val="clear" w:color="auto" w:fill="FFFFFF"/>
        </w:rPr>
        <w:t> </w:t>
      </w:r>
      <w:r w:rsidRPr="0091539B">
        <w:rPr>
          <w:rStyle w:val="nfase"/>
          <w:rFonts w:ascii="Arial" w:hAnsi="Arial" w:cs="Arial"/>
          <w:bCs/>
          <w:i w:val="0"/>
          <w:iCs w:val="0"/>
          <w:sz w:val="24"/>
          <w:szCs w:val="24"/>
          <w:shd w:val="clear" w:color="auto" w:fill="FFFFFF"/>
        </w:rPr>
        <w:t>Econômicos FEE</w:t>
      </w:r>
      <w:r w:rsidRPr="0091539B">
        <w:rPr>
          <w:rFonts w:ascii="Arial" w:hAnsi="Arial" w:cs="Arial"/>
          <w:sz w:val="24"/>
          <w:szCs w:val="24"/>
          <w:shd w:val="clear" w:color="auto" w:fill="FFFFFF"/>
        </w:rPr>
        <w:t>, v. 26, n.3 p.74-86,</w:t>
      </w:r>
      <w:r w:rsidRPr="0091539B">
        <w:rPr>
          <w:rFonts w:ascii="Arial" w:hAnsi="Arial" w:cs="Arial"/>
          <w:sz w:val="24"/>
          <w:szCs w:val="24"/>
        </w:rPr>
        <w:t xml:space="preserve"> 1998.</w:t>
      </w:r>
      <w:r w:rsidRPr="0091539B">
        <w:rPr>
          <w:rFonts w:ascii="Arial" w:hAnsi="Arial" w:cs="Arial"/>
          <w:sz w:val="24"/>
          <w:szCs w:val="24"/>
          <w:shd w:val="clear" w:color="auto" w:fill="FFFFFF"/>
        </w:rPr>
        <w:t xml:space="preserve"> Disponível em:</w:t>
      </w:r>
      <w:r>
        <w:rPr>
          <w:rFonts w:ascii="Arial" w:hAnsi="Arial" w:cs="Arial"/>
          <w:sz w:val="24"/>
          <w:szCs w:val="24"/>
          <w:shd w:val="clear" w:color="auto" w:fill="FFFFFF"/>
        </w:rPr>
        <w:t xml:space="preserve"> </w:t>
      </w:r>
      <w:r w:rsidRPr="0091539B">
        <w:rPr>
          <w:rFonts w:ascii="Arial" w:hAnsi="Arial" w:cs="Arial"/>
          <w:sz w:val="24"/>
          <w:szCs w:val="24"/>
        </w:rPr>
        <w:t>&lt;</w:t>
      </w:r>
      <w:r w:rsidRPr="00D55AF7">
        <w:rPr>
          <w:rFonts w:ascii="Arial" w:hAnsi="Arial" w:cs="Arial"/>
          <w:sz w:val="24"/>
          <w:szCs w:val="24"/>
        </w:rPr>
        <w:t>http://revistas.fee.tche.br/index.</w:t>
      </w:r>
      <w:proofErr w:type="spellStart"/>
      <w:r w:rsidRPr="00D55AF7">
        <w:rPr>
          <w:rFonts w:ascii="Arial" w:hAnsi="Arial" w:cs="Arial"/>
          <w:sz w:val="24"/>
          <w:szCs w:val="24"/>
        </w:rPr>
        <w:t>php</w:t>
      </w:r>
      <w:proofErr w:type="spellEnd"/>
      <w:r w:rsidRPr="00D55AF7">
        <w:rPr>
          <w:rFonts w:ascii="Arial" w:hAnsi="Arial" w:cs="Arial"/>
          <w:sz w:val="24"/>
          <w:szCs w:val="24"/>
        </w:rPr>
        <w:t>/</w:t>
      </w:r>
      <w:r>
        <w:rPr>
          <w:rFonts w:ascii="Arial" w:hAnsi="Arial" w:cs="Arial"/>
          <w:sz w:val="24"/>
          <w:szCs w:val="24"/>
        </w:rPr>
        <w:t xml:space="preserve"> </w:t>
      </w:r>
      <w:r w:rsidRPr="00D55AF7">
        <w:rPr>
          <w:rFonts w:ascii="Arial" w:hAnsi="Arial" w:cs="Arial"/>
          <w:sz w:val="24"/>
          <w:szCs w:val="24"/>
        </w:rPr>
        <w:t>indicadores/</w:t>
      </w:r>
      <w:proofErr w:type="spellStart"/>
      <w:r w:rsidRPr="00D55AF7">
        <w:rPr>
          <w:rFonts w:ascii="Arial" w:hAnsi="Arial" w:cs="Arial"/>
          <w:sz w:val="24"/>
          <w:szCs w:val="24"/>
        </w:rPr>
        <w:t>article</w:t>
      </w:r>
      <w:proofErr w:type="spellEnd"/>
      <w:r w:rsidRPr="00D55AF7">
        <w:rPr>
          <w:rFonts w:ascii="Arial" w:hAnsi="Arial" w:cs="Arial"/>
          <w:sz w:val="24"/>
          <w:szCs w:val="24"/>
        </w:rPr>
        <w:t>/</w:t>
      </w:r>
      <w:proofErr w:type="spellStart"/>
      <w:r w:rsidRPr="00D55AF7">
        <w:rPr>
          <w:rFonts w:ascii="Arial" w:hAnsi="Arial" w:cs="Arial"/>
          <w:sz w:val="24"/>
          <w:szCs w:val="24"/>
        </w:rPr>
        <w:t>viewFile</w:t>
      </w:r>
      <w:proofErr w:type="spellEnd"/>
      <w:r w:rsidRPr="00D55AF7">
        <w:rPr>
          <w:rFonts w:ascii="Arial" w:hAnsi="Arial" w:cs="Arial"/>
          <w:sz w:val="24"/>
          <w:szCs w:val="24"/>
        </w:rPr>
        <w:t>/1570/1938</w:t>
      </w:r>
      <w:r w:rsidRPr="0091539B">
        <w:rPr>
          <w:rFonts w:ascii="Arial" w:hAnsi="Arial" w:cs="Arial"/>
          <w:sz w:val="24"/>
          <w:szCs w:val="24"/>
        </w:rPr>
        <w:t>.&gt;. Acesso em: 02 fev. 2013.</w:t>
      </w:r>
    </w:p>
    <w:p w:rsidR="005E098C" w:rsidRPr="0091539B" w:rsidRDefault="005E098C" w:rsidP="005E098C">
      <w:pPr>
        <w:spacing w:after="300" w:line="240" w:lineRule="auto"/>
        <w:jc w:val="both"/>
        <w:rPr>
          <w:rFonts w:ascii="Arial" w:hAnsi="Arial" w:cs="Arial"/>
          <w:sz w:val="24"/>
          <w:szCs w:val="24"/>
        </w:rPr>
      </w:pPr>
      <w:r w:rsidRPr="0091539B">
        <w:rPr>
          <w:rFonts w:ascii="Arial" w:hAnsi="Arial" w:cs="Arial"/>
          <w:sz w:val="24"/>
          <w:szCs w:val="24"/>
        </w:rPr>
        <w:t>FROYEN, Richard</w:t>
      </w:r>
      <w:r>
        <w:rPr>
          <w:rFonts w:ascii="Arial" w:hAnsi="Arial" w:cs="Arial"/>
          <w:sz w:val="24"/>
          <w:szCs w:val="24"/>
        </w:rPr>
        <w:t>.</w:t>
      </w:r>
      <w:r w:rsidRPr="0091539B">
        <w:rPr>
          <w:rFonts w:ascii="Arial" w:hAnsi="Arial" w:cs="Arial"/>
          <w:sz w:val="24"/>
          <w:szCs w:val="24"/>
        </w:rPr>
        <w:t xml:space="preserve"> </w:t>
      </w:r>
      <w:r w:rsidRPr="009F14CD">
        <w:rPr>
          <w:rFonts w:ascii="Arial" w:hAnsi="Arial" w:cs="Arial"/>
          <w:b/>
          <w:sz w:val="24"/>
          <w:szCs w:val="24"/>
        </w:rPr>
        <w:t>Macroeconomia</w:t>
      </w:r>
      <w:r>
        <w:rPr>
          <w:rFonts w:ascii="Arial" w:hAnsi="Arial" w:cs="Arial"/>
          <w:b/>
          <w:sz w:val="24"/>
          <w:szCs w:val="24"/>
        </w:rPr>
        <w:t>.</w:t>
      </w:r>
      <w:r w:rsidRPr="0091539B">
        <w:rPr>
          <w:rFonts w:ascii="Arial" w:hAnsi="Arial" w:cs="Arial"/>
          <w:sz w:val="24"/>
          <w:szCs w:val="24"/>
        </w:rPr>
        <w:t xml:space="preserve"> T. Tradução de Esther E. H. </w:t>
      </w:r>
      <w:proofErr w:type="spellStart"/>
      <w:r w:rsidRPr="0091539B">
        <w:rPr>
          <w:rFonts w:ascii="Arial" w:hAnsi="Arial" w:cs="Arial"/>
          <w:sz w:val="24"/>
          <w:szCs w:val="24"/>
        </w:rPr>
        <w:t>Herskovitz</w:t>
      </w:r>
      <w:proofErr w:type="spellEnd"/>
      <w:r w:rsidRPr="0091539B">
        <w:rPr>
          <w:rFonts w:ascii="Arial" w:hAnsi="Arial" w:cs="Arial"/>
          <w:sz w:val="24"/>
          <w:szCs w:val="24"/>
        </w:rPr>
        <w:t>.. São Paulo: Saraiva,</w:t>
      </w:r>
      <w:r>
        <w:rPr>
          <w:rFonts w:ascii="Arial" w:hAnsi="Arial" w:cs="Arial"/>
          <w:sz w:val="24"/>
          <w:szCs w:val="24"/>
        </w:rPr>
        <w:t xml:space="preserve"> </w:t>
      </w:r>
      <w:r w:rsidRPr="0091539B">
        <w:rPr>
          <w:rFonts w:ascii="Arial" w:hAnsi="Arial" w:cs="Arial"/>
          <w:sz w:val="24"/>
          <w:szCs w:val="24"/>
        </w:rPr>
        <w:t>1999.</w:t>
      </w:r>
    </w:p>
    <w:p w:rsidR="005E098C" w:rsidRPr="0091539B" w:rsidRDefault="005E098C" w:rsidP="005E098C">
      <w:pPr>
        <w:spacing w:after="300" w:line="240" w:lineRule="auto"/>
        <w:jc w:val="both"/>
        <w:rPr>
          <w:rFonts w:ascii="Arial" w:hAnsi="Arial" w:cs="Arial"/>
          <w:sz w:val="24"/>
          <w:szCs w:val="24"/>
        </w:rPr>
      </w:pPr>
      <w:r w:rsidRPr="0091539B">
        <w:rPr>
          <w:rFonts w:ascii="Arial" w:hAnsi="Arial" w:cs="Arial"/>
          <w:sz w:val="24"/>
          <w:szCs w:val="24"/>
        </w:rPr>
        <w:t xml:space="preserve">GARCIA, Ronaldo C. </w:t>
      </w:r>
      <w:r w:rsidRPr="009F14CD">
        <w:rPr>
          <w:rFonts w:ascii="Arial" w:hAnsi="Arial" w:cs="Arial"/>
          <w:b/>
          <w:sz w:val="24"/>
          <w:szCs w:val="24"/>
        </w:rPr>
        <w:t>Subsídios para organizar avaliações da ação governamental</w:t>
      </w:r>
      <w:r w:rsidRPr="0091539B">
        <w:rPr>
          <w:rFonts w:ascii="Arial" w:hAnsi="Arial" w:cs="Arial"/>
          <w:sz w:val="24"/>
          <w:szCs w:val="24"/>
        </w:rPr>
        <w:t xml:space="preserve">. </w:t>
      </w:r>
      <w:r w:rsidRPr="0091539B">
        <w:rPr>
          <w:rFonts w:ascii="Arial" w:hAnsi="Arial" w:cs="Arial"/>
          <w:bCs/>
          <w:sz w:val="24"/>
          <w:szCs w:val="24"/>
        </w:rPr>
        <w:t>Planejamento e Políticas Públicas</w:t>
      </w:r>
      <w:r w:rsidRPr="0091539B">
        <w:rPr>
          <w:rFonts w:ascii="Arial" w:hAnsi="Arial" w:cs="Arial"/>
          <w:sz w:val="24"/>
          <w:szCs w:val="24"/>
        </w:rPr>
        <w:t>, Brasília, n. 23, p. 7-70, jun. 2001. Disponível em: &lt;http://2009.campinas.sp.gov.br/rh/uploads/egds_material/</w:t>
      </w:r>
      <w:r>
        <w:rPr>
          <w:rFonts w:ascii="Arial" w:hAnsi="Arial" w:cs="Arial"/>
          <w:sz w:val="24"/>
          <w:szCs w:val="24"/>
        </w:rPr>
        <w:t xml:space="preserve"> </w:t>
      </w:r>
      <w:r w:rsidRPr="0091539B">
        <w:rPr>
          <w:rFonts w:ascii="Arial" w:hAnsi="Arial" w:cs="Arial"/>
          <w:sz w:val="24"/>
          <w:szCs w:val="24"/>
        </w:rPr>
        <w:t>txt_apoio_ronaldo.pdf&gt;. Acesso em: 03 mar. 2014.</w:t>
      </w:r>
    </w:p>
    <w:p w:rsidR="005E098C" w:rsidRDefault="005E098C" w:rsidP="005E098C">
      <w:pPr>
        <w:spacing w:after="300" w:line="240" w:lineRule="auto"/>
        <w:jc w:val="both"/>
        <w:rPr>
          <w:rFonts w:ascii="Arial" w:hAnsi="Arial" w:cs="Arial"/>
          <w:sz w:val="24"/>
          <w:szCs w:val="24"/>
        </w:rPr>
      </w:pPr>
      <w:r w:rsidRPr="0091539B">
        <w:rPr>
          <w:rFonts w:ascii="Arial" w:hAnsi="Arial" w:cs="Arial"/>
          <w:sz w:val="24"/>
          <w:szCs w:val="24"/>
        </w:rPr>
        <w:t xml:space="preserve">GIAMBIAGI, Fábio. </w:t>
      </w:r>
      <w:r w:rsidRPr="009F14CD">
        <w:rPr>
          <w:rFonts w:ascii="Arial" w:hAnsi="Arial" w:cs="Arial"/>
          <w:b/>
          <w:sz w:val="24"/>
          <w:szCs w:val="24"/>
        </w:rPr>
        <w:t>Do déficit de metas às metas de déficit</w:t>
      </w:r>
      <w:r w:rsidRPr="0091539B">
        <w:rPr>
          <w:rFonts w:ascii="Arial" w:hAnsi="Arial" w:cs="Arial"/>
          <w:sz w:val="24"/>
          <w:szCs w:val="24"/>
        </w:rPr>
        <w:t xml:space="preserve">: a política fiscal do governo Fernando Henrique Cardoso – 1995/2002. Texto para Discussão, </w:t>
      </w:r>
      <w:r w:rsidRPr="009F14CD">
        <w:rPr>
          <w:rFonts w:ascii="Arial" w:hAnsi="Arial" w:cs="Arial"/>
          <w:sz w:val="24"/>
          <w:szCs w:val="24"/>
        </w:rPr>
        <w:t>93, (ANO OU Nº)</w:t>
      </w:r>
      <w:r w:rsidRPr="0091539B">
        <w:rPr>
          <w:rFonts w:ascii="Arial" w:hAnsi="Arial" w:cs="Arial"/>
          <w:sz w:val="24"/>
          <w:szCs w:val="24"/>
        </w:rPr>
        <w:t xml:space="preserve"> Rio de Janeiro, 2002. </w:t>
      </w:r>
      <w:r w:rsidRPr="009F14CD">
        <w:rPr>
          <w:rFonts w:ascii="Arial" w:hAnsi="Arial" w:cs="Arial"/>
          <w:sz w:val="24"/>
          <w:szCs w:val="24"/>
        </w:rPr>
        <w:t>BNDES.</w:t>
      </w:r>
    </w:p>
    <w:p w:rsidR="005E098C" w:rsidRPr="0091539B" w:rsidRDefault="005E098C" w:rsidP="005E098C">
      <w:pPr>
        <w:spacing w:after="300" w:line="240" w:lineRule="auto"/>
        <w:jc w:val="both"/>
        <w:rPr>
          <w:rFonts w:ascii="Arial" w:hAnsi="Arial" w:cs="Arial"/>
          <w:sz w:val="24"/>
          <w:szCs w:val="24"/>
        </w:rPr>
      </w:pPr>
      <w:r w:rsidRPr="00082749">
        <w:rPr>
          <w:rFonts w:ascii="Arial" w:hAnsi="Arial" w:cs="Arial"/>
          <w:sz w:val="24"/>
          <w:szCs w:val="24"/>
        </w:rPr>
        <w:t>GRASEL, D. Alternativas para a fragilização externa da econo</w:t>
      </w:r>
      <w:r>
        <w:rPr>
          <w:rFonts w:ascii="Arial" w:hAnsi="Arial" w:cs="Arial"/>
          <w:sz w:val="24"/>
          <w:szCs w:val="24"/>
        </w:rPr>
        <w:t>mia brasileira. In:</w:t>
      </w:r>
      <w:r w:rsidRPr="00082749">
        <w:rPr>
          <w:rFonts w:ascii="Arial" w:hAnsi="Arial" w:cs="Arial"/>
          <w:b/>
          <w:sz w:val="24"/>
          <w:szCs w:val="24"/>
        </w:rPr>
        <w:t xml:space="preserve"> Revista de Estudos Sociais da FAECC</w:t>
      </w:r>
      <w:r w:rsidRPr="00082749">
        <w:rPr>
          <w:rFonts w:ascii="Arial" w:hAnsi="Arial" w:cs="Arial"/>
          <w:sz w:val="24"/>
          <w:szCs w:val="24"/>
        </w:rPr>
        <w:t>. Cuia</w:t>
      </w:r>
      <w:r>
        <w:rPr>
          <w:rFonts w:ascii="Arial" w:hAnsi="Arial" w:cs="Arial"/>
          <w:sz w:val="24"/>
          <w:szCs w:val="24"/>
        </w:rPr>
        <w:t xml:space="preserve">bá-MT: </w:t>
      </w:r>
      <w:proofErr w:type="spellStart"/>
      <w:r>
        <w:rPr>
          <w:rFonts w:ascii="Arial" w:hAnsi="Arial" w:cs="Arial"/>
          <w:sz w:val="24"/>
          <w:szCs w:val="24"/>
        </w:rPr>
        <w:t>EdUFMT</w:t>
      </w:r>
      <w:proofErr w:type="spellEnd"/>
      <w:r>
        <w:rPr>
          <w:rFonts w:ascii="Arial" w:hAnsi="Arial" w:cs="Arial"/>
          <w:sz w:val="24"/>
          <w:szCs w:val="24"/>
        </w:rPr>
        <w:t>, ano 3, n. 5, 2001</w:t>
      </w:r>
    </w:p>
    <w:p w:rsidR="005E098C" w:rsidRPr="0091539B" w:rsidRDefault="005E098C" w:rsidP="005E098C">
      <w:pPr>
        <w:spacing w:after="300" w:line="240" w:lineRule="auto"/>
        <w:jc w:val="both"/>
        <w:rPr>
          <w:rFonts w:ascii="Arial" w:hAnsi="Arial" w:cs="Arial"/>
          <w:bCs/>
          <w:sz w:val="24"/>
          <w:szCs w:val="24"/>
        </w:rPr>
      </w:pPr>
      <w:r w:rsidRPr="0091539B">
        <w:rPr>
          <w:rFonts w:ascii="Arial" w:hAnsi="Arial" w:cs="Arial"/>
          <w:sz w:val="24"/>
          <w:szCs w:val="24"/>
        </w:rPr>
        <w:t>GRASEL, Dirceu.</w:t>
      </w:r>
      <w:r w:rsidRPr="0091539B">
        <w:rPr>
          <w:rFonts w:ascii="Arial" w:hAnsi="Arial" w:cs="Arial"/>
          <w:bCs/>
          <w:sz w:val="24"/>
          <w:szCs w:val="24"/>
        </w:rPr>
        <w:t xml:space="preserve"> </w:t>
      </w:r>
      <w:r w:rsidRPr="009F14CD">
        <w:rPr>
          <w:rFonts w:ascii="Arial" w:hAnsi="Arial" w:cs="Arial"/>
          <w:b/>
          <w:bCs/>
          <w:sz w:val="24"/>
          <w:szCs w:val="24"/>
        </w:rPr>
        <w:t>Brasil</w:t>
      </w:r>
      <w:r w:rsidRPr="0091539B">
        <w:rPr>
          <w:rFonts w:ascii="Arial" w:hAnsi="Arial" w:cs="Arial"/>
          <w:bCs/>
          <w:sz w:val="24"/>
          <w:szCs w:val="24"/>
        </w:rPr>
        <w:t>: Plano Real e a estabil</w:t>
      </w:r>
      <w:r>
        <w:rPr>
          <w:rFonts w:ascii="Arial" w:hAnsi="Arial" w:cs="Arial"/>
          <w:bCs/>
          <w:sz w:val="24"/>
          <w:szCs w:val="24"/>
        </w:rPr>
        <w:t>ização econômica inacabada, 2003</w:t>
      </w:r>
      <w:r w:rsidRPr="0091539B">
        <w:rPr>
          <w:rFonts w:ascii="Arial" w:hAnsi="Arial" w:cs="Arial"/>
          <w:bCs/>
          <w:sz w:val="24"/>
          <w:szCs w:val="24"/>
        </w:rPr>
        <w:t xml:space="preserve">. Disponível em: </w:t>
      </w:r>
      <w:r w:rsidRPr="0091539B">
        <w:rPr>
          <w:rStyle w:val="CitaoHTML"/>
          <w:rFonts w:ascii="Arial" w:hAnsi="Arial" w:cs="Arial"/>
          <w:sz w:val="24"/>
          <w:szCs w:val="24"/>
        </w:rPr>
        <w:t>&lt;</w:t>
      </w:r>
      <w:r w:rsidRPr="00D55AF7">
        <w:rPr>
          <w:rFonts w:ascii="Arial" w:hAnsi="Arial" w:cs="Arial"/>
          <w:sz w:val="24"/>
          <w:szCs w:val="24"/>
        </w:rPr>
        <w:t xml:space="preserve"> http://erevista.unioeste.br/index.php/gepec/article/download/</w:t>
      </w:r>
      <w:r>
        <w:rPr>
          <w:rStyle w:val="CitaoHTML"/>
          <w:rFonts w:ascii="Arial" w:hAnsi="Arial" w:cs="Arial"/>
          <w:sz w:val="24"/>
          <w:szCs w:val="24"/>
        </w:rPr>
        <w:t xml:space="preserve"> </w:t>
      </w:r>
      <w:r w:rsidRPr="0091539B">
        <w:rPr>
          <w:rStyle w:val="CitaoHTML"/>
          <w:rFonts w:ascii="Arial" w:hAnsi="Arial" w:cs="Arial"/>
          <w:sz w:val="24"/>
          <w:szCs w:val="24"/>
        </w:rPr>
        <w:t xml:space="preserve">225/158&gt;. Acesso em: </w:t>
      </w:r>
      <w:r w:rsidRPr="0091539B">
        <w:rPr>
          <w:rFonts w:ascii="Arial" w:hAnsi="Arial" w:cs="Arial"/>
          <w:sz w:val="24"/>
          <w:szCs w:val="24"/>
        </w:rPr>
        <w:t xml:space="preserve">10 </w:t>
      </w:r>
      <w:r w:rsidRPr="0091539B">
        <w:rPr>
          <w:rStyle w:val="CitaoHTML"/>
          <w:rFonts w:ascii="Arial" w:hAnsi="Arial" w:cs="Arial"/>
          <w:sz w:val="24"/>
          <w:szCs w:val="24"/>
        </w:rPr>
        <w:t>fev. 2013.</w:t>
      </w:r>
    </w:p>
    <w:p w:rsidR="005E098C" w:rsidRPr="0091539B" w:rsidRDefault="005E098C" w:rsidP="005E098C">
      <w:pPr>
        <w:spacing w:after="300" w:line="240" w:lineRule="auto"/>
        <w:jc w:val="both"/>
        <w:rPr>
          <w:rFonts w:ascii="Arial" w:eastAsia="SFBX1728" w:hAnsi="Arial" w:cs="Arial"/>
          <w:sz w:val="24"/>
          <w:szCs w:val="24"/>
        </w:rPr>
      </w:pPr>
      <w:r>
        <w:rPr>
          <w:rFonts w:ascii="Arial" w:eastAsia="SFBX1728" w:hAnsi="Arial" w:cs="Arial"/>
          <w:sz w:val="24"/>
          <w:szCs w:val="24"/>
        </w:rPr>
        <w:t>_______</w:t>
      </w:r>
      <w:r w:rsidRPr="0091539B">
        <w:rPr>
          <w:rFonts w:ascii="Arial" w:eastAsia="SFBX1728" w:hAnsi="Arial" w:cs="Arial"/>
          <w:sz w:val="24"/>
          <w:szCs w:val="24"/>
        </w:rPr>
        <w:t xml:space="preserve">. </w:t>
      </w:r>
      <w:r w:rsidRPr="009F14CD">
        <w:rPr>
          <w:rFonts w:ascii="Arial" w:eastAsia="SFBX1728" w:hAnsi="Arial" w:cs="Arial"/>
          <w:b/>
          <w:sz w:val="24"/>
          <w:szCs w:val="24"/>
        </w:rPr>
        <w:t>Brasil</w:t>
      </w:r>
      <w:r w:rsidRPr="0091539B">
        <w:rPr>
          <w:rFonts w:ascii="Arial" w:eastAsia="SFBX1728" w:hAnsi="Arial" w:cs="Arial"/>
          <w:sz w:val="24"/>
          <w:szCs w:val="24"/>
        </w:rPr>
        <w:t xml:space="preserve">: Plano Real e a Estabilização Econômica Inacabada. Informe </w:t>
      </w:r>
      <w:proofErr w:type="spellStart"/>
      <w:r w:rsidRPr="0091539B">
        <w:rPr>
          <w:rFonts w:ascii="Arial" w:eastAsia="SFBX1728" w:hAnsi="Arial" w:cs="Arial"/>
          <w:sz w:val="24"/>
          <w:szCs w:val="24"/>
        </w:rPr>
        <w:t>Gepec</w:t>
      </w:r>
      <w:proofErr w:type="spellEnd"/>
      <w:r w:rsidRPr="0091539B">
        <w:rPr>
          <w:rFonts w:ascii="Arial" w:eastAsia="SFBX1728" w:hAnsi="Arial" w:cs="Arial"/>
          <w:sz w:val="24"/>
          <w:szCs w:val="24"/>
        </w:rPr>
        <w:t xml:space="preserve">, Cascavel/PR, v. 9, n. 1, p. 73-89, 2005. </w:t>
      </w:r>
    </w:p>
    <w:p w:rsidR="005E098C" w:rsidRPr="0091539B" w:rsidRDefault="005E098C" w:rsidP="005E098C">
      <w:pPr>
        <w:spacing w:after="300" w:line="240" w:lineRule="auto"/>
        <w:jc w:val="both"/>
        <w:rPr>
          <w:rFonts w:ascii="Arial" w:hAnsi="Arial" w:cs="Arial"/>
          <w:sz w:val="24"/>
          <w:szCs w:val="24"/>
        </w:rPr>
      </w:pPr>
      <w:r w:rsidRPr="0091539B">
        <w:rPr>
          <w:rFonts w:ascii="Arial" w:hAnsi="Arial" w:cs="Arial"/>
          <w:sz w:val="24"/>
          <w:szCs w:val="24"/>
        </w:rPr>
        <w:t xml:space="preserve">GUALDA, Peres Lucio </w:t>
      </w:r>
      <w:proofErr w:type="spellStart"/>
      <w:r w:rsidRPr="0091539B">
        <w:rPr>
          <w:rFonts w:ascii="Arial" w:hAnsi="Arial" w:cs="Arial"/>
          <w:sz w:val="24"/>
          <w:szCs w:val="24"/>
        </w:rPr>
        <w:t>Neio</w:t>
      </w:r>
      <w:proofErr w:type="spellEnd"/>
      <w:r w:rsidRPr="0091539B">
        <w:rPr>
          <w:rFonts w:ascii="Arial" w:hAnsi="Arial" w:cs="Arial"/>
          <w:sz w:val="24"/>
          <w:szCs w:val="24"/>
        </w:rPr>
        <w:t xml:space="preserve">. Fatores aceleradores, mantenedores e sancionadores da inflação: um teste de evidencia empírica para o Brasil. </w:t>
      </w:r>
      <w:r w:rsidRPr="00D55AF7">
        <w:rPr>
          <w:rFonts w:ascii="Arial" w:hAnsi="Arial" w:cs="Arial"/>
          <w:b/>
          <w:sz w:val="24"/>
          <w:szCs w:val="24"/>
        </w:rPr>
        <w:t>Revista de economia Política</w:t>
      </w:r>
      <w:r>
        <w:rPr>
          <w:rFonts w:ascii="Arial" w:hAnsi="Arial" w:cs="Arial"/>
          <w:sz w:val="24"/>
          <w:szCs w:val="24"/>
        </w:rPr>
        <w:t>.</w:t>
      </w:r>
      <w:r w:rsidRPr="0091539B">
        <w:rPr>
          <w:rFonts w:ascii="Arial" w:hAnsi="Arial" w:cs="Arial"/>
          <w:sz w:val="24"/>
          <w:szCs w:val="24"/>
        </w:rPr>
        <w:t xml:space="preserve"> v.12, n. 3, p. 58 –70, 1992. Disponível em: &lt;</w:t>
      </w:r>
      <w:hyperlink r:id="rId21" w:history="1">
        <w:r w:rsidRPr="0091539B">
          <w:rPr>
            <w:rStyle w:val="Hyperlink"/>
            <w:rFonts w:ascii="Arial" w:hAnsi="Arial" w:cs="Arial"/>
            <w:color w:val="auto"/>
            <w:sz w:val="24"/>
            <w:szCs w:val="24"/>
          </w:rPr>
          <w:t>http://www.rep.org.br/PDF/47-5.PDF</w:t>
        </w:r>
      </w:hyperlink>
      <w:r w:rsidRPr="0091539B">
        <w:rPr>
          <w:rFonts w:ascii="Arial" w:hAnsi="Arial" w:cs="Arial"/>
          <w:sz w:val="24"/>
          <w:szCs w:val="24"/>
        </w:rPr>
        <w:t>&gt;. Acesso em: 15 set. 2013.</w:t>
      </w:r>
    </w:p>
    <w:p w:rsidR="005E098C" w:rsidRPr="0091539B" w:rsidRDefault="005E098C" w:rsidP="005E098C">
      <w:pPr>
        <w:spacing w:after="300" w:line="240" w:lineRule="auto"/>
        <w:jc w:val="both"/>
        <w:rPr>
          <w:rFonts w:ascii="Arial" w:eastAsia="Arial" w:hAnsi="Arial" w:cs="Arial"/>
          <w:bCs/>
          <w:sz w:val="24"/>
          <w:szCs w:val="24"/>
        </w:rPr>
      </w:pPr>
      <w:r w:rsidRPr="0091539B">
        <w:rPr>
          <w:rFonts w:ascii="Arial" w:eastAsia="SFBX1728" w:hAnsi="Arial" w:cs="Arial"/>
          <w:sz w:val="24"/>
          <w:szCs w:val="24"/>
        </w:rPr>
        <w:t xml:space="preserve">IAHN, Fidelis J.; MISSIO, José. F. </w:t>
      </w:r>
      <w:r w:rsidRPr="009F14CD">
        <w:rPr>
          <w:rFonts w:ascii="Arial" w:eastAsia="SFBX1728" w:hAnsi="Arial" w:cs="Arial"/>
          <w:b/>
          <w:sz w:val="24"/>
          <w:szCs w:val="24"/>
        </w:rPr>
        <w:t>Uma revisão da macroeconomia brasileira dos anos 90</w:t>
      </w:r>
      <w:r w:rsidRPr="0091539B">
        <w:rPr>
          <w:rFonts w:ascii="Arial" w:eastAsia="SFBX1728" w:hAnsi="Arial" w:cs="Arial"/>
          <w:sz w:val="24"/>
          <w:szCs w:val="24"/>
        </w:rPr>
        <w:t>: O mix da política fiscal, monetária e cambial.</w:t>
      </w:r>
      <w:r w:rsidRPr="0091539B">
        <w:rPr>
          <w:rFonts w:ascii="Arial" w:eastAsia="Arial" w:hAnsi="Arial" w:cs="Arial"/>
          <w:bCs/>
          <w:sz w:val="24"/>
          <w:szCs w:val="24"/>
        </w:rPr>
        <w:t xml:space="preserve"> PESQUISA &amp; DEBATE. São Paulo, 2009. Vol. 2, n. 1 (35), p. 1-29. Disponível em: </w:t>
      </w:r>
      <w:r w:rsidRPr="0091539B">
        <w:rPr>
          <w:rFonts w:ascii="Arial" w:hAnsi="Arial" w:cs="Arial"/>
          <w:sz w:val="24"/>
          <w:szCs w:val="24"/>
        </w:rPr>
        <w:t>&lt;</w:t>
      </w:r>
      <w:hyperlink r:id="rId22" w:history="1">
        <w:r w:rsidRPr="0091539B">
          <w:rPr>
            <w:rStyle w:val="Hyperlink"/>
            <w:rFonts w:ascii="Arial" w:hAnsi="Arial" w:cs="Arial"/>
            <w:color w:val="auto"/>
            <w:sz w:val="24"/>
            <w:szCs w:val="24"/>
          </w:rPr>
          <w:t>http://www.pucsp.br/pos/ecopol/downloads/01_08_11_def.pdf</w:t>
        </w:r>
      </w:hyperlink>
      <w:r w:rsidRPr="0091539B">
        <w:rPr>
          <w:rFonts w:ascii="Arial" w:hAnsi="Arial" w:cs="Arial"/>
          <w:sz w:val="24"/>
          <w:szCs w:val="24"/>
        </w:rPr>
        <w:t>&gt;. Acesso em: 10 mai</w:t>
      </w:r>
      <w:r>
        <w:rPr>
          <w:rFonts w:ascii="Arial" w:hAnsi="Arial" w:cs="Arial"/>
          <w:sz w:val="24"/>
          <w:szCs w:val="24"/>
        </w:rPr>
        <w:t>.</w:t>
      </w:r>
      <w:r w:rsidRPr="0091539B">
        <w:rPr>
          <w:rFonts w:ascii="Arial" w:hAnsi="Arial" w:cs="Arial"/>
          <w:sz w:val="24"/>
          <w:szCs w:val="24"/>
        </w:rPr>
        <w:t xml:space="preserve"> 2013.</w:t>
      </w:r>
    </w:p>
    <w:p w:rsidR="005E098C" w:rsidRPr="0091539B" w:rsidRDefault="005E098C" w:rsidP="005E098C">
      <w:pPr>
        <w:spacing w:after="300" w:line="240" w:lineRule="auto"/>
        <w:jc w:val="both"/>
        <w:rPr>
          <w:rFonts w:ascii="Arial" w:hAnsi="Arial" w:cs="Arial"/>
          <w:sz w:val="24"/>
          <w:szCs w:val="24"/>
        </w:rPr>
      </w:pPr>
      <w:r w:rsidRPr="0091539B">
        <w:rPr>
          <w:rFonts w:ascii="Arial" w:hAnsi="Arial" w:cs="Arial"/>
          <w:sz w:val="24"/>
          <w:szCs w:val="24"/>
        </w:rPr>
        <w:t xml:space="preserve">INSTITUTO LWDUIG VON MISES BRASIL. </w:t>
      </w:r>
      <w:r w:rsidRPr="009F14CD">
        <w:rPr>
          <w:rStyle w:val="title"/>
          <w:rFonts w:ascii="Arial" w:hAnsi="Arial" w:cs="Arial"/>
          <w:b/>
          <w:spacing w:val="15"/>
          <w:sz w:val="24"/>
          <w:szCs w:val="24"/>
          <w:shd w:val="clear" w:color="auto" w:fill="FFFFFF"/>
        </w:rPr>
        <w:t>Economia e Liberdade</w:t>
      </w:r>
      <w:r w:rsidRPr="0091539B">
        <w:rPr>
          <w:rStyle w:val="title"/>
          <w:rFonts w:ascii="Arial" w:hAnsi="Arial" w:cs="Arial"/>
          <w:spacing w:val="15"/>
          <w:sz w:val="24"/>
          <w:szCs w:val="24"/>
          <w:shd w:val="clear" w:color="auto" w:fill="FFFFFF"/>
        </w:rPr>
        <w:t xml:space="preserve"> - A Escola Austríaca e a Economia Brasileira. Disponível em: &lt;</w:t>
      </w:r>
      <w:r w:rsidRPr="0091539B">
        <w:rPr>
          <w:rFonts w:ascii="Arial" w:hAnsi="Arial" w:cs="Arial"/>
          <w:sz w:val="24"/>
          <w:szCs w:val="24"/>
        </w:rPr>
        <w:t>http://www.mises.org.br/&gt;. Acesso em: 23 abr. 2014.</w:t>
      </w:r>
    </w:p>
    <w:p w:rsidR="005E098C" w:rsidRPr="0091539B" w:rsidRDefault="005E098C" w:rsidP="005E098C">
      <w:pPr>
        <w:spacing w:after="300" w:line="240" w:lineRule="auto"/>
        <w:jc w:val="both"/>
        <w:rPr>
          <w:rFonts w:ascii="Arial" w:hAnsi="Arial" w:cs="Arial"/>
          <w:sz w:val="24"/>
          <w:szCs w:val="24"/>
        </w:rPr>
      </w:pPr>
      <w:r w:rsidRPr="0091539B">
        <w:rPr>
          <w:rFonts w:ascii="Arial" w:hAnsi="Arial" w:cs="Arial"/>
          <w:sz w:val="24"/>
          <w:szCs w:val="24"/>
        </w:rPr>
        <w:t xml:space="preserve">LEAL, Ricardo A. </w:t>
      </w:r>
      <w:r w:rsidRPr="009F14CD">
        <w:rPr>
          <w:rFonts w:ascii="Arial" w:hAnsi="Arial" w:cs="Arial"/>
          <w:b/>
          <w:bCs/>
          <w:sz w:val="24"/>
          <w:szCs w:val="24"/>
        </w:rPr>
        <w:t>Metas de Inflação no Brasil</w:t>
      </w:r>
      <w:r w:rsidRPr="0091539B">
        <w:rPr>
          <w:rFonts w:ascii="Arial" w:hAnsi="Arial" w:cs="Arial"/>
          <w:bCs/>
          <w:sz w:val="24"/>
          <w:szCs w:val="24"/>
        </w:rPr>
        <w:t>: análise e avaliação da política monetária</w:t>
      </w:r>
      <w:r w:rsidRPr="0091539B">
        <w:rPr>
          <w:rFonts w:ascii="Arial" w:hAnsi="Arial" w:cs="Arial"/>
          <w:sz w:val="24"/>
          <w:szCs w:val="24"/>
        </w:rPr>
        <w:t xml:space="preserve">. 2010. 122 f. Monografia (Graduação) Curso de Bacharelado em Ciências Econômicas. Universidade Federal do Rio Grande, Rio Grande, 2010. </w:t>
      </w:r>
    </w:p>
    <w:p w:rsidR="005E098C" w:rsidRPr="0091539B" w:rsidRDefault="005E098C" w:rsidP="005E098C">
      <w:pPr>
        <w:spacing w:after="300" w:line="240" w:lineRule="auto"/>
        <w:jc w:val="both"/>
        <w:rPr>
          <w:rFonts w:ascii="Arial" w:hAnsi="Arial" w:cs="Arial"/>
          <w:sz w:val="24"/>
          <w:szCs w:val="24"/>
        </w:rPr>
      </w:pPr>
      <w:r w:rsidRPr="0091539B">
        <w:rPr>
          <w:rFonts w:ascii="Arial" w:hAnsi="Arial" w:cs="Arial"/>
          <w:sz w:val="24"/>
          <w:szCs w:val="24"/>
        </w:rPr>
        <w:lastRenderedPageBreak/>
        <w:t xml:space="preserve">LEAL, Ricardo </w:t>
      </w:r>
      <w:proofErr w:type="spellStart"/>
      <w:r w:rsidRPr="0091539B">
        <w:rPr>
          <w:rFonts w:ascii="Arial" w:hAnsi="Arial" w:cs="Arial"/>
          <w:sz w:val="24"/>
          <w:szCs w:val="24"/>
        </w:rPr>
        <w:t>Aguirre</w:t>
      </w:r>
      <w:proofErr w:type="spellEnd"/>
      <w:r w:rsidRPr="0091539B">
        <w:rPr>
          <w:rFonts w:ascii="Arial" w:hAnsi="Arial" w:cs="Arial"/>
          <w:sz w:val="24"/>
          <w:szCs w:val="24"/>
        </w:rPr>
        <w:t xml:space="preserve">; FEIJÓ, Flavio Tosi. </w:t>
      </w:r>
      <w:r w:rsidRPr="009F14CD">
        <w:rPr>
          <w:rFonts w:ascii="Arial" w:hAnsi="Arial" w:cs="Arial"/>
          <w:b/>
          <w:sz w:val="24"/>
          <w:szCs w:val="24"/>
        </w:rPr>
        <w:t>A eficiência da política monetária no regime de metas de inflação no Brasil</w:t>
      </w:r>
      <w:r w:rsidRPr="0091539B">
        <w:rPr>
          <w:rFonts w:ascii="Arial" w:hAnsi="Arial" w:cs="Arial"/>
          <w:sz w:val="24"/>
          <w:szCs w:val="24"/>
        </w:rPr>
        <w:t>, 2011. Disponível em:</w:t>
      </w:r>
      <w:r>
        <w:rPr>
          <w:rFonts w:ascii="Arial" w:hAnsi="Arial" w:cs="Arial"/>
          <w:sz w:val="24"/>
          <w:szCs w:val="24"/>
        </w:rPr>
        <w:t xml:space="preserve"> </w:t>
      </w:r>
      <w:r w:rsidRPr="0091539B">
        <w:rPr>
          <w:rFonts w:ascii="Arial" w:hAnsi="Arial" w:cs="Arial"/>
          <w:sz w:val="24"/>
          <w:szCs w:val="24"/>
        </w:rPr>
        <w:t>&lt;</w:t>
      </w:r>
      <w:r w:rsidRPr="009F14CD">
        <w:rPr>
          <w:rFonts w:ascii="Arial" w:hAnsi="Arial" w:cs="Arial"/>
          <w:sz w:val="24"/>
          <w:szCs w:val="24"/>
        </w:rPr>
        <w:t>http://www.ufrgs.br/PPGE/pcientifica/2011_13.pdf</w:t>
      </w:r>
      <w:r w:rsidRPr="0091539B">
        <w:rPr>
          <w:rFonts w:ascii="Arial" w:hAnsi="Arial" w:cs="Arial"/>
          <w:sz w:val="24"/>
          <w:szCs w:val="24"/>
        </w:rPr>
        <w:t>&gt;. Acesso em: 20 mai</w:t>
      </w:r>
      <w:r>
        <w:rPr>
          <w:rFonts w:ascii="Arial" w:hAnsi="Arial" w:cs="Arial"/>
          <w:sz w:val="24"/>
          <w:szCs w:val="24"/>
        </w:rPr>
        <w:t>.</w:t>
      </w:r>
      <w:r w:rsidRPr="0091539B">
        <w:rPr>
          <w:rFonts w:ascii="Arial" w:hAnsi="Arial" w:cs="Arial"/>
          <w:sz w:val="24"/>
          <w:szCs w:val="24"/>
        </w:rPr>
        <w:t xml:space="preserve"> 2013.</w:t>
      </w:r>
    </w:p>
    <w:p w:rsidR="005E098C" w:rsidRPr="0091539B" w:rsidRDefault="005E098C" w:rsidP="005E098C">
      <w:pPr>
        <w:spacing w:after="300" w:line="240" w:lineRule="auto"/>
        <w:jc w:val="both"/>
        <w:rPr>
          <w:rFonts w:ascii="Arial" w:hAnsi="Arial" w:cs="Arial"/>
          <w:sz w:val="24"/>
          <w:szCs w:val="24"/>
        </w:rPr>
      </w:pPr>
      <w:r w:rsidRPr="0091539B">
        <w:rPr>
          <w:rFonts w:ascii="Arial" w:hAnsi="Arial" w:cs="Arial"/>
          <w:sz w:val="24"/>
          <w:szCs w:val="24"/>
        </w:rPr>
        <w:t xml:space="preserve">MALAN, Pedro. </w:t>
      </w:r>
      <w:r w:rsidRPr="009F14CD">
        <w:rPr>
          <w:rFonts w:ascii="Arial" w:hAnsi="Arial" w:cs="Arial"/>
          <w:b/>
          <w:sz w:val="24"/>
          <w:szCs w:val="24"/>
        </w:rPr>
        <w:t>Transcrição do pronunciamento do ministro Pedro Malan ao anunciar as metas inflacionárias para o triênio 1999-2001</w:t>
      </w:r>
      <w:r w:rsidRPr="0091539B">
        <w:rPr>
          <w:rFonts w:ascii="Arial" w:hAnsi="Arial" w:cs="Arial"/>
          <w:sz w:val="24"/>
          <w:szCs w:val="24"/>
        </w:rPr>
        <w:t xml:space="preserve">. </w:t>
      </w:r>
      <w:r w:rsidRPr="0091539B">
        <w:rPr>
          <w:rFonts w:ascii="Arial" w:hAnsi="Arial" w:cs="Arial"/>
          <w:bCs/>
          <w:sz w:val="24"/>
          <w:szCs w:val="24"/>
        </w:rPr>
        <w:t>Pronunciamentos</w:t>
      </w:r>
      <w:r w:rsidRPr="0091539B">
        <w:rPr>
          <w:rFonts w:ascii="Arial" w:hAnsi="Arial" w:cs="Arial"/>
          <w:sz w:val="24"/>
          <w:szCs w:val="24"/>
        </w:rPr>
        <w:t>, Ministério da Fazenda, Brasília, 1999. Não paginado. Disponível em: &lt;http:</w:t>
      </w:r>
      <w:r>
        <w:rPr>
          <w:rFonts w:ascii="Arial" w:hAnsi="Arial" w:cs="Arial"/>
          <w:sz w:val="24"/>
          <w:szCs w:val="24"/>
        </w:rPr>
        <w:t>//www.fazenda.gov.br/portugues/</w:t>
      </w:r>
      <w:r w:rsidRPr="0091539B">
        <w:rPr>
          <w:rFonts w:ascii="Arial" w:hAnsi="Arial" w:cs="Arial"/>
          <w:sz w:val="24"/>
          <w:szCs w:val="24"/>
        </w:rPr>
        <w:t>documentos/1999/P990129.asp&gt;. Acesso em: 24 mai</w:t>
      </w:r>
      <w:r>
        <w:rPr>
          <w:rFonts w:ascii="Arial" w:hAnsi="Arial" w:cs="Arial"/>
          <w:sz w:val="24"/>
          <w:szCs w:val="24"/>
        </w:rPr>
        <w:t>.</w:t>
      </w:r>
      <w:r w:rsidRPr="0091539B">
        <w:rPr>
          <w:rFonts w:ascii="Arial" w:hAnsi="Arial" w:cs="Arial"/>
          <w:sz w:val="24"/>
          <w:szCs w:val="24"/>
        </w:rPr>
        <w:t xml:space="preserve"> 2010.</w:t>
      </w:r>
    </w:p>
    <w:p w:rsidR="005E098C" w:rsidRPr="0091539B" w:rsidRDefault="005E098C" w:rsidP="005E098C">
      <w:pPr>
        <w:spacing w:after="300" w:line="240" w:lineRule="auto"/>
        <w:jc w:val="both"/>
        <w:rPr>
          <w:rFonts w:ascii="Arial" w:hAnsi="Arial" w:cs="Arial"/>
          <w:sz w:val="24"/>
          <w:szCs w:val="24"/>
        </w:rPr>
      </w:pPr>
      <w:r>
        <w:rPr>
          <w:rFonts w:ascii="Arial" w:hAnsi="Arial" w:cs="Arial"/>
          <w:sz w:val="24"/>
          <w:szCs w:val="24"/>
        </w:rPr>
        <w:t>_______</w:t>
      </w:r>
      <w:r w:rsidRPr="0091539B">
        <w:rPr>
          <w:rFonts w:ascii="Arial" w:hAnsi="Arial" w:cs="Arial"/>
          <w:sz w:val="24"/>
          <w:szCs w:val="24"/>
        </w:rPr>
        <w:t xml:space="preserve">. </w:t>
      </w:r>
      <w:r w:rsidRPr="006C62F6">
        <w:rPr>
          <w:rFonts w:ascii="Arial" w:hAnsi="Arial" w:cs="Arial"/>
          <w:b/>
          <w:sz w:val="24"/>
          <w:szCs w:val="24"/>
        </w:rPr>
        <w:t>Transcrição do pronunciamento do ministro Pedro Malan ao anunciar as metas inflacionárias para o triênio 1999-2001</w:t>
      </w:r>
      <w:r w:rsidRPr="0091539B">
        <w:rPr>
          <w:rFonts w:ascii="Arial" w:hAnsi="Arial" w:cs="Arial"/>
          <w:sz w:val="24"/>
          <w:szCs w:val="24"/>
        </w:rPr>
        <w:t xml:space="preserve">. </w:t>
      </w:r>
      <w:r w:rsidRPr="0091539B">
        <w:rPr>
          <w:rFonts w:ascii="Arial" w:hAnsi="Arial" w:cs="Arial"/>
          <w:bCs/>
          <w:sz w:val="24"/>
          <w:szCs w:val="24"/>
        </w:rPr>
        <w:t>Pronunciamentos</w:t>
      </w:r>
      <w:r w:rsidRPr="0091539B">
        <w:rPr>
          <w:rFonts w:ascii="Arial" w:hAnsi="Arial" w:cs="Arial"/>
          <w:sz w:val="24"/>
          <w:szCs w:val="24"/>
        </w:rPr>
        <w:t>, Ministério da Fazenda, Brasília, 1999. Não paginado. Disponível em: &lt;http://www.fazenda.gov.br/portugues/documen tos/1999/P9901 29.</w:t>
      </w:r>
      <w:proofErr w:type="spellStart"/>
      <w:r w:rsidRPr="0091539B">
        <w:rPr>
          <w:rFonts w:ascii="Arial" w:hAnsi="Arial" w:cs="Arial"/>
          <w:sz w:val="24"/>
          <w:szCs w:val="24"/>
        </w:rPr>
        <w:t>asp</w:t>
      </w:r>
      <w:proofErr w:type="spellEnd"/>
      <w:r w:rsidRPr="0091539B">
        <w:rPr>
          <w:rFonts w:ascii="Arial" w:hAnsi="Arial" w:cs="Arial"/>
          <w:sz w:val="24"/>
          <w:szCs w:val="24"/>
        </w:rPr>
        <w:t>&gt;. Acesso em: 19 fev. 2014.</w:t>
      </w:r>
    </w:p>
    <w:p w:rsidR="005E098C" w:rsidRPr="0091539B" w:rsidRDefault="005E098C" w:rsidP="005E098C">
      <w:pPr>
        <w:spacing w:after="300" w:line="240" w:lineRule="auto"/>
        <w:jc w:val="both"/>
        <w:rPr>
          <w:rFonts w:ascii="Arial" w:hAnsi="Arial" w:cs="Arial"/>
          <w:sz w:val="24"/>
          <w:szCs w:val="24"/>
        </w:rPr>
      </w:pPr>
      <w:r w:rsidRPr="0091539B">
        <w:rPr>
          <w:rFonts w:ascii="Arial" w:hAnsi="Arial" w:cs="Arial"/>
          <w:sz w:val="24"/>
          <w:szCs w:val="24"/>
        </w:rPr>
        <w:t xml:space="preserve">MENDONÇA, de Ferreira Helder; PINTON, Freitas Vargas Octavio. </w:t>
      </w:r>
      <w:r w:rsidRPr="00D55AF7">
        <w:rPr>
          <w:rFonts w:ascii="Arial" w:eastAsia="SFBX1728" w:hAnsi="Arial" w:cs="Arial"/>
          <w:sz w:val="24"/>
          <w:szCs w:val="24"/>
        </w:rPr>
        <w:t>O Comportamento da Política Fiscal Brasileira no Século XXI</w:t>
      </w:r>
      <w:r w:rsidRPr="0091539B">
        <w:rPr>
          <w:rFonts w:ascii="Arial" w:eastAsia="SFBX1728" w:hAnsi="Arial" w:cs="Arial"/>
          <w:sz w:val="24"/>
          <w:szCs w:val="24"/>
        </w:rPr>
        <w:t xml:space="preserve">: Uma Análise a partir do Impulso Fiscal. </w:t>
      </w:r>
      <w:r w:rsidRPr="00D55AF7">
        <w:rPr>
          <w:rFonts w:ascii="Arial" w:eastAsia="SFBX1728" w:hAnsi="Arial" w:cs="Arial"/>
          <w:b/>
          <w:sz w:val="24"/>
          <w:szCs w:val="24"/>
        </w:rPr>
        <w:t>Revista Economia</w:t>
      </w:r>
      <w:r w:rsidRPr="0091539B">
        <w:rPr>
          <w:rFonts w:ascii="Arial" w:eastAsia="SFBX1728" w:hAnsi="Arial" w:cs="Arial"/>
          <w:sz w:val="24"/>
          <w:szCs w:val="24"/>
        </w:rPr>
        <w:t xml:space="preserve">, </w:t>
      </w:r>
      <w:r w:rsidRPr="0091539B">
        <w:rPr>
          <w:rFonts w:ascii="Arial" w:eastAsia="SFRM0700" w:hAnsi="Arial" w:cs="Arial"/>
          <w:sz w:val="24"/>
          <w:szCs w:val="24"/>
        </w:rPr>
        <w:t>Brasília (DF), v.13, n.2, p.281–301, mai/ago 2012</w:t>
      </w:r>
      <w:r w:rsidRPr="0091539B">
        <w:rPr>
          <w:rFonts w:ascii="Arial" w:eastAsia="SFBX1728" w:hAnsi="Arial" w:cs="Arial"/>
          <w:sz w:val="24"/>
          <w:szCs w:val="24"/>
        </w:rPr>
        <w:t>. Disponível em:</w:t>
      </w:r>
      <w:r>
        <w:rPr>
          <w:rFonts w:ascii="Arial" w:eastAsia="SFBX1728" w:hAnsi="Arial" w:cs="Arial"/>
          <w:sz w:val="24"/>
          <w:szCs w:val="24"/>
        </w:rPr>
        <w:t xml:space="preserve"> </w:t>
      </w:r>
      <w:r w:rsidRPr="0091539B">
        <w:rPr>
          <w:rFonts w:ascii="Arial" w:hAnsi="Arial" w:cs="Arial"/>
          <w:sz w:val="24"/>
          <w:szCs w:val="24"/>
        </w:rPr>
        <w:t>&lt;</w:t>
      </w:r>
      <w:r w:rsidRPr="006C62F6">
        <w:rPr>
          <w:rFonts w:ascii="Arial" w:hAnsi="Arial" w:cs="Arial"/>
          <w:sz w:val="24"/>
          <w:szCs w:val="24"/>
        </w:rPr>
        <w:t>http://www.anpec.org.br/revista/vol13/vol13n2p281_ 301.</w:t>
      </w:r>
      <w:proofErr w:type="spellStart"/>
      <w:r w:rsidRPr="006C62F6">
        <w:rPr>
          <w:rFonts w:ascii="Arial" w:hAnsi="Arial" w:cs="Arial"/>
          <w:sz w:val="24"/>
          <w:szCs w:val="24"/>
        </w:rPr>
        <w:t>pdf</w:t>
      </w:r>
      <w:proofErr w:type="spellEnd"/>
      <w:r w:rsidRPr="0091539B">
        <w:rPr>
          <w:rFonts w:ascii="Arial" w:hAnsi="Arial" w:cs="Arial"/>
          <w:sz w:val="24"/>
          <w:szCs w:val="24"/>
        </w:rPr>
        <w:t>&gt;. Acesso em: 12 fev. 2013.</w:t>
      </w:r>
    </w:p>
    <w:p w:rsidR="005E098C" w:rsidRPr="0091539B" w:rsidRDefault="005E098C" w:rsidP="005E098C">
      <w:pPr>
        <w:autoSpaceDE w:val="0"/>
        <w:autoSpaceDN w:val="0"/>
        <w:adjustRightInd w:val="0"/>
        <w:spacing w:after="300" w:line="240" w:lineRule="auto"/>
        <w:jc w:val="both"/>
        <w:rPr>
          <w:rFonts w:ascii="Arial" w:hAnsi="Arial" w:cs="Arial"/>
          <w:sz w:val="24"/>
          <w:szCs w:val="24"/>
        </w:rPr>
      </w:pPr>
      <w:r w:rsidRPr="0091539B">
        <w:rPr>
          <w:rFonts w:ascii="Arial" w:hAnsi="Arial" w:cs="Arial"/>
          <w:sz w:val="24"/>
          <w:szCs w:val="24"/>
        </w:rPr>
        <w:t>MEOTTI,</w:t>
      </w:r>
      <w:r>
        <w:rPr>
          <w:rFonts w:ascii="Arial" w:hAnsi="Arial" w:cs="Arial"/>
          <w:sz w:val="24"/>
          <w:szCs w:val="24"/>
        </w:rPr>
        <w:t xml:space="preserve"> </w:t>
      </w:r>
      <w:r w:rsidRPr="0091539B">
        <w:rPr>
          <w:rFonts w:ascii="Arial" w:hAnsi="Arial" w:cs="Arial"/>
          <w:sz w:val="24"/>
          <w:szCs w:val="24"/>
        </w:rPr>
        <w:t>Fábio Vinícius.</w:t>
      </w:r>
      <w:r>
        <w:rPr>
          <w:rFonts w:ascii="Arial" w:hAnsi="Arial" w:cs="Arial"/>
          <w:sz w:val="24"/>
          <w:szCs w:val="24"/>
        </w:rPr>
        <w:t xml:space="preserve"> </w:t>
      </w:r>
      <w:r w:rsidRPr="006C62F6">
        <w:rPr>
          <w:rFonts w:ascii="Arial" w:hAnsi="Arial" w:cs="Arial"/>
          <w:b/>
          <w:sz w:val="24"/>
          <w:szCs w:val="24"/>
        </w:rPr>
        <w:t>Implantação e Evolução do Sistema de Metas de Inflação no Brasil</w:t>
      </w:r>
      <w:r w:rsidRPr="0091539B">
        <w:rPr>
          <w:rFonts w:ascii="Arial" w:hAnsi="Arial" w:cs="Arial"/>
          <w:sz w:val="24"/>
          <w:szCs w:val="24"/>
        </w:rPr>
        <w:t>.</w:t>
      </w:r>
      <w:r>
        <w:rPr>
          <w:rFonts w:ascii="Arial" w:hAnsi="Arial" w:cs="Arial"/>
          <w:sz w:val="24"/>
          <w:szCs w:val="24"/>
        </w:rPr>
        <w:t xml:space="preserve"> </w:t>
      </w:r>
      <w:r w:rsidRPr="0091539B">
        <w:rPr>
          <w:rFonts w:ascii="Arial" w:hAnsi="Arial" w:cs="Arial"/>
          <w:sz w:val="24"/>
          <w:szCs w:val="24"/>
        </w:rPr>
        <w:t xml:space="preserve">Dissertação de Mestrado em Desenvolvimento Econômico, da universidade do Paraná, 2009. Disponível em: </w:t>
      </w:r>
      <w:r w:rsidRPr="006C62F6">
        <w:rPr>
          <w:rFonts w:ascii="Arial" w:hAnsi="Arial" w:cs="Arial"/>
          <w:sz w:val="24"/>
          <w:szCs w:val="24"/>
        </w:rPr>
        <w:t>http://dspace.c3sl.ufpr.br/</w:t>
      </w:r>
      <w:r>
        <w:rPr>
          <w:rFonts w:ascii="Arial" w:hAnsi="Arial" w:cs="Arial"/>
          <w:sz w:val="24"/>
          <w:szCs w:val="24"/>
        </w:rPr>
        <w:t xml:space="preserve"> </w:t>
      </w:r>
      <w:r w:rsidRPr="0091539B">
        <w:rPr>
          <w:rFonts w:ascii="Arial" w:hAnsi="Arial" w:cs="Arial"/>
          <w:sz w:val="24"/>
          <w:szCs w:val="24"/>
        </w:rPr>
        <w:t>dspace/bitstream/handle/1884/24317/MEOTTI,%20FABIO.pdf?sequence=19. Acesso em: abr</w:t>
      </w:r>
      <w:r>
        <w:rPr>
          <w:rFonts w:ascii="Arial" w:hAnsi="Arial" w:cs="Arial"/>
          <w:sz w:val="24"/>
          <w:szCs w:val="24"/>
        </w:rPr>
        <w:t xml:space="preserve">. </w:t>
      </w:r>
      <w:r w:rsidRPr="0091539B">
        <w:rPr>
          <w:rFonts w:ascii="Arial" w:hAnsi="Arial" w:cs="Arial"/>
          <w:sz w:val="24"/>
          <w:szCs w:val="24"/>
        </w:rPr>
        <w:t>2014</w:t>
      </w:r>
      <w:r>
        <w:rPr>
          <w:rFonts w:ascii="Arial" w:hAnsi="Arial" w:cs="Arial"/>
          <w:sz w:val="24"/>
          <w:szCs w:val="24"/>
        </w:rPr>
        <w:t>.</w:t>
      </w:r>
    </w:p>
    <w:p w:rsidR="005E098C" w:rsidRPr="0091539B" w:rsidRDefault="005E098C" w:rsidP="005E098C">
      <w:pPr>
        <w:spacing w:after="300" w:line="240" w:lineRule="auto"/>
        <w:jc w:val="both"/>
        <w:rPr>
          <w:rFonts w:ascii="Arial" w:hAnsi="Arial" w:cs="Arial"/>
          <w:sz w:val="24"/>
          <w:szCs w:val="24"/>
        </w:rPr>
      </w:pPr>
      <w:r w:rsidRPr="0091539B">
        <w:rPr>
          <w:rStyle w:val="Hyperlink"/>
          <w:rFonts w:ascii="Arial" w:eastAsia="Arial" w:hAnsi="Arial" w:cs="Arial"/>
          <w:color w:val="auto"/>
          <w:sz w:val="24"/>
          <w:szCs w:val="24"/>
        </w:rPr>
        <w:t>MODENESI,</w:t>
      </w:r>
      <w:r>
        <w:rPr>
          <w:rStyle w:val="Hyperlink"/>
          <w:rFonts w:ascii="Arial" w:eastAsia="Arial" w:hAnsi="Arial" w:cs="Arial"/>
          <w:color w:val="auto"/>
          <w:sz w:val="24"/>
          <w:szCs w:val="24"/>
        </w:rPr>
        <w:t xml:space="preserve"> </w:t>
      </w:r>
      <w:r w:rsidRPr="0091539B">
        <w:rPr>
          <w:rStyle w:val="Hyperlink"/>
          <w:rFonts w:ascii="Arial" w:eastAsia="Arial" w:hAnsi="Arial" w:cs="Arial"/>
          <w:color w:val="auto"/>
          <w:sz w:val="24"/>
          <w:szCs w:val="24"/>
        </w:rPr>
        <w:t>Melo de André.</w:t>
      </w:r>
      <w:r>
        <w:rPr>
          <w:rStyle w:val="Hyperlink"/>
          <w:rFonts w:ascii="Arial" w:eastAsia="Arial" w:hAnsi="Arial" w:cs="Arial"/>
          <w:color w:val="auto"/>
          <w:sz w:val="24"/>
          <w:szCs w:val="24"/>
        </w:rPr>
        <w:t xml:space="preserve"> </w:t>
      </w:r>
      <w:r w:rsidRPr="006C62F6">
        <w:rPr>
          <w:rStyle w:val="Hyperlink"/>
          <w:rFonts w:ascii="Arial" w:eastAsia="Arial" w:hAnsi="Arial" w:cs="Arial"/>
          <w:b/>
          <w:color w:val="auto"/>
          <w:sz w:val="24"/>
          <w:szCs w:val="24"/>
        </w:rPr>
        <w:t>Política monetária no Brasil pós plano Real</w:t>
      </w:r>
      <w:r>
        <w:rPr>
          <w:rStyle w:val="Hyperlink"/>
          <w:rFonts w:ascii="Arial" w:eastAsia="Arial" w:hAnsi="Arial" w:cs="Arial"/>
          <w:color w:val="auto"/>
          <w:sz w:val="24"/>
          <w:szCs w:val="24"/>
        </w:rPr>
        <w:t xml:space="preserve"> </w:t>
      </w:r>
      <w:r w:rsidRPr="006C62F6">
        <w:rPr>
          <w:rStyle w:val="Hyperlink"/>
          <w:rFonts w:ascii="Arial" w:eastAsia="Arial" w:hAnsi="Arial" w:cs="Arial"/>
          <w:b/>
          <w:color w:val="auto"/>
          <w:sz w:val="24"/>
          <w:szCs w:val="24"/>
        </w:rPr>
        <w:t>(1995-2008)</w:t>
      </w:r>
      <w:r w:rsidRPr="0091539B">
        <w:rPr>
          <w:rStyle w:val="Hyperlink"/>
          <w:rFonts w:ascii="Arial" w:eastAsia="Arial" w:hAnsi="Arial" w:cs="Arial"/>
          <w:color w:val="auto"/>
          <w:sz w:val="24"/>
          <w:szCs w:val="24"/>
        </w:rPr>
        <w:t>:um breve retrospecto.Revista eletrônica Economia &amp; Tecnologia, v.21 , ano 06,</w:t>
      </w:r>
      <w:r>
        <w:rPr>
          <w:rStyle w:val="Hyperlink"/>
          <w:rFonts w:ascii="Arial" w:eastAsia="Arial" w:hAnsi="Arial" w:cs="Arial"/>
          <w:color w:val="auto"/>
          <w:sz w:val="24"/>
          <w:szCs w:val="24"/>
        </w:rPr>
        <w:t xml:space="preserve"> </w:t>
      </w:r>
      <w:r w:rsidRPr="0091539B">
        <w:rPr>
          <w:rStyle w:val="Hyperlink"/>
          <w:rFonts w:ascii="Arial" w:eastAsia="Arial" w:hAnsi="Arial" w:cs="Arial"/>
          <w:color w:val="auto"/>
          <w:sz w:val="24"/>
          <w:szCs w:val="24"/>
        </w:rPr>
        <w:t>abr. 2010</w:t>
      </w:r>
      <w:r>
        <w:rPr>
          <w:rStyle w:val="Hyperlink"/>
          <w:rFonts w:ascii="Arial" w:eastAsia="Arial" w:hAnsi="Arial" w:cs="Arial"/>
          <w:color w:val="auto"/>
          <w:sz w:val="24"/>
          <w:szCs w:val="24"/>
        </w:rPr>
        <w:t xml:space="preserve">, </w:t>
      </w:r>
      <w:r w:rsidRPr="0091539B">
        <w:rPr>
          <w:rStyle w:val="Hyperlink"/>
          <w:rFonts w:ascii="Arial" w:eastAsia="Arial" w:hAnsi="Arial" w:cs="Arial"/>
          <w:color w:val="auto"/>
          <w:sz w:val="24"/>
          <w:szCs w:val="24"/>
        </w:rPr>
        <w:t>p.21</w:t>
      </w:r>
      <w:r>
        <w:rPr>
          <w:rStyle w:val="Hyperlink"/>
          <w:rFonts w:ascii="Arial" w:eastAsia="Arial" w:hAnsi="Arial" w:cs="Arial"/>
          <w:color w:val="auto"/>
          <w:sz w:val="24"/>
          <w:szCs w:val="24"/>
        </w:rPr>
        <w:t>-</w:t>
      </w:r>
      <w:r w:rsidRPr="0091539B">
        <w:rPr>
          <w:rStyle w:val="Hyperlink"/>
          <w:rFonts w:ascii="Arial" w:eastAsia="Arial" w:hAnsi="Arial" w:cs="Arial"/>
          <w:color w:val="auto"/>
          <w:sz w:val="24"/>
          <w:szCs w:val="24"/>
        </w:rPr>
        <w:t>30.</w:t>
      </w:r>
      <w:r>
        <w:rPr>
          <w:rStyle w:val="Hyperlink"/>
          <w:rFonts w:ascii="Arial" w:eastAsia="Arial" w:hAnsi="Arial" w:cs="Arial"/>
          <w:color w:val="auto"/>
          <w:sz w:val="24"/>
          <w:szCs w:val="24"/>
        </w:rPr>
        <w:t xml:space="preserve"> </w:t>
      </w:r>
      <w:r w:rsidRPr="0091539B">
        <w:rPr>
          <w:rStyle w:val="Hyperlink"/>
          <w:rFonts w:ascii="Arial" w:eastAsia="Arial" w:hAnsi="Arial" w:cs="Arial"/>
          <w:color w:val="auto"/>
          <w:sz w:val="24"/>
          <w:szCs w:val="24"/>
        </w:rPr>
        <w:t>Disponível em: &lt;</w:t>
      </w:r>
      <w:r w:rsidRPr="006C62F6">
        <w:rPr>
          <w:rFonts w:ascii="Arial" w:hAnsi="Arial" w:cs="Arial"/>
          <w:sz w:val="24"/>
          <w:szCs w:val="24"/>
        </w:rPr>
        <w:t>http://www.ie.ufrj.br/moeda/pdfs/Economia_ &amp;_Tecnologia_Ano_06_Vol_021.pdf</w:t>
      </w:r>
      <w:r w:rsidRPr="0091539B">
        <w:rPr>
          <w:rFonts w:ascii="Arial" w:hAnsi="Arial" w:cs="Arial"/>
          <w:sz w:val="24"/>
          <w:szCs w:val="24"/>
        </w:rPr>
        <w:t>&gt; Acesso em:</w:t>
      </w:r>
      <w:r>
        <w:rPr>
          <w:rFonts w:ascii="Arial" w:hAnsi="Arial" w:cs="Arial"/>
          <w:sz w:val="24"/>
          <w:szCs w:val="24"/>
        </w:rPr>
        <w:t xml:space="preserve"> </w:t>
      </w:r>
      <w:r w:rsidRPr="0091539B">
        <w:rPr>
          <w:rFonts w:ascii="Arial" w:hAnsi="Arial" w:cs="Arial"/>
          <w:sz w:val="24"/>
          <w:szCs w:val="24"/>
        </w:rPr>
        <w:t>Fev</w:t>
      </w:r>
      <w:r>
        <w:rPr>
          <w:rFonts w:ascii="Arial" w:hAnsi="Arial" w:cs="Arial"/>
          <w:sz w:val="24"/>
          <w:szCs w:val="24"/>
        </w:rPr>
        <w:t xml:space="preserve">. </w:t>
      </w:r>
      <w:r w:rsidRPr="0091539B">
        <w:rPr>
          <w:rFonts w:ascii="Arial" w:hAnsi="Arial" w:cs="Arial"/>
          <w:sz w:val="24"/>
          <w:szCs w:val="24"/>
        </w:rPr>
        <w:t>2013</w:t>
      </w:r>
    </w:p>
    <w:p w:rsidR="005E098C" w:rsidRPr="0091539B" w:rsidRDefault="005E098C" w:rsidP="005E098C">
      <w:pPr>
        <w:spacing w:after="300" w:line="240" w:lineRule="auto"/>
        <w:jc w:val="both"/>
        <w:rPr>
          <w:rFonts w:ascii="Arial" w:hAnsi="Arial" w:cs="Arial"/>
          <w:sz w:val="24"/>
          <w:szCs w:val="24"/>
          <w:shd w:val="clear" w:color="auto" w:fill="FFFFFF"/>
        </w:rPr>
      </w:pPr>
      <w:r w:rsidRPr="0091539B">
        <w:rPr>
          <w:rFonts w:ascii="Arial" w:hAnsi="Arial" w:cs="Arial"/>
          <w:sz w:val="24"/>
          <w:szCs w:val="24"/>
        </w:rPr>
        <w:t>MORAES,</w:t>
      </w:r>
      <w:r>
        <w:rPr>
          <w:rFonts w:ascii="Arial" w:hAnsi="Arial" w:cs="Arial"/>
          <w:sz w:val="24"/>
          <w:szCs w:val="24"/>
        </w:rPr>
        <w:t xml:space="preserve"> </w:t>
      </w:r>
      <w:r w:rsidRPr="0091539B">
        <w:rPr>
          <w:rFonts w:ascii="Arial" w:hAnsi="Arial" w:cs="Arial"/>
          <w:sz w:val="24"/>
          <w:szCs w:val="24"/>
        </w:rPr>
        <w:t>Roberto Campos.</w:t>
      </w:r>
      <w:r>
        <w:rPr>
          <w:rFonts w:ascii="Arial" w:hAnsi="Arial" w:cs="Arial"/>
          <w:sz w:val="24"/>
          <w:szCs w:val="24"/>
        </w:rPr>
        <w:t xml:space="preserve"> </w:t>
      </w:r>
      <w:r w:rsidRPr="006C62F6">
        <w:rPr>
          <w:rFonts w:ascii="Arial" w:hAnsi="Arial" w:cs="Arial"/>
          <w:b/>
          <w:sz w:val="24"/>
          <w:szCs w:val="24"/>
        </w:rPr>
        <w:t>Teoria da inflação</w:t>
      </w:r>
      <w:r w:rsidRPr="0091539B">
        <w:rPr>
          <w:rFonts w:ascii="Arial" w:hAnsi="Arial" w:cs="Arial"/>
          <w:sz w:val="24"/>
          <w:szCs w:val="24"/>
        </w:rPr>
        <w:t>:</w:t>
      </w:r>
      <w:r>
        <w:rPr>
          <w:rFonts w:ascii="Arial" w:hAnsi="Arial" w:cs="Arial"/>
          <w:sz w:val="24"/>
          <w:szCs w:val="24"/>
        </w:rPr>
        <w:t xml:space="preserve"> </w:t>
      </w:r>
      <w:r w:rsidRPr="0091539B">
        <w:rPr>
          <w:rFonts w:ascii="Arial" w:hAnsi="Arial" w:cs="Arial"/>
          <w:sz w:val="24"/>
          <w:szCs w:val="24"/>
        </w:rPr>
        <w:t xml:space="preserve">do principio da demanda efetiva à curva de Philips com expectativas adaptadas.Revistas FEE Ensaios,Porto alegre,1991. Disponível em: </w:t>
      </w:r>
      <w:r w:rsidRPr="006C62F6">
        <w:rPr>
          <w:rFonts w:ascii="Arial" w:hAnsi="Arial" w:cs="Arial"/>
          <w:sz w:val="24"/>
          <w:szCs w:val="24"/>
          <w:shd w:val="clear" w:color="auto" w:fill="FFFFFF"/>
        </w:rPr>
        <w:t>www.revistas.fee.tche.br/index.</w:t>
      </w:r>
      <w:proofErr w:type="spellStart"/>
      <w:r w:rsidRPr="006C62F6">
        <w:rPr>
          <w:rFonts w:ascii="Arial" w:hAnsi="Arial" w:cs="Arial"/>
          <w:sz w:val="24"/>
          <w:szCs w:val="24"/>
          <w:shd w:val="clear" w:color="auto" w:fill="FFFFFF"/>
        </w:rPr>
        <w:t>php</w:t>
      </w:r>
      <w:proofErr w:type="spellEnd"/>
      <w:r w:rsidRPr="006C62F6">
        <w:rPr>
          <w:rFonts w:ascii="Arial" w:hAnsi="Arial" w:cs="Arial"/>
          <w:sz w:val="24"/>
          <w:szCs w:val="24"/>
          <w:shd w:val="clear" w:color="auto" w:fill="FFFFFF"/>
        </w:rPr>
        <w:t xml:space="preserve">/ensaios/ </w:t>
      </w:r>
      <w:proofErr w:type="spellStart"/>
      <w:r w:rsidRPr="006C62F6">
        <w:rPr>
          <w:rFonts w:ascii="Arial" w:hAnsi="Arial" w:cs="Arial"/>
          <w:sz w:val="24"/>
          <w:szCs w:val="24"/>
          <w:shd w:val="clear" w:color="auto" w:fill="FFFFFF"/>
        </w:rPr>
        <w:t>article</w:t>
      </w:r>
      <w:proofErr w:type="spellEnd"/>
      <w:r w:rsidRPr="006C62F6">
        <w:rPr>
          <w:rFonts w:ascii="Arial" w:hAnsi="Arial" w:cs="Arial"/>
          <w:sz w:val="24"/>
          <w:szCs w:val="24"/>
          <w:shd w:val="clear" w:color="auto" w:fill="FFFFFF"/>
        </w:rPr>
        <w:t>/download/1390/1753</w:t>
      </w:r>
      <w:r>
        <w:rPr>
          <w:rFonts w:ascii="Arial" w:hAnsi="Arial" w:cs="Arial"/>
          <w:sz w:val="24"/>
          <w:szCs w:val="24"/>
          <w:shd w:val="clear" w:color="auto" w:fill="FFFFFF"/>
        </w:rPr>
        <w:t xml:space="preserve"> </w:t>
      </w:r>
      <w:r w:rsidRPr="0091539B">
        <w:rPr>
          <w:rFonts w:ascii="Arial" w:hAnsi="Arial" w:cs="Arial"/>
          <w:sz w:val="24"/>
          <w:szCs w:val="24"/>
        </w:rPr>
        <w:t>Acesso em: abr</w:t>
      </w:r>
      <w:r>
        <w:rPr>
          <w:rFonts w:ascii="Arial" w:hAnsi="Arial" w:cs="Arial"/>
          <w:sz w:val="24"/>
          <w:szCs w:val="24"/>
        </w:rPr>
        <w:t xml:space="preserve">. </w:t>
      </w:r>
      <w:r w:rsidRPr="0091539B">
        <w:rPr>
          <w:rFonts w:ascii="Arial" w:hAnsi="Arial" w:cs="Arial"/>
          <w:sz w:val="24"/>
          <w:szCs w:val="24"/>
        </w:rPr>
        <w:t>2014</w:t>
      </w:r>
      <w:r>
        <w:rPr>
          <w:rFonts w:ascii="Arial" w:hAnsi="Arial" w:cs="Arial"/>
          <w:sz w:val="24"/>
          <w:szCs w:val="24"/>
        </w:rPr>
        <w:t>.</w:t>
      </w:r>
    </w:p>
    <w:p w:rsidR="005E098C" w:rsidRPr="0091539B" w:rsidRDefault="005E098C" w:rsidP="005E098C">
      <w:pPr>
        <w:spacing w:after="300" w:line="240" w:lineRule="auto"/>
        <w:jc w:val="both"/>
        <w:rPr>
          <w:rFonts w:ascii="Arial" w:hAnsi="Arial" w:cs="Arial"/>
          <w:sz w:val="24"/>
          <w:szCs w:val="24"/>
        </w:rPr>
      </w:pPr>
      <w:r w:rsidRPr="0091539B">
        <w:rPr>
          <w:rFonts w:ascii="Arial" w:hAnsi="Arial" w:cs="Arial"/>
          <w:sz w:val="24"/>
          <w:szCs w:val="24"/>
        </w:rPr>
        <w:t>NAKANO,</w:t>
      </w:r>
      <w:r>
        <w:rPr>
          <w:rFonts w:ascii="Arial" w:hAnsi="Arial" w:cs="Arial"/>
          <w:sz w:val="24"/>
          <w:szCs w:val="24"/>
        </w:rPr>
        <w:t xml:space="preserve"> </w:t>
      </w:r>
      <w:proofErr w:type="spellStart"/>
      <w:r w:rsidRPr="0091539B">
        <w:rPr>
          <w:rFonts w:ascii="Arial" w:hAnsi="Arial" w:cs="Arial"/>
          <w:sz w:val="24"/>
          <w:szCs w:val="24"/>
        </w:rPr>
        <w:t>Yoshiaki</w:t>
      </w:r>
      <w:proofErr w:type="spellEnd"/>
      <w:r w:rsidRPr="0091539B">
        <w:rPr>
          <w:rFonts w:ascii="Arial" w:hAnsi="Arial" w:cs="Arial"/>
          <w:sz w:val="24"/>
          <w:szCs w:val="24"/>
        </w:rPr>
        <w:t>.</w:t>
      </w:r>
      <w:r>
        <w:rPr>
          <w:rFonts w:ascii="Arial" w:hAnsi="Arial" w:cs="Arial"/>
          <w:sz w:val="24"/>
          <w:szCs w:val="24"/>
        </w:rPr>
        <w:t xml:space="preserve"> </w:t>
      </w:r>
      <w:r w:rsidRPr="006C62F6">
        <w:rPr>
          <w:rFonts w:ascii="Arial" w:hAnsi="Arial" w:cs="Arial"/>
          <w:sz w:val="24"/>
          <w:szCs w:val="24"/>
        </w:rPr>
        <w:t>Recessão e inflação.</w:t>
      </w:r>
      <w:r>
        <w:rPr>
          <w:rFonts w:ascii="Arial" w:hAnsi="Arial" w:cs="Arial"/>
          <w:sz w:val="24"/>
          <w:szCs w:val="24"/>
        </w:rPr>
        <w:t xml:space="preserve"> </w:t>
      </w:r>
      <w:r w:rsidRPr="006C62F6">
        <w:rPr>
          <w:rFonts w:ascii="Arial" w:hAnsi="Arial" w:cs="Arial"/>
          <w:b/>
          <w:sz w:val="24"/>
          <w:szCs w:val="24"/>
        </w:rPr>
        <w:t xml:space="preserve">Revista de Economia </w:t>
      </w:r>
      <w:proofErr w:type="spellStart"/>
      <w:r w:rsidRPr="006C62F6">
        <w:rPr>
          <w:rFonts w:ascii="Arial" w:hAnsi="Arial" w:cs="Arial"/>
          <w:b/>
          <w:sz w:val="24"/>
          <w:szCs w:val="24"/>
        </w:rPr>
        <w:t>Politica</w:t>
      </w:r>
      <w:proofErr w:type="spellEnd"/>
      <w:r w:rsidRPr="0091539B">
        <w:rPr>
          <w:rFonts w:ascii="Arial" w:hAnsi="Arial" w:cs="Arial"/>
          <w:sz w:val="24"/>
          <w:szCs w:val="24"/>
        </w:rPr>
        <w:t>.</w:t>
      </w:r>
      <w:r>
        <w:rPr>
          <w:rFonts w:ascii="Arial" w:hAnsi="Arial" w:cs="Arial"/>
          <w:sz w:val="24"/>
          <w:szCs w:val="24"/>
        </w:rPr>
        <w:t xml:space="preserve"> </w:t>
      </w:r>
      <w:r w:rsidRPr="0091539B">
        <w:rPr>
          <w:rFonts w:ascii="Arial" w:hAnsi="Arial" w:cs="Arial"/>
          <w:sz w:val="24"/>
          <w:szCs w:val="24"/>
        </w:rPr>
        <w:t>vol.2/2,n°6,abril, jun,</w:t>
      </w:r>
      <w:r>
        <w:rPr>
          <w:rFonts w:ascii="Arial" w:hAnsi="Arial" w:cs="Arial"/>
          <w:sz w:val="24"/>
          <w:szCs w:val="24"/>
        </w:rPr>
        <w:t xml:space="preserve"> </w:t>
      </w:r>
      <w:r w:rsidRPr="0091539B">
        <w:rPr>
          <w:rFonts w:ascii="Arial" w:hAnsi="Arial" w:cs="Arial"/>
          <w:sz w:val="24"/>
          <w:szCs w:val="24"/>
        </w:rPr>
        <w:t>1982. Disponível em: &lt;</w:t>
      </w:r>
      <w:r w:rsidRPr="006C62F6">
        <w:rPr>
          <w:rFonts w:ascii="Arial" w:hAnsi="Arial" w:cs="Arial"/>
          <w:sz w:val="24"/>
          <w:szCs w:val="24"/>
        </w:rPr>
        <w:t>http://www.bresserpereira.org.br/ Books/InflacaoeRecessao-1Edicao/07-Fatores-Aceleradores-mantenedores.pdf</w:t>
      </w:r>
      <w:r w:rsidRPr="0091539B">
        <w:rPr>
          <w:rFonts w:ascii="Arial" w:hAnsi="Arial" w:cs="Arial"/>
          <w:sz w:val="24"/>
          <w:szCs w:val="24"/>
        </w:rPr>
        <w:t>&gt;</w:t>
      </w:r>
    </w:p>
    <w:p w:rsidR="005E098C" w:rsidRPr="0091539B" w:rsidRDefault="005E098C" w:rsidP="005E098C">
      <w:pPr>
        <w:spacing w:after="300" w:line="240" w:lineRule="auto"/>
        <w:jc w:val="both"/>
        <w:rPr>
          <w:rFonts w:ascii="Arial" w:hAnsi="Arial" w:cs="Arial"/>
          <w:sz w:val="24"/>
          <w:szCs w:val="24"/>
        </w:rPr>
      </w:pPr>
      <w:r w:rsidRPr="0091539B">
        <w:rPr>
          <w:rFonts w:ascii="Arial" w:hAnsi="Arial" w:cs="Arial"/>
          <w:sz w:val="24"/>
          <w:szCs w:val="24"/>
        </w:rPr>
        <w:t>NEVES,</w:t>
      </w:r>
      <w:r>
        <w:rPr>
          <w:rFonts w:ascii="Arial" w:hAnsi="Arial" w:cs="Arial"/>
          <w:sz w:val="24"/>
          <w:szCs w:val="24"/>
        </w:rPr>
        <w:t xml:space="preserve"> </w:t>
      </w:r>
      <w:r w:rsidRPr="0091539B">
        <w:rPr>
          <w:rFonts w:ascii="Arial" w:hAnsi="Arial" w:cs="Arial"/>
          <w:sz w:val="24"/>
          <w:szCs w:val="24"/>
        </w:rPr>
        <w:t>André L., OREIRO, José L..O regime de metas de inflação uma abordagem teórica.</w:t>
      </w:r>
      <w:r>
        <w:rPr>
          <w:rFonts w:ascii="Arial" w:hAnsi="Arial" w:cs="Arial"/>
          <w:sz w:val="24"/>
          <w:szCs w:val="24"/>
        </w:rPr>
        <w:t xml:space="preserve"> </w:t>
      </w:r>
      <w:r w:rsidRPr="006C62F6">
        <w:rPr>
          <w:rFonts w:ascii="Arial" w:hAnsi="Arial" w:cs="Arial"/>
          <w:b/>
          <w:sz w:val="24"/>
          <w:szCs w:val="24"/>
        </w:rPr>
        <w:t>Revista Ensaios FEE</w:t>
      </w:r>
      <w:r w:rsidRPr="0091539B">
        <w:rPr>
          <w:rFonts w:ascii="Arial" w:hAnsi="Arial" w:cs="Arial"/>
          <w:sz w:val="24"/>
          <w:szCs w:val="24"/>
        </w:rPr>
        <w:t>, Porto Alegre,</w:t>
      </w:r>
      <w:r>
        <w:rPr>
          <w:rFonts w:ascii="Arial" w:hAnsi="Arial" w:cs="Arial"/>
          <w:sz w:val="24"/>
          <w:szCs w:val="24"/>
        </w:rPr>
        <w:t xml:space="preserve"> </w:t>
      </w:r>
      <w:r w:rsidRPr="0091539B">
        <w:rPr>
          <w:rFonts w:ascii="Arial" w:hAnsi="Arial" w:cs="Arial"/>
          <w:sz w:val="24"/>
          <w:szCs w:val="24"/>
        </w:rPr>
        <w:t xml:space="preserve">v. 29, n. 1, p. 101-132, jun. 2008. Disponível em: </w:t>
      </w:r>
      <w:r w:rsidRPr="0091539B">
        <w:rPr>
          <w:rFonts w:ascii="Arial" w:hAnsi="Arial" w:cs="Arial"/>
          <w:sz w:val="24"/>
          <w:szCs w:val="24"/>
        </w:rPr>
        <w:lastRenderedPageBreak/>
        <w:t>&lt;</w:t>
      </w:r>
      <w:hyperlink r:id="rId23" w:history="1">
        <w:r w:rsidRPr="0091539B">
          <w:rPr>
            <w:rStyle w:val="Hyperlink"/>
            <w:rFonts w:ascii="Arial" w:hAnsi="Arial" w:cs="Arial"/>
            <w:color w:val="auto"/>
            <w:sz w:val="24"/>
            <w:szCs w:val="24"/>
          </w:rPr>
          <w:t>http://revistas.fee.tche.br/index.php/ensaios/article/view/2164/2548</w:t>
        </w:r>
      </w:hyperlink>
      <w:r w:rsidRPr="0091539B">
        <w:rPr>
          <w:rFonts w:ascii="Arial" w:hAnsi="Arial" w:cs="Arial"/>
          <w:sz w:val="24"/>
          <w:szCs w:val="24"/>
        </w:rPr>
        <w:t>&gt; Acesso</w:t>
      </w:r>
      <w:r>
        <w:rPr>
          <w:rFonts w:ascii="Arial" w:hAnsi="Arial" w:cs="Arial"/>
          <w:sz w:val="24"/>
          <w:szCs w:val="24"/>
        </w:rPr>
        <w:t xml:space="preserve"> em</w:t>
      </w:r>
      <w:r w:rsidRPr="0091539B">
        <w:rPr>
          <w:rFonts w:ascii="Arial" w:hAnsi="Arial" w:cs="Arial"/>
          <w:sz w:val="24"/>
          <w:szCs w:val="24"/>
        </w:rPr>
        <w:t>:</w:t>
      </w:r>
      <w:r>
        <w:rPr>
          <w:rFonts w:ascii="Arial" w:hAnsi="Arial" w:cs="Arial"/>
          <w:sz w:val="24"/>
          <w:szCs w:val="24"/>
        </w:rPr>
        <w:t xml:space="preserve"> </w:t>
      </w:r>
      <w:r w:rsidRPr="0091539B">
        <w:rPr>
          <w:rFonts w:ascii="Arial" w:hAnsi="Arial" w:cs="Arial"/>
          <w:sz w:val="24"/>
          <w:szCs w:val="24"/>
        </w:rPr>
        <w:t>out</w:t>
      </w:r>
      <w:r>
        <w:rPr>
          <w:rFonts w:ascii="Arial" w:hAnsi="Arial" w:cs="Arial"/>
          <w:sz w:val="24"/>
          <w:szCs w:val="24"/>
        </w:rPr>
        <w:t xml:space="preserve">. </w:t>
      </w:r>
      <w:r w:rsidRPr="0091539B">
        <w:rPr>
          <w:rFonts w:ascii="Arial" w:hAnsi="Arial" w:cs="Arial"/>
          <w:sz w:val="24"/>
          <w:szCs w:val="24"/>
        </w:rPr>
        <w:t>2013</w:t>
      </w:r>
      <w:r>
        <w:rPr>
          <w:rFonts w:ascii="Arial" w:hAnsi="Arial" w:cs="Arial"/>
          <w:sz w:val="24"/>
          <w:szCs w:val="24"/>
        </w:rPr>
        <w:t>.</w:t>
      </w:r>
    </w:p>
    <w:p w:rsidR="005E098C" w:rsidRPr="0091539B" w:rsidRDefault="005E098C" w:rsidP="005E098C">
      <w:pPr>
        <w:spacing w:after="300" w:line="240" w:lineRule="auto"/>
        <w:jc w:val="both"/>
        <w:rPr>
          <w:rFonts w:ascii="Arial" w:hAnsi="Arial" w:cs="Arial"/>
          <w:sz w:val="24"/>
          <w:szCs w:val="24"/>
        </w:rPr>
      </w:pPr>
      <w:r w:rsidRPr="0091539B">
        <w:rPr>
          <w:rFonts w:ascii="Arial" w:hAnsi="Arial" w:cs="Arial"/>
          <w:sz w:val="24"/>
          <w:szCs w:val="24"/>
        </w:rPr>
        <w:t>OLIVEIRA,</w:t>
      </w:r>
      <w:r>
        <w:rPr>
          <w:rFonts w:ascii="Arial" w:hAnsi="Arial" w:cs="Arial"/>
          <w:sz w:val="24"/>
          <w:szCs w:val="24"/>
        </w:rPr>
        <w:t xml:space="preserve"> </w:t>
      </w:r>
      <w:proofErr w:type="spellStart"/>
      <w:r w:rsidRPr="0091539B">
        <w:rPr>
          <w:rFonts w:ascii="Arial" w:hAnsi="Arial" w:cs="Arial"/>
          <w:sz w:val="24"/>
          <w:szCs w:val="24"/>
        </w:rPr>
        <w:t>Gesner</w:t>
      </w:r>
      <w:proofErr w:type="spellEnd"/>
      <w:r w:rsidRPr="0091539B">
        <w:rPr>
          <w:rFonts w:ascii="Arial" w:hAnsi="Arial" w:cs="Arial"/>
          <w:sz w:val="24"/>
          <w:szCs w:val="24"/>
        </w:rPr>
        <w:t>;</w:t>
      </w:r>
      <w:r>
        <w:rPr>
          <w:rFonts w:ascii="Arial" w:hAnsi="Arial" w:cs="Arial"/>
          <w:sz w:val="24"/>
          <w:szCs w:val="24"/>
        </w:rPr>
        <w:t xml:space="preserve"> </w:t>
      </w:r>
      <w:r w:rsidRPr="0091539B">
        <w:rPr>
          <w:rFonts w:ascii="Arial" w:hAnsi="Arial" w:cs="Arial"/>
          <w:sz w:val="24"/>
          <w:szCs w:val="24"/>
        </w:rPr>
        <w:t>TUROLLA,</w:t>
      </w:r>
      <w:r>
        <w:rPr>
          <w:rFonts w:ascii="Arial" w:hAnsi="Arial" w:cs="Arial"/>
          <w:sz w:val="24"/>
          <w:szCs w:val="24"/>
        </w:rPr>
        <w:t xml:space="preserve"> </w:t>
      </w:r>
      <w:r w:rsidRPr="0091539B">
        <w:rPr>
          <w:rFonts w:ascii="Arial" w:hAnsi="Arial" w:cs="Arial"/>
          <w:sz w:val="24"/>
          <w:szCs w:val="24"/>
        </w:rPr>
        <w:t>Frederico.</w:t>
      </w:r>
      <w:r>
        <w:rPr>
          <w:rFonts w:ascii="Arial" w:hAnsi="Arial" w:cs="Arial"/>
          <w:sz w:val="24"/>
          <w:szCs w:val="24"/>
        </w:rPr>
        <w:t xml:space="preserve"> </w:t>
      </w:r>
      <w:r w:rsidRPr="006C62F6">
        <w:rPr>
          <w:rFonts w:ascii="Arial" w:hAnsi="Arial" w:cs="Arial"/>
          <w:b/>
          <w:sz w:val="24"/>
          <w:szCs w:val="24"/>
        </w:rPr>
        <w:t>Política econômica do segundo governo FHC</w:t>
      </w:r>
      <w:r w:rsidRPr="0091539B">
        <w:rPr>
          <w:rFonts w:ascii="Arial" w:hAnsi="Arial" w:cs="Arial"/>
          <w:sz w:val="24"/>
          <w:szCs w:val="24"/>
        </w:rPr>
        <w:t>:</w:t>
      </w:r>
      <w:r>
        <w:rPr>
          <w:rFonts w:ascii="Arial" w:hAnsi="Arial" w:cs="Arial"/>
          <w:sz w:val="24"/>
          <w:szCs w:val="24"/>
        </w:rPr>
        <w:t xml:space="preserve"> </w:t>
      </w:r>
      <w:r w:rsidRPr="0091539B">
        <w:rPr>
          <w:rFonts w:ascii="Arial" w:hAnsi="Arial" w:cs="Arial"/>
          <w:sz w:val="24"/>
          <w:szCs w:val="24"/>
        </w:rPr>
        <w:t>mudanças em condições adversas. Tempo social – USP, 2003 v.15,n.2. Disponível em:</w:t>
      </w:r>
      <w:r>
        <w:rPr>
          <w:rFonts w:ascii="Arial" w:hAnsi="Arial" w:cs="Arial"/>
          <w:sz w:val="24"/>
          <w:szCs w:val="24"/>
        </w:rPr>
        <w:t xml:space="preserve"> </w:t>
      </w:r>
      <w:r w:rsidRPr="0091539B">
        <w:rPr>
          <w:rFonts w:ascii="Arial" w:hAnsi="Arial" w:cs="Arial"/>
          <w:sz w:val="24"/>
          <w:szCs w:val="24"/>
        </w:rPr>
        <w:t>&lt;</w:t>
      </w:r>
      <w:hyperlink r:id="rId24" w:history="1">
        <w:r w:rsidRPr="0091539B">
          <w:rPr>
            <w:rStyle w:val="Hyperlink"/>
            <w:rFonts w:ascii="Arial" w:hAnsi="Arial" w:cs="Arial"/>
            <w:color w:val="auto"/>
            <w:sz w:val="24"/>
            <w:szCs w:val="24"/>
          </w:rPr>
          <w:t>http://www.scielo.br/pdf/ts/v15n2/a08v15n2.pdf</w:t>
        </w:r>
      </w:hyperlink>
      <w:r w:rsidRPr="0091539B">
        <w:rPr>
          <w:rFonts w:ascii="Arial" w:hAnsi="Arial" w:cs="Arial"/>
          <w:sz w:val="24"/>
          <w:szCs w:val="24"/>
        </w:rPr>
        <w:t>&gt;.</w:t>
      </w:r>
      <w:r>
        <w:rPr>
          <w:rFonts w:ascii="Arial" w:hAnsi="Arial" w:cs="Arial"/>
          <w:sz w:val="24"/>
          <w:szCs w:val="24"/>
        </w:rPr>
        <w:t xml:space="preserve"> </w:t>
      </w:r>
      <w:r w:rsidRPr="0091539B">
        <w:rPr>
          <w:rFonts w:ascii="Arial" w:hAnsi="Arial" w:cs="Arial"/>
          <w:sz w:val="24"/>
          <w:szCs w:val="24"/>
        </w:rPr>
        <w:t>Acesso em:</w:t>
      </w:r>
      <w:r>
        <w:rPr>
          <w:rFonts w:ascii="Arial" w:hAnsi="Arial" w:cs="Arial"/>
          <w:sz w:val="24"/>
          <w:szCs w:val="24"/>
        </w:rPr>
        <w:t xml:space="preserve"> </w:t>
      </w:r>
      <w:r w:rsidRPr="0091539B">
        <w:rPr>
          <w:rFonts w:ascii="Arial" w:hAnsi="Arial" w:cs="Arial"/>
          <w:sz w:val="24"/>
          <w:szCs w:val="24"/>
        </w:rPr>
        <w:t>Março.2013</w:t>
      </w:r>
    </w:p>
    <w:p w:rsidR="005E098C" w:rsidRPr="0091539B" w:rsidRDefault="005E098C" w:rsidP="005E098C">
      <w:pPr>
        <w:spacing w:after="300" w:line="240" w:lineRule="auto"/>
        <w:jc w:val="both"/>
        <w:rPr>
          <w:rFonts w:ascii="Arial" w:hAnsi="Arial" w:cs="Arial"/>
          <w:sz w:val="24"/>
          <w:szCs w:val="24"/>
        </w:rPr>
      </w:pPr>
      <w:r w:rsidRPr="005E098C">
        <w:rPr>
          <w:rFonts w:ascii="Arial" w:hAnsi="Arial" w:cs="Arial"/>
          <w:sz w:val="24"/>
          <w:szCs w:val="24"/>
          <w:lang w:val="en-US"/>
        </w:rPr>
        <w:t xml:space="preserve">_______. </w:t>
      </w:r>
      <w:proofErr w:type="spellStart"/>
      <w:r w:rsidRPr="005E098C">
        <w:rPr>
          <w:rFonts w:ascii="Arial" w:hAnsi="Arial" w:cs="Arial"/>
          <w:b/>
          <w:sz w:val="24"/>
          <w:szCs w:val="24"/>
          <w:lang w:val="en-US"/>
        </w:rPr>
        <w:t>Structuralist</w:t>
      </w:r>
      <w:proofErr w:type="spellEnd"/>
      <w:r w:rsidRPr="005E098C">
        <w:rPr>
          <w:rFonts w:ascii="Arial" w:hAnsi="Arial" w:cs="Arial"/>
          <w:b/>
          <w:sz w:val="24"/>
          <w:szCs w:val="24"/>
          <w:lang w:val="en-US"/>
        </w:rPr>
        <w:t xml:space="preserve"> macroeconomics and new develop</w:t>
      </w:r>
      <w:r w:rsidRPr="005E098C">
        <w:rPr>
          <w:rFonts w:ascii="Arial" w:eastAsia="MS Gothic" w:hAnsi="Arial" w:cs="Arial"/>
          <w:b/>
          <w:sz w:val="24"/>
          <w:szCs w:val="24"/>
          <w:lang w:val="en-US"/>
        </w:rPr>
        <w:t xml:space="preserve"> </w:t>
      </w:r>
      <w:proofErr w:type="spellStart"/>
      <w:r w:rsidRPr="005E098C">
        <w:rPr>
          <w:rFonts w:ascii="Arial" w:hAnsi="Arial" w:cs="Arial"/>
          <w:b/>
          <w:sz w:val="24"/>
          <w:szCs w:val="24"/>
          <w:lang w:val="en-US"/>
        </w:rPr>
        <w:t>mentalism</w:t>
      </w:r>
      <w:proofErr w:type="spellEnd"/>
      <w:r w:rsidRPr="005E098C">
        <w:rPr>
          <w:rFonts w:ascii="Arial" w:hAnsi="Arial" w:cs="Arial"/>
          <w:sz w:val="24"/>
          <w:szCs w:val="24"/>
          <w:lang w:val="en-US"/>
        </w:rPr>
        <w:t xml:space="preserve">. </w:t>
      </w:r>
      <w:r w:rsidRPr="0091539B">
        <w:rPr>
          <w:rFonts w:ascii="Arial" w:hAnsi="Arial" w:cs="Arial"/>
          <w:sz w:val="24"/>
          <w:szCs w:val="24"/>
        </w:rPr>
        <w:t>Disponível em: &lt;http://www.bresserpereira.org.br/</w:t>
      </w:r>
      <w:r>
        <w:rPr>
          <w:rFonts w:ascii="Arial" w:hAnsi="Arial" w:cs="Arial"/>
          <w:sz w:val="24"/>
          <w:szCs w:val="24"/>
        </w:rPr>
        <w:t xml:space="preserve"> </w:t>
      </w:r>
      <w:proofErr w:type="spellStart"/>
      <w:r w:rsidRPr="0091539B">
        <w:rPr>
          <w:rFonts w:ascii="Arial" w:hAnsi="Arial" w:cs="Arial"/>
          <w:sz w:val="24"/>
          <w:szCs w:val="24"/>
        </w:rPr>
        <w:t>papers</w:t>
      </w:r>
      <w:proofErr w:type="spellEnd"/>
      <w:r w:rsidRPr="0091539B">
        <w:rPr>
          <w:rFonts w:ascii="Arial" w:hAnsi="Arial" w:cs="Arial"/>
          <w:sz w:val="24"/>
          <w:szCs w:val="24"/>
        </w:rPr>
        <w:t>/2011/11.22.</w:t>
      </w:r>
      <w:proofErr w:type="spellStart"/>
      <w:r w:rsidRPr="0091539B">
        <w:rPr>
          <w:rFonts w:ascii="Arial" w:hAnsi="Arial" w:cs="Arial"/>
          <w:sz w:val="24"/>
          <w:szCs w:val="24"/>
        </w:rPr>
        <w:t>MacroStructuralistNDevelop</w:t>
      </w:r>
      <w:proofErr w:type="spellEnd"/>
      <w:r w:rsidRPr="0091539B">
        <w:rPr>
          <w:rFonts w:ascii="Arial" w:hAnsi="Arial" w:cs="Arial"/>
          <w:sz w:val="24"/>
          <w:szCs w:val="24"/>
        </w:rPr>
        <w:t>%20CJE%20i.</w:t>
      </w:r>
      <w:proofErr w:type="spellStart"/>
      <w:r w:rsidRPr="0091539B">
        <w:rPr>
          <w:rFonts w:ascii="Arial" w:hAnsi="Arial" w:cs="Arial"/>
          <w:sz w:val="24"/>
          <w:szCs w:val="24"/>
        </w:rPr>
        <w:t>pdf</w:t>
      </w:r>
      <w:proofErr w:type="spellEnd"/>
      <w:r w:rsidRPr="0091539B">
        <w:rPr>
          <w:rFonts w:ascii="Arial" w:hAnsi="Arial" w:cs="Arial"/>
          <w:sz w:val="24"/>
          <w:szCs w:val="24"/>
        </w:rPr>
        <w:t>&gt;. Acesso em: 10 out. 2013.</w:t>
      </w:r>
    </w:p>
    <w:p w:rsidR="005E098C" w:rsidRPr="0091539B" w:rsidRDefault="005E098C" w:rsidP="005E098C">
      <w:pPr>
        <w:spacing w:after="300" w:line="240" w:lineRule="auto"/>
        <w:jc w:val="both"/>
        <w:rPr>
          <w:rFonts w:ascii="Arial" w:hAnsi="Arial" w:cs="Arial"/>
          <w:sz w:val="24"/>
          <w:szCs w:val="24"/>
        </w:rPr>
      </w:pPr>
      <w:r w:rsidRPr="0091539B">
        <w:rPr>
          <w:rFonts w:ascii="Arial" w:hAnsi="Arial" w:cs="Arial"/>
          <w:sz w:val="24"/>
          <w:szCs w:val="24"/>
        </w:rPr>
        <w:t>RESENDE, André de Lara.</w:t>
      </w:r>
      <w:r>
        <w:rPr>
          <w:rFonts w:ascii="Arial" w:hAnsi="Arial" w:cs="Arial"/>
          <w:sz w:val="24"/>
          <w:szCs w:val="24"/>
        </w:rPr>
        <w:t xml:space="preserve"> </w:t>
      </w:r>
      <w:r w:rsidRPr="0091539B">
        <w:rPr>
          <w:rFonts w:ascii="Arial" w:hAnsi="Arial" w:cs="Arial"/>
          <w:sz w:val="24"/>
          <w:szCs w:val="24"/>
        </w:rPr>
        <w:t xml:space="preserve">A moeda indexada: uma proposta para eliminar a inflação inercial. </w:t>
      </w:r>
      <w:r w:rsidRPr="006C62F6">
        <w:rPr>
          <w:rFonts w:ascii="Arial" w:hAnsi="Arial" w:cs="Arial"/>
          <w:b/>
          <w:sz w:val="24"/>
          <w:szCs w:val="24"/>
        </w:rPr>
        <w:t>Revista de Economia Política</w:t>
      </w:r>
      <w:r w:rsidRPr="0091539B">
        <w:rPr>
          <w:rFonts w:ascii="Arial" w:hAnsi="Arial" w:cs="Arial"/>
          <w:sz w:val="24"/>
          <w:szCs w:val="24"/>
        </w:rPr>
        <w:t>, vol.5, n°2,</w:t>
      </w:r>
      <w:r>
        <w:rPr>
          <w:rFonts w:ascii="Arial" w:hAnsi="Arial" w:cs="Arial"/>
          <w:sz w:val="24"/>
          <w:szCs w:val="24"/>
        </w:rPr>
        <w:t xml:space="preserve"> </w:t>
      </w:r>
      <w:r w:rsidRPr="0091539B">
        <w:rPr>
          <w:rFonts w:ascii="Arial" w:hAnsi="Arial" w:cs="Arial"/>
          <w:sz w:val="24"/>
          <w:szCs w:val="24"/>
        </w:rPr>
        <w:t xml:space="preserve">abril, jun.1985. Disponível em: &lt; </w:t>
      </w:r>
      <w:hyperlink r:id="rId25" w:history="1">
        <w:r w:rsidRPr="0091539B">
          <w:rPr>
            <w:rStyle w:val="Hyperlink"/>
            <w:rFonts w:ascii="Arial" w:hAnsi="Arial" w:cs="Arial"/>
            <w:color w:val="auto"/>
            <w:sz w:val="24"/>
            <w:szCs w:val="24"/>
          </w:rPr>
          <w:t>http://www.rep.org.br/pdf/18-11.pdf</w:t>
        </w:r>
      </w:hyperlink>
      <w:r w:rsidRPr="0091539B">
        <w:rPr>
          <w:rFonts w:ascii="Arial" w:hAnsi="Arial" w:cs="Arial"/>
          <w:sz w:val="24"/>
          <w:szCs w:val="24"/>
        </w:rPr>
        <w:t>&gt; Acesso em: set.</w:t>
      </w:r>
      <w:r>
        <w:rPr>
          <w:rFonts w:ascii="Arial" w:hAnsi="Arial" w:cs="Arial"/>
          <w:sz w:val="24"/>
          <w:szCs w:val="24"/>
        </w:rPr>
        <w:t xml:space="preserve"> </w:t>
      </w:r>
      <w:r w:rsidRPr="0091539B">
        <w:rPr>
          <w:rFonts w:ascii="Arial" w:hAnsi="Arial" w:cs="Arial"/>
          <w:sz w:val="24"/>
          <w:szCs w:val="24"/>
        </w:rPr>
        <w:t>2010</w:t>
      </w:r>
      <w:r>
        <w:rPr>
          <w:rFonts w:ascii="Arial" w:hAnsi="Arial" w:cs="Arial"/>
          <w:sz w:val="24"/>
          <w:szCs w:val="24"/>
        </w:rPr>
        <w:t>.</w:t>
      </w:r>
    </w:p>
    <w:p w:rsidR="005E098C" w:rsidRPr="0091539B" w:rsidRDefault="005E098C" w:rsidP="005E098C">
      <w:pPr>
        <w:spacing w:after="300" w:line="240" w:lineRule="auto"/>
        <w:jc w:val="both"/>
        <w:rPr>
          <w:rFonts w:ascii="Arial" w:hAnsi="Arial" w:cs="Arial"/>
          <w:sz w:val="24"/>
          <w:szCs w:val="24"/>
        </w:rPr>
      </w:pPr>
      <w:r w:rsidRPr="0091539B">
        <w:rPr>
          <w:rFonts w:ascii="Arial" w:hAnsi="Arial" w:cs="Arial"/>
          <w:sz w:val="24"/>
          <w:szCs w:val="24"/>
        </w:rPr>
        <w:t>SANTOS,</w:t>
      </w:r>
      <w:r>
        <w:rPr>
          <w:rFonts w:ascii="Arial" w:hAnsi="Arial" w:cs="Arial"/>
          <w:sz w:val="24"/>
          <w:szCs w:val="24"/>
        </w:rPr>
        <w:t xml:space="preserve"> </w:t>
      </w:r>
      <w:r w:rsidRPr="0091539B">
        <w:rPr>
          <w:rFonts w:ascii="Arial" w:hAnsi="Arial" w:cs="Arial"/>
          <w:sz w:val="24"/>
          <w:szCs w:val="24"/>
        </w:rPr>
        <w:t>Fernando Siqueira.</w:t>
      </w:r>
      <w:r w:rsidRPr="0091539B">
        <w:t xml:space="preserve"> </w:t>
      </w:r>
      <w:r w:rsidRPr="006C62F6">
        <w:rPr>
          <w:rFonts w:ascii="Arial" w:hAnsi="Arial" w:cs="Arial"/>
          <w:b/>
          <w:sz w:val="24"/>
          <w:szCs w:val="24"/>
        </w:rPr>
        <w:t>Ascensão e Queda do Desemprego no Brasil</w:t>
      </w:r>
      <w:r w:rsidRPr="0091539B">
        <w:rPr>
          <w:rFonts w:ascii="Arial" w:hAnsi="Arial" w:cs="Arial"/>
          <w:sz w:val="24"/>
          <w:szCs w:val="24"/>
        </w:rPr>
        <w:t>: 1998-2012. Disponível em: &lt;</w:t>
      </w:r>
      <w:r w:rsidRPr="0091539B">
        <w:t xml:space="preserve"> </w:t>
      </w:r>
      <w:r w:rsidRPr="0091539B">
        <w:rPr>
          <w:rFonts w:ascii="Arial" w:hAnsi="Arial" w:cs="Arial"/>
          <w:sz w:val="24"/>
          <w:szCs w:val="24"/>
        </w:rPr>
        <w:t>http://www.anpec.org.br/encontro/2013/files_I/i13-a25aa641e3de121884a9966e761431c0.pdf&gt;. Acesso em: 12 abr</w:t>
      </w:r>
      <w:r>
        <w:rPr>
          <w:rFonts w:ascii="Arial" w:hAnsi="Arial" w:cs="Arial"/>
          <w:sz w:val="24"/>
          <w:szCs w:val="24"/>
        </w:rPr>
        <w:t>.</w:t>
      </w:r>
      <w:r w:rsidRPr="0091539B">
        <w:rPr>
          <w:rFonts w:ascii="Arial" w:hAnsi="Arial" w:cs="Arial"/>
          <w:sz w:val="24"/>
          <w:szCs w:val="24"/>
        </w:rPr>
        <w:t xml:space="preserve"> 2014</w:t>
      </w:r>
      <w:r>
        <w:rPr>
          <w:rFonts w:ascii="Arial" w:hAnsi="Arial" w:cs="Arial"/>
          <w:sz w:val="24"/>
          <w:szCs w:val="24"/>
        </w:rPr>
        <w:t>.</w:t>
      </w:r>
    </w:p>
    <w:p w:rsidR="005E098C" w:rsidRPr="0091539B" w:rsidRDefault="005E098C" w:rsidP="005E098C">
      <w:pPr>
        <w:spacing w:after="300" w:line="240" w:lineRule="auto"/>
        <w:jc w:val="both"/>
        <w:rPr>
          <w:rFonts w:ascii="Arial" w:hAnsi="Arial" w:cs="Arial"/>
          <w:sz w:val="24"/>
          <w:szCs w:val="24"/>
        </w:rPr>
      </w:pPr>
      <w:r w:rsidRPr="0091539B">
        <w:rPr>
          <w:rFonts w:ascii="Arial" w:hAnsi="Arial" w:cs="Arial"/>
          <w:sz w:val="24"/>
          <w:szCs w:val="24"/>
        </w:rPr>
        <w:t xml:space="preserve">SILVA, Marcelo E. A. da; PORTUGAL, Marcelo S. </w:t>
      </w:r>
      <w:r w:rsidRPr="006C62F6">
        <w:rPr>
          <w:rFonts w:ascii="Arial" w:hAnsi="Arial" w:cs="Arial"/>
          <w:b/>
          <w:bCs/>
          <w:sz w:val="24"/>
          <w:szCs w:val="24"/>
        </w:rPr>
        <w:t>A recente experiência brasileira com metas de inflação</w:t>
      </w:r>
      <w:r w:rsidRPr="0091539B">
        <w:rPr>
          <w:rFonts w:ascii="Arial" w:hAnsi="Arial" w:cs="Arial"/>
          <w:sz w:val="24"/>
          <w:szCs w:val="24"/>
        </w:rPr>
        <w:t>: uma avaliação preliminar. Universidade Federal Rio Grande do Sul, 2002. Disponível em: &lt;http://www.ufrgs.br/ppge/</w:t>
      </w:r>
      <w:r>
        <w:rPr>
          <w:rFonts w:ascii="Arial" w:hAnsi="Arial" w:cs="Arial"/>
          <w:sz w:val="24"/>
          <w:szCs w:val="24"/>
        </w:rPr>
        <w:t xml:space="preserve"> </w:t>
      </w:r>
      <w:proofErr w:type="spellStart"/>
      <w:r w:rsidRPr="0091539B">
        <w:rPr>
          <w:rFonts w:ascii="Arial" w:hAnsi="Arial" w:cs="Arial"/>
          <w:sz w:val="24"/>
          <w:szCs w:val="24"/>
        </w:rPr>
        <w:t>pcientifica</w:t>
      </w:r>
      <w:proofErr w:type="spellEnd"/>
      <w:r w:rsidRPr="0091539B">
        <w:rPr>
          <w:rFonts w:ascii="Arial" w:hAnsi="Arial" w:cs="Arial"/>
          <w:sz w:val="24"/>
          <w:szCs w:val="24"/>
        </w:rPr>
        <w:t>/2002_04.</w:t>
      </w:r>
      <w:proofErr w:type="spellStart"/>
      <w:r w:rsidRPr="0091539B">
        <w:rPr>
          <w:rFonts w:ascii="Arial" w:hAnsi="Arial" w:cs="Arial"/>
          <w:sz w:val="24"/>
          <w:szCs w:val="24"/>
        </w:rPr>
        <w:t>pdf</w:t>
      </w:r>
      <w:proofErr w:type="spellEnd"/>
      <w:r w:rsidRPr="0091539B">
        <w:rPr>
          <w:rFonts w:ascii="Arial" w:hAnsi="Arial" w:cs="Arial"/>
          <w:sz w:val="24"/>
          <w:szCs w:val="24"/>
        </w:rPr>
        <w:t>&gt;. Acesso em: 4 abr. 2010</w:t>
      </w:r>
    </w:p>
    <w:p w:rsidR="005E098C" w:rsidRPr="0091539B" w:rsidRDefault="005E098C" w:rsidP="005E098C">
      <w:pPr>
        <w:autoSpaceDE w:val="0"/>
        <w:autoSpaceDN w:val="0"/>
        <w:adjustRightInd w:val="0"/>
        <w:spacing w:after="300" w:line="240" w:lineRule="auto"/>
        <w:jc w:val="both"/>
        <w:rPr>
          <w:rFonts w:ascii="Arial" w:hAnsi="Arial" w:cs="Arial"/>
          <w:sz w:val="24"/>
          <w:szCs w:val="24"/>
        </w:rPr>
      </w:pPr>
      <w:r w:rsidRPr="0091539B">
        <w:rPr>
          <w:rFonts w:ascii="Arial" w:hAnsi="Arial" w:cs="Arial"/>
          <w:sz w:val="24"/>
          <w:szCs w:val="24"/>
        </w:rPr>
        <w:t xml:space="preserve">SILVA, Maria Luiza Falcão. “Plano Real e âncora cambial”. </w:t>
      </w:r>
      <w:r w:rsidRPr="006C62F6">
        <w:rPr>
          <w:rFonts w:ascii="Arial" w:hAnsi="Arial" w:cs="Arial"/>
          <w:b/>
          <w:sz w:val="24"/>
          <w:szCs w:val="24"/>
        </w:rPr>
        <w:t>Revista de Economia Política</w:t>
      </w:r>
      <w:r w:rsidRPr="0091539B">
        <w:rPr>
          <w:rFonts w:ascii="Arial" w:hAnsi="Arial" w:cs="Arial"/>
          <w:sz w:val="24"/>
          <w:szCs w:val="24"/>
        </w:rPr>
        <w:t>, 2002 22</w:t>
      </w:r>
      <w:r>
        <w:rPr>
          <w:rFonts w:ascii="Arial" w:hAnsi="Arial" w:cs="Arial"/>
          <w:sz w:val="24"/>
          <w:szCs w:val="24"/>
        </w:rPr>
        <w:t xml:space="preserve"> </w:t>
      </w:r>
      <w:r w:rsidRPr="0091539B">
        <w:rPr>
          <w:rFonts w:ascii="Arial" w:hAnsi="Arial" w:cs="Arial"/>
          <w:sz w:val="24"/>
          <w:szCs w:val="24"/>
        </w:rPr>
        <w:t xml:space="preserve">(3): 3-24. Disponível em: </w:t>
      </w:r>
      <w:r w:rsidRPr="006C62F6">
        <w:rPr>
          <w:rFonts w:ascii="Arial" w:hAnsi="Arial" w:cs="Arial"/>
          <w:sz w:val="24"/>
          <w:szCs w:val="24"/>
        </w:rPr>
        <w:t>http://www.rep.org.br/pdf/87-1.pdf</w:t>
      </w:r>
      <w:r>
        <w:rPr>
          <w:rFonts w:ascii="Arial" w:hAnsi="Arial" w:cs="Arial"/>
          <w:sz w:val="24"/>
          <w:szCs w:val="24"/>
        </w:rPr>
        <w:t xml:space="preserve">. </w:t>
      </w:r>
      <w:r w:rsidRPr="0091539B">
        <w:rPr>
          <w:rFonts w:ascii="Arial" w:hAnsi="Arial" w:cs="Arial"/>
          <w:sz w:val="24"/>
          <w:szCs w:val="24"/>
        </w:rPr>
        <w:t>Acesso em</w:t>
      </w:r>
      <w:r>
        <w:rPr>
          <w:rFonts w:ascii="Arial" w:hAnsi="Arial" w:cs="Arial"/>
          <w:sz w:val="24"/>
          <w:szCs w:val="24"/>
        </w:rPr>
        <w:t>:</w:t>
      </w:r>
      <w:r w:rsidRPr="0091539B">
        <w:rPr>
          <w:rFonts w:ascii="Arial" w:hAnsi="Arial" w:cs="Arial"/>
          <w:sz w:val="24"/>
          <w:szCs w:val="24"/>
        </w:rPr>
        <w:t xml:space="preserve"> set</w:t>
      </w:r>
      <w:r>
        <w:rPr>
          <w:rFonts w:ascii="Arial" w:hAnsi="Arial" w:cs="Arial"/>
          <w:sz w:val="24"/>
          <w:szCs w:val="24"/>
        </w:rPr>
        <w:t>.</w:t>
      </w:r>
      <w:r w:rsidRPr="0091539B">
        <w:rPr>
          <w:rFonts w:ascii="Arial" w:hAnsi="Arial" w:cs="Arial"/>
          <w:sz w:val="24"/>
          <w:szCs w:val="24"/>
        </w:rPr>
        <w:t xml:space="preserve"> 2013.</w:t>
      </w:r>
    </w:p>
    <w:p w:rsidR="005E098C" w:rsidRPr="0091539B" w:rsidRDefault="005E098C" w:rsidP="005E098C">
      <w:pPr>
        <w:spacing w:after="300" w:line="240" w:lineRule="auto"/>
        <w:jc w:val="both"/>
        <w:rPr>
          <w:rFonts w:ascii="Arial" w:hAnsi="Arial" w:cs="Arial"/>
          <w:sz w:val="24"/>
          <w:szCs w:val="24"/>
        </w:rPr>
      </w:pPr>
      <w:r w:rsidRPr="0091539B">
        <w:rPr>
          <w:rFonts w:ascii="Arial" w:hAnsi="Arial" w:cs="Arial"/>
          <w:sz w:val="24"/>
          <w:szCs w:val="24"/>
        </w:rPr>
        <w:t xml:space="preserve">SILVA, </w:t>
      </w:r>
      <w:proofErr w:type="spellStart"/>
      <w:r w:rsidRPr="0091539B">
        <w:rPr>
          <w:rFonts w:ascii="Arial" w:hAnsi="Arial" w:cs="Arial"/>
          <w:sz w:val="24"/>
          <w:szCs w:val="24"/>
        </w:rPr>
        <w:t>R.C.L.</w:t>
      </w:r>
      <w:proofErr w:type="spellEnd"/>
      <w:r w:rsidRPr="0091539B">
        <w:rPr>
          <w:rFonts w:ascii="Arial" w:hAnsi="Arial" w:cs="Arial"/>
          <w:sz w:val="24"/>
          <w:szCs w:val="24"/>
        </w:rPr>
        <w:t xml:space="preserve">; NEDUZIAK, </w:t>
      </w:r>
      <w:proofErr w:type="spellStart"/>
      <w:r w:rsidRPr="0091539B">
        <w:rPr>
          <w:rFonts w:ascii="Arial" w:hAnsi="Arial" w:cs="Arial"/>
          <w:sz w:val="24"/>
          <w:szCs w:val="24"/>
        </w:rPr>
        <w:t>L.C.R.</w:t>
      </w:r>
      <w:proofErr w:type="spellEnd"/>
      <w:r w:rsidRPr="0091539B">
        <w:rPr>
          <w:rFonts w:ascii="Arial" w:hAnsi="Arial" w:cs="Arial"/>
          <w:sz w:val="24"/>
          <w:szCs w:val="24"/>
        </w:rPr>
        <w:t xml:space="preserve">; CURADO, </w:t>
      </w:r>
      <w:proofErr w:type="spellStart"/>
      <w:r w:rsidRPr="0091539B">
        <w:rPr>
          <w:rFonts w:ascii="Arial" w:hAnsi="Arial" w:cs="Arial"/>
          <w:sz w:val="24"/>
          <w:szCs w:val="24"/>
        </w:rPr>
        <w:t>M.L.</w:t>
      </w:r>
      <w:proofErr w:type="spellEnd"/>
      <w:r w:rsidRPr="0091539B">
        <w:rPr>
          <w:rFonts w:ascii="Arial" w:hAnsi="Arial" w:cs="Arial"/>
          <w:sz w:val="24"/>
          <w:szCs w:val="24"/>
        </w:rPr>
        <w:t xml:space="preserve"> </w:t>
      </w:r>
      <w:r w:rsidRPr="006C62F6">
        <w:rPr>
          <w:rFonts w:ascii="Arial" w:hAnsi="Arial" w:cs="Arial"/>
          <w:b/>
          <w:sz w:val="24"/>
          <w:szCs w:val="24"/>
        </w:rPr>
        <w:t xml:space="preserve">A curva de Phillips e sua aplicação na economia </w:t>
      </w:r>
      <w:proofErr w:type="spellStart"/>
      <w:r w:rsidRPr="006C62F6">
        <w:rPr>
          <w:rFonts w:ascii="Arial" w:hAnsi="Arial" w:cs="Arial"/>
          <w:b/>
          <w:sz w:val="24"/>
          <w:szCs w:val="24"/>
        </w:rPr>
        <w:t>contemporênea</w:t>
      </w:r>
      <w:proofErr w:type="spellEnd"/>
      <w:r w:rsidRPr="0091539B">
        <w:rPr>
          <w:rFonts w:ascii="Arial" w:hAnsi="Arial" w:cs="Arial"/>
          <w:sz w:val="24"/>
          <w:szCs w:val="24"/>
        </w:rPr>
        <w:t>. 2007.</w:t>
      </w:r>
      <w:r>
        <w:rPr>
          <w:rFonts w:ascii="Arial" w:hAnsi="Arial" w:cs="Arial"/>
          <w:sz w:val="24"/>
          <w:szCs w:val="24"/>
        </w:rPr>
        <w:t xml:space="preserve"> </w:t>
      </w:r>
      <w:r w:rsidRPr="0091539B">
        <w:rPr>
          <w:rFonts w:ascii="Arial" w:hAnsi="Arial" w:cs="Arial"/>
          <w:sz w:val="24"/>
          <w:szCs w:val="24"/>
        </w:rPr>
        <w:t>Disponível em: &lt;</w:t>
      </w:r>
      <w:r w:rsidRPr="0091539B">
        <w:rPr>
          <w:rStyle w:val="apple-converted-space"/>
          <w:rFonts w:ascii="Arial" w:hAnsi="Arial" w:cs="Arial"/>
          <w:sz w:val="24"/>
          <w:szCs w:val="24"/>
        </w:rPr>
        <w:t> </w:t>
      </w:r>
      <w:hyperlink r:id="rId26" w:tgtFrame="_blank" w:history="1">
        <w:r w:rsidRPr="0091539B">
          <w:rPr>
            <w:rStyle w:val="Hyperlink"/>
            <w:rFonts w:ascii="Arial" w:hAnsi="Arial" w:cs="Arial"/>
            <w:color w:val="auto"/>
            <w:sz w:val="24"/>
            <w:szCs w:val="24"/>
          </w:rPr>
          <w:t>http://www.peteconomia.ufpr.br/banco_de_arquivos/00002_Rodrigo_cl_lima_e_silva_curva_de_philips_e_aplicacao.pdf</w:t>
        </w:r>
      </w:hyperlink>
      <w:r w:rsidRPr="0091539B">
        <w:rPr>
          <w:rFonts w:ascii="Arial" w:hAnsi="Arial" w:cs="Arial"/>
          <w:sz w:val="24"/>
          <w:szCs w:val="24"/>
        </w:rPr>
        <w:t>&gt;. Acesso em</w:t>
      </w:r>
      <w:r>
        <w:rPr>
          <w:rFonts w:ascii="Arial" w:hAnsi="Arial" w:cs="Arial"/>
          <w:sz w:val="24"/>
          <w:szCs w:val="24"/>
        </w:rPr>
        <w:t>:</w:t>
      </w:r>
      <w:r w:rsidRPr="0091539B">
        <w:rPr>
          <w:rFonts w:ascii="Arial" w:hAnsi="Arial" w:cs="Arial"/>
          <w:sz w:val="24"/>
          <w:szCs w:val="24"/>
        </w:rPr>
        <w:t xml:space="preserve"> set</w:t>
      </w:r>
      <w:r>
        <w:rPr>
          <w:rFonts w:ascii="Arial" w:hAnsi="Arial" w:cs="Arial"/>
          <w:sz w:val="24"/>
          <w:szCs w:val="24"/>
        </w:rPr>
        <w:t>. 2013.</w:t>
      </w:r>
    </w:p>
    <w:p w:rsidR="005E098C" w:rsidRDefault="005E098C"/>
    <w:sectPr w:rsidR="005E098C" w:rsidSect="000E724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80B" w:rsidRDefault="007E080B" w:rsidP="007E080B">
      <w:pPr>
        <w:spacing w:after="0" w:line="240" w:lineRule="auto"/>
      </w:pPr>
      <w:r>
        <w:separator/>
      </w:r>
    </w:p>
  </w:endnote>
  <w:endnote w:type="continuationSeparator" w:id="1">
    <w:p w:rsidR="007E080B" w:rsidRDefault="007E080B" w:rsidP="007E0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FBX1728">
    <w:altName w:val="Times New Roman"/>
    <w:charset w:val="00"/>
    <w:family w:val="auto"/>
    <w:pitch w:val="default"/>
    <w:sig w:usb0="00000000" w:usb1="00000000" w:usb2="00000000" w:usb3="00000000" w:csb0="00000000" w:csb1="00000000"/>
  </w:font>
  <w:font w:name="SFRM0700">
    <w:altName w:val="Times New Roman"/>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80B" w:rsidRDefault="007E080B" w:rsidP="007E080B">
      <w:pPr>
        <w:spacing w:after="0" w:line="240" w:lineRule="auto"/>
      </w:pPr>
      <w:r>
        <w:separator/>
      </w:r>
    </w:p>
  </w:footnote>
  <w:footnote w:type="continuationSeparator" w:id="1">
    <w:p w:rsidR="007E080B" w:rsidRDefault="007E080B" w:rsidP="007E080B">
      <w:pPr>
        <w:spacing w:after="0" w:line="240" w:lineRule="auto"/>
      </w:pPr>
      <w:r>
        <w:continuationSeparator/>
      </w:r>
    </w:p>
  </w:footnote>
  <w:footnote w:id="2">
    <w:p w:rsidR="007E080B" w:rsidRDefault="007E080B" w:rsidP="007E080B">
      <w:pPr>
        <w:pStyle w:val="Textodenotaderodap"/>
        <w:spacing w:line="240" w:lineRule="auto"/>
        <w:jc w:val="both"/>
      </w:pPr>
      <w:r w:rsidRPr="00E8109D">
        <w:rPr>
          <w:rStyle w:val="Refdenotaderodap"/>
          <w:rFonts w:ascii="Arial" w:hAnsi="Arial" w:cs="Arial"/>
        </w:rPr>
        <w:footnoteRef/>
      </w:r>
      <w:r w:rsidRPr="00E8109D">
        <w:rPr>
          <w:rFonts w:ascii="Arial" w:hAnsi="Arial" w:cs="Arial"/>
        </w:rPr>
        <w:t xml:space="preserve"> Países que adotaram o regime de metas antes do Brasil: Nova Zelândia, Canadá, Reino Unido, Austrália, Chile e Polônia.</w:t>
      </w:r>
      <w:r>
        <w:rPr>
          <w:rFonts w:ascii="Arial" w:hAnsi="Arial" w:cs="Arial"/>
        </w:rPr>
        <w:t>(</w:t>
      </w:r>
      <w:proofErr w:type="spellStart"/>
      <w:r>
        <w:rPr>
          <w:rFonts w:ascii="Arial" w:hAnsi="Arial" w:cs="Arial"/>
        </w:rPr>
        <w:t>Iahn</w:t>
      </w:r>
      <w:proofErr w:type="spellEnd"/>
      <w:r>
        <w:rPr>
          <w:rFonts w:ascii="Arial" w:hAnsi="Arial" w:cs="Arial"/>
        </w:rPr>
        <w:t xml:space="preserve"> e </w:t>
      </w:r>
      <w:proofErr w:type="spellStart"/>
      <w:r>
        <w:rPr>
          <w:rFonts w:ascii="Arial" w:hAnsi="Arial" w:cs="Arial"/>
        </w:rPr>
        <w:t>Missio</w:t>
      </w:r>
      <w:proofErr w:type="spellEnd"/>
      <w:r>
        <w:rPr>
          <w:rFonts w:ascii="Arial" w:hAnsi="Arial" w:cs="Arial"/>
        </w:rPr>
        <w:t xml:space="preserve"> ,2009)</w:t>
      </w:r>
    </w:p>
  </w:footnote>
  <w:footnote w:id="3">
    <w:p w:rsidR="007E080B" w:rsidRDefault="007E080B" w:rsidP="007E080B">
      <w:pPr>
        <w:pStyle w:val="Textodenotaderodap"/>
        <w:spacing w:line="240" w:lineRule="auto"/>
        <w:jc w:val="both"/>
      </w:pPr>
      <w:r>
        <w:rPr>
          <w:rStyle w:val="Refdenotaderodap"/>
        </w:rPr>
        <w:footnoteRef/>
      </w:r>
      <w:r>
        <w:t xml:space="preserve"> </w:t>
      </w:r>
      <w:r w:rsidRPr="000A3FA4">
        <w:rPr>
          <w:rFonts w:ascii="Arial" w:hAnsi="Arial" w:cs="Arial"/>
        </w:rPr>
        <w:t>Planos de Estabilização anteriores ao Plano Real : Plano Cruzado</w:t>
      </w:r>
      <w:r w:rsidRPr="000A3FA4">
        <w:rPr>
          <w:rFonts w:ascii="Arial" w:hAnsi="Arial" w:cs="Arial"/>
          <w:bCs/>
        </w:rPr>
        <w:t xml:space="preserve">, </w:t>
      </w:r>
      <w:r w:rsidRPr="000A3FA4">
        <w:rPr>
          <w:rFonts w:ascii="Arial" w:hAnsi="Arial" w:cs="Arial"/>
        </w:rPr>
        <w:t>Plano Bresser, Plano Verão</w:t>
      </w:r>
      <w:r w:rsidRPr="000A3FA4">
        <w:rPr>
          <w:rFonts w:ascii="Arial" w:hAnsi="Arial" w:cs="Arial"/>
          <w:bCs/>
        </w:rPr>
        <w:t xml:space="preserve">, </w:t>
      </w:r>
      <w:r w:rsidRPr="000A3FA4">
        <w:rPr>
          <w:rFonts w:ascii="Arial" w:hAnsi="Arial" w:cs="Arial"/>
        </w:rPr>
        <w:t xml:space="preserve">Plano Collor I  </w:t>
      </w:r>
      <w:r w:rsidRPr="000A3FA4">
        <w:rPr>
          <w:rFonts w:ascii="Arial" w:hAnsi="Arial" w:cs="Arial"/>
          <w:bCs/>
        </w:rPr>
        <w:t>e o</w:t>
      </w:r>
      <w:r w:rsidRPr="000A3FA4">
        <w:rPr>
          <w:rFonts w:ascii="Arial" w:hAnsi="Arial" w:cs="Arial"/>
        </w:rPr>
        <w:t xml:space="preserve"> Plano Collor II.</w:t>
      </w:r>
      <w:r>
        <w:rPr>
          <w:rFonts w:ascii="Arial" w:hAnsi="Arial" w:cs="Arial"/>
        </w:rPr>
        <w:t xml:space="preserve"> (MODENESI,2010)</w:t>
      </w:r>
    </w:p>
  </w:footnote>
  <w:footnote w:id="4">
    <w:p w:rsidR="007E080B" w:rsidRPr="00A01689" w:rsidRDefault="007E080B" w:rsidP="007E080B">
      <w:pPr>
        <w:pStyle w:val="Textodenotaderodap"/>
        <w:spacing w:line="240" w:lineRule="auto"/>
        <w:jc w:val="both"/>
        <w:rPr>
          <w:rFonts w:ascii="Arial" w:hAnsi="Arial" w:cs="Arial"/>
        </w:rPr>
      </w:pPr>
      <w:r w:rsidRPr="00A01689">
        <w:rPr>
          <w:rStyle w:val="Refdenotaderodap"/>
          <w:rFonts w:ascii="Arial" w:hAnsi="Arial" w:cs="Arial"/>
        </w:rPr>
        <w:footnoteRef/>
      </w:r>
      <w:r w:rsidRPr="00A01689">
        <w:rPr>
          <w:rFonts w:ascii="Arial" w:hAnsi="Arial" w:cs="Arial"/>
        </w:rPr>
        <w:t xml:space="preserve"> A Regra de Taylor será posteriormente explicada.</w:t>
      </w:r>
    </w:p>
  </w:footnote>
  <w:footnote w:id="5">
    <w:p w:rsidR="007E080B" w:rsidRPr="00707EC1" w:rsidRDefault="007E080B" w:rsidP="007E080B">
      <w:pPr>
        <w:pStyle w:val="Textodenotaderodap"/>
        <w:spacing w:line="240" w:lineRule="auto"/>
        <w:jc w:val="both"/>
        <w:rPr>
          <w:rFonts w:ascii="Arial" w:hAnsi="Arial" w:cs="Arial"/>
        </w:rPr>
      </w:pPr>
      <w:r w:rsidRPr="00707EC1">
        <w:rPr>
          <w:rStyle w:val="Refdenotaderodap"/>
          <w:rFonts w:ascii="Arial" w:hAnsi="Arial" w:cs="Arial"/>
        </w:rPr>
        <w:footnoteRef/>
      </w:r>
      <w:r w:rsidRPr="00707EC1">
        <w:rPr>
          <w:rFonts w:ascii="Arial" w:hAnsi="Arial" w:cs="Arial"/>
        </w:rPr>
        <w:t xml:space="preserve"> A taxa de juros é a principal variável utilizada pelas autoridades brasileiras para o controle da inflação.</w:t>
      </w:r>
    </w:p>
  </w:footnote>
  <w:footnote w:id="6">
    <w:p w:rsidR="007E080B" w:rsidRPr="00717FB4" w:rsidRDefault="007E080B" w:rsidP="007E080B">
      <w:pPr>
        <w:pStyle w:val="Textodenotaderodap"/>
        <w:spacing w:after="0" w:line="240" w:lineRule="auto"/>
        <w:jc w:val="both"/>
        <w:rPr>
          <w:rFonts w:ascii="Arial" w:hAnsi="Arial" w:cs="Arial"/>
        </w:rPr>
      </w:pPr>
      <w:r w:rsidRPr="00717FB4">
        <w:rPr>
          <w:rStyle w:val="Refdenotaderodap"/>
          <w:rFonts w:ascii="Arial" w:hAnsi="Arial" w:cs="Arial"/>
        </w:rPr>
        <w:footnoteRef/>
      </w:r>
      <w:r w:rsidRPr="00717FB4">
        <w:rPr>
          <w:rFonts w:ascii="Arial" w:hAnsi="Arial" w:cs="Arial"/>
        </w:rPr>
        <w:t xml:space="preserve"> O trabalho de Leal(2010) não está mais disponível para acesso na internet. </w:t>
      </w:r>
    </w:p>
  </w:footnote>
  <w:footnote w:id="7">
    <w:p w:rsidR="007E080B" w:rsidRPr="00717FB4" w:rsidRDefault="007E080B" w:rsidP="007E080B">
      <w:pPr>
        <w:pStyle w:val="Textodenotaderodap"/>
        <w:spacing w:after="0" w:line="240" w:lineRule="auto"/>
        <w:contextualSpacing/>
        <w:jc w:val="both"/>
        <w:rPr>
          <w:rFonts w:ascii="Arial" w:hAnsi="Arial" w:cs="Arial"/>
        </w:rPr>
      </w:pPr>
      <w:r w:rsidRPr="00717FB4">
        <w:rPr>
          <w:rStyle w:val="Refdenotaderodap"/>
          <w:rFonts w:ascii="Arial" w:hAnsi="Arial" w:cs="Arial"/>
        </w:rPr>
        <w:footnoteRef/>
      </w:r>
      <w:r w:rsidRPr="00717FB4">
        <w:rPr>
          <w:rFonts w:ascii="Arial" w:hAnsi="Arial" w:cs="Arial"/>
        </w:rPr>
        <w:t xml:space="preserve"> A mensuração da eficácia e eficiência será feita à partir do ano 2000 devido ao fato da meta ter sido adotada em 1999 e este ano apresentar uma quebra estrutural na série de taxa de juros, advindos de choques externos.(Leal 2010, apud Leal e Feijó 2011)</w:t>
      </w:r>
    </w:p>
  </w:footnote>
  <w:footnote w:id="8">
    <w:p w:rsidR="007E080B" w:rsidRPr="005D67DD" w:rsidRDefault="007E080B" w:rsidP="007E080B">
      <w:pPr>
        <w:pStyle w:val="Textodenotaderodap"/>
        <w:spacing w:after="0" w:line="240" w:lineRule="auto"/>
        <w:jc w:val="both"/>
        <w:rPr>
          <w:rFonts w:ascii="Arial" w:hAnsi="Arial" w:cs="Arial"/>
        </w:rPr>
      </w:pPr>
      <w:r w:rsidRPr="00717FB4">
        <w:rPr>
          <w:rStyle w:val="Refdenotaderodap"/>
          <w:rFonts w:ascii="Arial" w:hAnsi="Arial" w:cs="Arial"/>
        </w:rPr>
        <w:footnoteRef/>
      </w:r>
      <w:r w:rsidRPr="00717FB4">
        <w:rPr>
          <w:rFonts w:ascii="Arial" w:hAnsi="Arial" w:cs="Arial"/>
        </w:rPr>
        <w:t xml:space="preserve"> A meta a ser seguida como função objetivo não é um valor pontual, mas sim , um intervalo definido pelos Limites inferiores e superiores.</w:t>
      </w:r>
    </w:p>
  </w:footnote>
  <w:footnote w:id="9">
    <w:p w:rsidR="007E080B" w:rsidRPr="00C9654E" w:rsidRDefault="007E080B" w:rsidP="007E080B">
      <w:pPr>
        <w:pStyle w:val="Textodenotaderodap"/>
        <w:spacing w:after="0" w:line="240" w:lineRule="auto"/>
        <w:jc w:val="both"/>
        <w:rPr>
          <w:rFonts w:ascii="Arial" w:hAnsi="Arial" w:cs="Arial"/>
        </w:rPr>
      </w:pPr>
      <w:r w:rsidRPr="00C9654E">
        <w:rPr>
          <w:rStyle w:val="Refdenotaderodap"/>
          <w:rFonts w:ascii="Arial" w:hAnsi="Arial" w:cs="Arial"/>
        </w:rPr>
        <w:footnoteRef/>
      </w:r>
      <w:r w:rsidRPr="00C9654E">
        <w:rPr>
          <w:rFonts w:ascii="Arial" w:hAnsi="Arial" w:cs="Arial"/>
        </w:rPr>
        <w:t xml:space="preserve"> GARCIA, Ronaldo C. Subsídios para organizar avaliações da ação governamental, 2001.</w:t>
      </w:r>
      <w:r w:rsidRPr="00C9654E">
        <w:rPr>
          <w:rFonts w:ascii="Arial" w:hAnsi="Arial" w:cs="Arial"/>
          <w:b/>
          <w:bCs/>
        </w:rPr>
        <w:t>Planejamento e Políticas Públicas</w:t>
      </w:r>
    </w:p>
  </w:footnote>
  <w:footnote w:id="10">
    <w:p w:rsidR="007E080B" w:rsidRPr="00A52E65" w:rsidRDefault="007E080B" w:rsidP="007E080B">
      <w:pPr>
        <w:pStyle w:val="Textodenotaderodap"/>
        <w:spacing w:after="0" w:line="240" w:lineRule="auto"/>
        <w:jc w:val="both"/>
        <w:rPr>
          <w:rFonts w:ascii="Arial" w:hAnsi="Arial" w:cs="Arial"/>
        </w:rPr>
      </w:pPr>
      <w:r w:rsidRPr="00C9654E">
        <w:rPr>
          <w:rStyle w:val="Refdenotaderodap"/>
          <w:rFonts w:ascii="Arial" w:hAnsi="Arial" w:cs="Arial"/>
        </w:rPr>
        <w:footnoteRef/>
      </w:r>
      <w:r w:rsidRPr="00C9654E">
        <w:rPr>
          <w:rFonts w:ascii="Arial" w:hAnsi="Arial" w:cs="Arial"/>
        </w:rPr>
        <w:t xml:space="preserve"> Diferentemente da política fiscal, no caso da política monetária, o tempo efetivo será igual ao tempo esperado de forma que esta variável não será relevante para o estudo. Dessa forma será substituída pela taxa de juros nominal de curto prazo.(LEAL e FEIJÓ,2011)</w:t>
      </w:r>
    </w:p>
  </w:footnote>
  <w:footnote w:id="11">
    <w:p w:rsidR="007E080B" w:rsidRPr="00707EC1" w:rsidRDefault="007E080B" w:rsidP="007E080B">
      <w:pPr>
        <w:pStyle w:val="Textodenotaderodap"/>
        <w:spacing w:line="240" w:lineRule="auto"/>
        <w:jc w:val="both"/>
        <w:rPr>
          <w:rFonts w:ascii="Arial" w:hAnsi="Arial" w:cs="Arial"/>
        </w:rPr>
      </w:pPr>
      <w:r w:rsidRPr="00707EC1">
        <w:rPr>
          <w:rStyle w:val="Refdenotaderodap"/>
          <w:rFonts w:ascii="Arial" w:hAnsi="Arial" w:cs="Arial"/>
        </w:rPr>
        <w:footnoteRef/>
      </w:r>
      <w:r w:rsidRPr="00707EC1">
        <w:rPr>
          <w:rFonts w:ascii="Arial" w:hAnsi="Arial" w:cs="Arial"/>
        </w:rPr>
        <w:t xml:space="preserve"> Esta metodologia é uma adaptação do trabalho de Garcia (2001) , referente à Política Fiscal onde substituiu-se a variável tempo pela </w:t>
      </w:r>
      <w:r w:rsidRPr="00707EC1">
        <w:rPr>
          <w:rFonts w:ascii="Arial" w:hAnsi="Arial" w:cs="Arial"/>
          <w:i/>
        </w:rPr>
        <w:t xml:space="preserve">taxa de juros nominal </w:t>
      </w:r>
      <w:r w:rsidRPr="00707EC1">
        <w:rPr>
          <w:rFonts w:ascii="Arial" w:hAnsi="Arial" w:cs="Arial"/>
        </w:rPr>
        <w:t>, no intuito de garantir a apli</w:t>
      </w:r>
      <w:r>
        <w:rPr>
          <w:rFonts w:ascii="Arial" w:hAnsi="Arial" w:cs="Arial"/>
        </w:rPr>
        <w:t>cabilidade à política monetária,</w:t>
      </w:r>
      <w:r w:rsidRPr="00707EC1">
        <w:rPr>
          <w:rFonts w:ascii="Arial" w:hAnsi="Arial" w:cs="Arial"/>
        </w:rPr>
        <w:t xml:space="preserve"> proposta por Leal (2010)</w:t>
      </w:r>
      <w:r>
        <w:rPr>
          <w:rFonts w:ascii="Arial" w:hAnsi="Arial" w:cs="Arial"/>
        </w:rPr>
        <w:t xml:space="preserve"> e utilizada por Leal e Feijó (2011)</w:t>
      </w:r>
    </w:p>
  </w:footnote>
  <w:footnote w:id="12">
    <w:p w:rsidR="007E080B" w:rsidRPr="00543154" w:rsidRDefault="007E080B" w:rsidP="007E080B">
      <w:pPr>
        <w:pStyle w:val="Textodenotaderodap"/>
        <w:spacing w:line="240" w:lineRule="auto"/>
        <w:jc w:val="both"/>
        <w:rPr>
          <w:rFonts w:ascii="Arial" w:hAnsi="Arial" w:cs="Arial"/>
        </w:rPr>
      </w:pPr>
      <w:r w:rsidRPr="00543154">
        <w:rPr>
          <w:rStyle w:val="Refdenotaderodap"/>
          <w:rFonts w:ascii="Arial" w:hAnsi="Arial" w:cs="Arial"/>
        </w:rPr>
        <w:footnoteRef/>
      </w:r>
      <w:r w:rsidRPr="00543154">
        <w:rPr>
          <w:rFonts w:ascii="Arial" w:hAnsi="Arial" w:cs="Arial"/>
        </w:rPr>
        <w:t xml:space="preserve"> Observa-se que todas as variáveis possuem o mesmo peso. (Leal e Feijó,2011)</w:t>
      </w:r>
    </w:p>
  </w:footnote>
  <w:footnote w:id="13">
    <w:p w:rsidR="007E080B" w:rsidRPr="00364EA7" w:rsidRDefault="007E080B" w:rsidP="007E080B">
      <w:pPr>
        <w:pStyle w:val="Ttulo3"/>
        <w:spacing w:before="0" w:after="0" w:line="240" w:lineRule="auto"/>
        <w:contextualSpacing/>
        <w:jc w:val="both"/>
        <w:rPr>
          <w:rFonts w:ascii="Arial" w:hAnsi="Arial" w:cs="Arial"/>
          <w:b w:val="0"/>
          <w:sz w:val="20"/>
          <w:szCs w:val="20"/>
          <w:lang w:val="pt-BR"/>
        </w:rPr>
      </w:pPr>
      <w:r w:rsidRPr="00A961D8">
        <w:rPr>
          <w:rStyle w:val="Refdenotaderodap"/>
          <w:rFonts w:ascii="Arial" w:hAnsi="Arial" w:cs="Arial"/>
          <w:sz w:val="20"/>
          <w:szCs w:val="20"/>
        </w:rPr>
        <w:footnoteRef/>
      </w:r>
      <w:r w:rsidRPr="00A961D8">
        <w:rPr>
          <w:rFonts w:ascii="Arial" w:hAnsi="Arial" w:cs="Arial"/>
          <w:sz w:val="20"/>
          <w:szCs w:val="20"/>
        </w:rPr>
        <w:t xml:space="preserve"> </w:t>
      </w:r>
      <w:r w:rsidRPr="00A961D8">
        <w:rPr>
          <w:rFonts w:ascii="Arial" w:hAnsi="Arial" w:cs="Arial"/>
          <w:b w:val="0"/>
          <w:sz w:val="20"/>
          <w:szCs w:val="20"/>
        </w:rPr>
        <w:t xml:space="preserve">A opção por </w:t>
      </w:r>
      <w:proofErr w:type="spellStart"/>
      <w:r w:rsidRPr="00A961D8">
        <w:rPr>
          <w:rFonts w:ascii="Arial" w:hAnsi="Arial" w:cs="Arial"/>
          <w:b w:val="0"/>
          <w:i/>
          <w:iCs/>
          <w:sz w:val="20"/>
          <w:szCs w:val="20"/>
        </w:rPr>
        <w:t>L²</w:t>
      </w:r>
      <w:proofErr w:type="spellEnd"/>
      <w:r w:rsidRPr="00A961D8">
        <w:rPr>
          <w:rFonts w:ascii="Arial" w:hAnsi="Arial" w:cs="Arial"/>
          <w:b w:val="0"/>
          <w:i/>
          <w:iCs/>
          <w:sz w:val="20"/>
          <w:szCs w:val="20"/>
        </w:rPr>
        <w:t xml:space="preserve"> </w:t>
      </w:r>
      <w:r w:rsidRPr="00A961D8">
        <w:rPr>
          <w:rFonts w:ascii="Arial" w:hAnsi="Arial" w:cs="Arial"/>
          <w:b w:val="0"/>
          <w:sz w:val="20"/>
          <w:szCs w:val="20"/>
        </w:rPr>
        <w:t>justifica-se pelo motivo de não</w:t>
      </w:r>
      <w:r>
        <w:rPr>
          <w:rFonts w:ascii="Arial" w:hAnsi="Arial" w:cs="Arial"/>
          <w:b w:val="0"/>
          <w:sz w:val="20"/>
          <w:szCs w:val="20"/>
        </w:rPr>
        <w:t xml:space="preserve"> ter sido adotado apenas um pon</w:t>
      </w:r>
      <w:r w:rsidRPr="00A961D8">
        <w:rPr>
          <w:rFonts w:ascii="Arial" w:hAnsi="Arial" w:cs="Arial"/>
          <w:b w:val="0"/>
          <w:sz w:val="20"/>
          <w:szCs w:val="20"/>
        </w:rPr>
        <w:t>to focal para a meta de inflação, e sim uma banda de flutuação. E é o limite superior, e não o inferior, que vem historicamente definindo se a meta é atingida ou não.</w:t>
      </w:r>
      <w:r>
        <w:rPr>
          <w:rFonts w:ascii="Arial" w:hAnsi="Arial" w:cs="Arial"/>
          <w:b w:val="0"/>
          <w:sz w:val="20"/>
          <w:szCs w:val="20"/>
          <w:lang w:val="pt-BR"/>
        </w:rPr>
        <w:t>(Leal e Feijó , 2011).</w:t>
      </w:r>
    </w:p>
  </w:footnote>
  <w:footnote w:id="14">
    <w:p w:rsidR="007E080B" w:rsidRDefault="007E080B" w:rsidP="007E080B">
      <w:pPr>
        <w:pStyle w:val="Textodenotaderodap"/>
        <w:spacing w:after="0" w:line="240" w:lineRule="auto"/>
        <w:contextualSpacing/>
        <w:jc w:val="both"/>
      </w:pPr>
      <w:r w:rsidRPr="00A961D8">
        <w:rPr>
          <w:rStyle w:val="Refdenotaderodap"/>
          <w:rFonts w:ascii="Arial" w:hAnsi="Arial" w:cs="Arial"/>
        </w:rPr>
        <w:footnoteRef/>
      </w:r>
      <w:r w:rsidRPr="00A961D8">
        <w:rPr>
          <w:rFonts w:ascii="Arial" w:hAnsi="Arial" w:cs="Arial"/>
        </w:rPr>
        <w:t xml:space="preserve">  O alto valor da inflação efe</w:t>
      </w:r>
      <w:r>
        <w:rPr>
          <w:rFonts w:ascii="Arial" w:hAnsi="Arial" w:cs="Arial"/>
        </w:rPr>
        <w:t>tiva observado no  ano de 2002 é</w:t>
      </w:r>
      <w:r w:rsidRPr="00A961D8">
        <w:rPr>
          <w:rFonts w:ascii="Arial" w:hAnsi="Arial" w:cs="Arial"/>
        </w:rPr>
        <w:t xml:space="preserve"> decorrente da incerteza gerada no mercado pela eleição do  presidente Lula.</w:t>
      </w:r>
    </w:p>
  </w:footnote>
  <w:footnote w:id="15">
    <w:p w:rsidR="007E080B" w:rsidRDefault="007E080B" w:rsidP="007E080B">
      <w:pPr>
        <w:pStyle w:val="Textodenotaderodap"/>
      </w:pPr>
      <w:r>
        <w:rPr>
          <w:rStyle w:val="Refdenotaderodap"/>
        </w:rPr>
        <w:footnoteRef/>
      </w:r>
      <w:r>
        <w:t xml:space="preserve"> O fato de a política ser ineficaz está relacionada ao não cumprimento da meta ou ao cumprimento com a presença de taxas de juros efetivas . Para o período destacado , o nível da taxa de juros programada foi bastante inferior ao efetivo, fato este , devido à grande incerteza no mercado.</w:t>
      </w:r>
    </w:p>
  </w:footnote>
  <w:footnote w:id="16">
    <w:p w:rsidR="007E080B" w:rsidRPr="00955550" w:rsidRDefault="007E080B" w:rsidP="007E080B">
      <w:pPr>
        <w:pStyle w:val="Textodenotaderodap"/>
        <w:spacing w:after="0" w:line="240" w:lineRule="auto"/>
        <w:jc w:val="both"/>
        <w:rPr>
          <w:rFonts w:ascii="Arial" w:hAnsi="Arial" w:cs="Arial"/>
        </w:rPr>
      </w:pPr>
      <w:r w:rsidRPr="00955550">
        <w:rPr>
          <w:rStyle w:val="Refdenotaderodap"/>
          <w:rFonts w:ascii="Arial" w:hAnsi="Arial" w:cs="Arial"/>
        </w:rPr>
        <w:footnoteRef/>
      </w:r>
      <w:r w:rsidRPr="00955550">
        <w:rPr>
          <w:rFonts w:ascii="Arial" w:hAnsi="Arial" w:cs="Arial"/>
        </w:rPr>
        <w:t xml:space="preserve"> A análise comparativa entre os  Governos será feita posteriormente. </w:t>
      </w:r>
    </w:p>
  </w:footnote>
  <w:footnote w:id="17">
    <w:p w:rsidR="007E080B" w:rsidRPr="00955550" w:rsidRDefault="007E080B" w:rsidP="007E080B">
      <w:pPr>
        <w:pStyle w:val="Textodenotaderodap"/>
        <w:spacing w:after="0" w:line="240" w:lineRule="auto"/>
        <w:jc w:val="both"/>
        <w:rPr>
          <w:rFonts w:ascii="Arial" w:hAnsi="Arial" w:cs="Arial"/>
        </w:rPr>
      </w:pPr>
      <w:r w:rsidRPr="00955550">
        <w:rPr>
          <w:rStyle w:val="Refdenotaderodap"/>
          <w:rFonts w:ascii="Arial" w:hAnsi="Arial" w:cs="Arial"/>
        </w:rPr>
        <w:footnoteRef/>
      </w:r>
      <w:r w:rsidRPr="00955550">
        <w:rPr>
          <w:rFonts w:ascii="Arial" w:hAnsi="Arial" w:cs="Arial"/>
        </w:rPr>
        <w:t xml:space="preserve"> O choque de incerteza gerado pela vitória de Lula fez com que ele fizesse a "Carta aos Brasileir</w:t>
      </w:r>
      <w:r>
        <w:rPr>
          <w:rFonts w:ascii="Arial" w:hAnsi="Arial" w:cs="Arial"/>
        </w:rPr>
        <w:t>os"</w:t>
      </w:r>
      <w:r w:rsidRPr="00955550">
        <w:rPr>
          <w:rFonts w:ascii="Arial" w:hAnsi="Arial" w:cs="Arial"/>
        </w:rPr>
        <w:t xml:space="preserve">, no intuito de diminuir as expectativas negativas em relação ao seu governo. </w:t>
      </w:r>
    </w:p>
  </w:footnote>
  <w:footnote w:id="18">
    <w:p w:rsidR="007E080B" w:rsidRDefault="007E080B" w:rsidP="007E080B">
      <w:pPr>
        <w:pStyle w:val="Textodenotaderodap"/>
        <w:widowControl w:val="0"/>
        <w:spacing w:after="0" w:line="240" w:lineRule="auto"/>
        <w:rPr>
          <w:rFonts w:ascii="Arial" w:hAnsi="Arial" w:cs="Arial"/>
        </w:rPr>
      </w:pPr>
      <w:r w:rsidRPr="00913F57">
        <w:rPr>
          <w:rStyle w:val="Refdenotaderodap"/>
          <w:rFonts w:ascii="Arial" w:hAnsi="Arial" w:cs="Arial"/>
        </w:rPr>
        <w:footnoteRef/>
      </w:r>
      <w:r w:rsidRPr="00913F57">
        <w:rPr>
          <w:rFonts w:ascii="Arial" w:hAnsi="Arial" w:cs="Arial"/>
        </w:rPr>
        <w:t xml:space="preserve"> Pode-se dizer que a ineficácia e ineficiência dos dois primeiros anos do mandato de Lula está atribuído à herança deixada por FHC.</w:t>
      </w:r>
    </w:p>
    <w:p w:rsidR="005E098C" w:rsidRPr="00913F57" w:rsidRDefault="005E098C" w:rsidP="007E080B">
      <w:pPr>
        <w:pStyle w:val="Textodenotaderodap"/>
        <w:widowControl w:val="0"/>
        <w:spacing w:after="0" w:line="240" w:lineRule="auto"/>
        <w:rPr>
          <w:rFonts w:ascii="Arial" w:hAnsi="Arial" w:cs="Aria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67A29"/>
    <w:multiLevelType w:val="hybridMultilevel"/>
    <w:tmpl w:val="2806D5F0"/>
    <w:lvl w:ilvl="0" w:tplc="04160005">
      <w:start w:val="1"/>
      <w:numFmt w:val="bullet"/>
      <w:lvlText w:val=""/>
      <w:lvlJc w:val="left"/>
      <w:pPr>
        <w:ind w:left="1080" w:hanging="72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B762EE1"/>
    <w:multiLevelType w:val="hybridMultilevel"/>
    <w:tmpl w:val="990001CA"/>
    <w:lvl w:ilvl="0" w:tplc="04160005">
      <w:start w:val="1"/>
      <w:numFmt w:val="bullet"/>
      <w:lvlText w:val=""/>
      <w:lvlJc w:val="left"/>
      <w:pPr>
        <w:ind w:left="1080" w:hanging="72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95646C4"/>
    <w:multiLevelType w:val="hybridMultilevel"/>
    <w:tmpl w:val="FBD00D56"/>
    <w:lvl w:ilvl="0" w:tplc="04160005">
      <w:start w:val="1"/>
      <w:numFmt w:val="bullet"/>
      <w:lvlText w:val=""/>
      <w:lvlJc w:val="left"/>
      <w:pPr>
        <w:ind w:left="1428" w:hanging="720"/>
      </w:pPr>
      <w:rPr>
        <w:rFonts w:ascii="Wingdings" w:hAnsi="Wingding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7C1E5733"/>
    <w:multiLevelType w:val="hybridMultilevel"/>
    <w:tmpl w:val="3ECC7C0C"/>
    <w:lvl w:ilvl="0" w:tplc="04160005">
      <w:start w:val="1"/>
      <w:numFmt w:val="bullet"/>
      <w:lvlText w:val=""/>
      <w:lvlJc w:val="left"/>
      <w:pPr>
        <w:ind w:left="1428" w:hanging="720"/>
      </w:pPr>
      <w:rPr>
        <w:rFonts w:ascii="Wingdings" w:hAnsi="Wingding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7E080B"/>
    <w:rsid w:val="000E724C"/>
    <w:rsid w:val="005E098C"/>
    <w:rsid w:val="007E080B"/>
    <w:rsid w:val="008167E4"/>
    <w:rsid w:val="00ED52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0B"/>
    <w:rPr>
      <w:rFonts w:ascii="Calibri" w:eastAsia="Times New Roman" w:hAnsi="Calibri" w:cs="Times New Roman"/>
      <w:lang w:eastAsia="pt-BR"/>
    </w:rPr>
  </w:style>
  <w:style w:type="paragraph" w:styleId="Ttulo3">
    <w:name w:val="heading 3"/>
    <w:basedOn w:val="Normal"/>
    <w:next w:val="Normal"/>
    <w:link w:val="Ttulo3Char"/>
    <w:uiPriority w:val="9"/>
    <w:unhideWhenUsed/>
    <w:qFormat/>
    <w:rsid w:val="007E080B"/>
    <w:pPr>
      <w:keepNext/>
      <w:spacing w:before="240" w:after="60"/>
      <w:outlineLvl w:val="2"/>
    </w:pPr>
    <w:rPr>
      <w:rFonts w:ascii="Cambria" w:hAnsi="Cambria"/>
      <w:b/>
      <w:bCs/>
      <w:sz w:val="26"/>
      <w:szCs w:val="26"/>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ROLTTULO1">
    <w:name w:val="CAROL TÍTULO 1"/>
    <w:basedOn w:val="Normal"/>
    <w:qFormat/>
    <w:rsid w:val="007E080B"/>
    <w:pPr>
      <w:widowControl w:val="0"/>
      <w:autoSpaceDE w:val="0"/>
      <w:autoSpaceDN w:val="0"/>
      <w:adjustRightInd w:val="0"/>
      <w:spacing w:after="300" w:line="240" w:lineRule="auto"/>
      <w:ind w:right="-7"/>
      <w:jc w:val="both"/>
    </w:pPr>
    <w:rPr>
      <w:rFonts w:ascii="Arial" w:hAnsi="Arial" w:cs="Arial"/>
      <w:b/>
      <w:bCs/>
      <w:color w:val="000000"/>
      <w:sz w:val="24"/>
      <w:szCs w:val="24"/>
    </w:rPr>
  </w:style>
  <w:style w:type="paragraph" w:customStyle="1" w:styleId="CAROLTEXTOS">
    <w:name w:val="CAROL TEXTOS"/>
    <w:basedOn w:val="Normal"/>
    <w:qFormat/>
    <w:rsid w:val="007E080B"/>
    <w:pPr>
      <w:widowControl w:val="0"/>
      <w:autoSpaceDE w:val="0"/>
      <w:autoSpaceDN w:val="0"/>
      <w:adjustRightInd w:val="0"/>
      <w:spacing w:after="0" w:line="360" w:lineRule="auto"/>
      <w:ind w:firstLine="709"/>
      <w:jc w:val="both"/>
    </w:pPr>
    <w:rPr>
      <w:rFonts w:ascii="Arial" w:hAnsi="Arial" w:cs="Arial"/>
      <w:color w:val="000000"/>
      <w:sz w:val="24"/>
      <w:szCs w:val="24"/>
    </w:rPr>
  </w:style>
  <w:style w:type="paragraph" w:styleId="Textodenotaderodap">
    <w:name w:val="footnote text"/>
    <w:basedOn w:val="Normal"/>
    <w:link w:val="TextodenotaderodapChar"/>
    <w:uiPriority w:val="99"/>
    <w:unhideWhenUsed/>
    <w:rsid w:val="007E080B"/>
    <w:rPr>
      <w:sz w:val="20"/>
      <w:szCs w:val="20"/>
    </w:rPr>
  </w:style>
  <w:style w:type="character" w:customStyle="1" w:styleId="TextodenotaderodapChar">
    <w:name w:val="Texto de nota de rodapé Char"/>
    <w:basedOn w:val="Fontepargpadro"/>
    <w:link w:val="Textodenotaderodap"/>
    <w:uiPriority w:val="99"/>
    <w:rsid w:val="007E080B"/>
    <w:rPr>
      <w:rFonts w:ascii="Calibri" w:eastAsia="Times New Roman" w:hAnsi="Calibri" w:cs="Times New Roman"/>
      <w:sz w:val="20"/>
      <w:szCs w:val="20"/>
      <w:lang w:eastAsia="pt-BR"/>
    </w:rPr>
  </w:style>
  <w:style w:type="character" w:styleId="Refdenotaderodap">
    <w:name w:val="footnote reference"/>
    <w:uiPriority w:val="99"/>
    <w:semiHidden/>
    <w:unhideWhenUsed/>
    <w:rsid w:val="007E080B"/>
    <w:rPr>
      <w:vertAlign w:val="superscript"/>
    </w:rPr>
  </w:style>
  <w:style w:type="paragraph" w:customStyle="1" w:styleId="CAROLCITAO">
    <w:name w:val="CAROL CITAÇÃO"/>
    <w:basedOn w:val="Normal"/>
    <w:qFormat/>
    <w:rsid w:val="007E080B"/>
    <w:pPr>
      <w:widowControl w:val="0"/>
      <w:autoSpaceDE w:val="0"/>
      <w:autoSpaceDN w:val="0"/>
      <w:adjustRightInd w:val="0"/>
      <w:spacing w:after="0" w:line="253" w:lineRule="auto"/>
      <w:ind w:left="2268" w:right="77"/>
      <w:jc w:val="both"/>
    </w:pPr>
    <w:rPr>
      <w:rFonts w:ascii="Arial" w:hAnsi="Arial" w:cs="Arial"/>
      <w:color w:val="000000"/>
      <w:sz w:val="20"/>
      <w:szCs w:val="20"/>
    </w:rPr>
  </w:style>
  <w:style w:type="paragraph" w:customStyle="1" w:styleId="CAROLTTULO2">
    <w:name w:val="CAROL TÍTULO 2"/>
    <w:basedOn w:val="Normal"/>
    <w:qFormat/>
    <w:rsid w:val="007E080B"/>
    <w:pPr>
      <w:widowControl w:val="0"/>
      <w:autoSpaceDE w:val="0"/>
      <w:autoSpaceDN w:val="0"/>
      <w:adjustRightInd w:val="0"/>
      <w:spacing w:before="300" w:after="300" w:line="360" w:lineRule="auto"/>
    </w:pPr>
    <w:rPr>
      <w:rFonts w:ascii="Arial" w:hAnsi="Arial" w:cs="Arial"/>
      <w:b/>
      <w:bCs/>
      <w:color w:val="000000"/>
      <w:sz w:val="24"/>
      <w:szCs w:val="24"/>
    </w:rPr>
  </w:style>
  <w:style w:type="paragraph" w:customStyle="1" w:styleId="CAROLTTULO3">
    <w:name w:val="CAROL TÍTULO 3"/>
    <w:basedOn w:val="CAROLTTULO2"/>
    <w:qFormat/>
    <w:rsid w:val="007E080B"/>
    <w:rPr>
      <w:i/>
    </w:rPr>
  </w:style>
  <w:style w:type="paragraph" w:styleId="Textodebalo">
    <w:name w:val="Balloon Text"/>
    <w:basedOn w:val="Normal"/>
    <w:link w:val="TextodebaloChar"/>
    <w:uiPriority w:val="99"/>
    <w:semiHidden/>
    <w:unhideWhenUsed/>
    <w:rsid w:val="007E08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080B"/>
    <w:rPr>
      <w:rFonts w:ascii="Tahoma" w:eastAsia="Times New Roman" w:hAnsi="Tahoma" w:cs="Tahoma"/>
      <w:sz w:val="16"/>
      <w:szCs w:val="16"/>
      <w:lang w:eastAsia="pt-BR"/>
    </w:rPr>
  </w:style>
  <w:style w:type="paragraph" w:styleId="PargrafodaLista">
    <w:name w:val="List Paragraph"/>
    <w:basedOn w:val="Normal"/>
    <w:uiPriority w:val="34"/>
    <w:qFormat/>
    <w:rsid w:val="007E080B"/>
    <w:pPr>
      <w:ind w:left="720"/>
      <w:contextualSpacing/>
    </w:pPr>
  </w:style>
  <w:style w:type="character" w:customStyle="1" w:styleId="Ttulo3Char">
    <w:name w:val="Título 3 Char"/>
    <w:basedOn w:val="Fontepargpadro"/>
    <w:link w:val="Ttulo3"/>
    <w:uiPriority w:val="9"/>
    <w:rsid w:val="007E080B"/>
    <w:rPr>
      <w:rFonts w:ascii="Cambria" w:eastAsia="Times New Roman" w:hAnsi="Cambria" w:cs="Times New Roman"/>
      <w:b/>
      <w:bCs/>
      <w:sz w:val="26"/>
      <w:szCs w:val="26"/>
      <w:lang/>
    </w:rPr>
  </w:style>
  <w:style w:type="paragraph" w:customStyle="1" w:styleId="CAROLTABELAS">
    <w:name w:val="CAROL TABELAS"/>
    <w:basedOn w:val="Normal"/>
    <w:qFormat/>
    <w:rsid w:val="007E080B"/>
    <w:pPr>
      <w:widowControl w:val="0"/>
      <w:autoSpaceDE w:val="0"/>
      <w:autoSpaceDN w:val="0"/>
      <w:adjustRightInd w:val="0"/>
      <w:spacing w:before="29" w:after="0" w:line="240" w:lineRule="auto"/>
      <w:ind w:left="239"/>
      <w:jc w:val="center"/>
    </w:pPr>
    <w:rPr>
      <w:rFonts w:ascii="Arial" w:hAnsi="Arial" w:cs="Arial"/>
      <w:b/>
      <w:bCs/>
      <w:color w:val="000000"/>
      <w:sz w:val="24"/>
      <w:szCs w:val="24"/>
    </w:rPr>
  </w:style>
  <w:style w:type="paragraph" w:customStyle="1" w:styleId="CAROLFONTE">
    <w:name w:val="CAROL FONTE"/>
    <w:basedOn w:val="Normal"/>
    <w:qFormat/>
    <w:rsid w:val="007E080B"/>
    <w:pPr>
      <w:spacing w:after="0" w:line="240" w:lineRule="auto"/>
      <w:contextualSpacing/>
      <w:jc w:val="center"/>
    </w:pPr>
    <w:rPr>
      <w:rFonts w:ascii="Arial" w:hAnsi="Arial" w:cs="Arial"/>
      <w:b/>
      <w:sz w:val="20"/>
      <w:szCs w:val="20"/>
    </w:rPr>
  </w:style>
  <w:style w:type="paragraph" w:customStyle="1" w:styleId="CAROLGRAFICOS">
    <w:name w:val="CAROL GRAFICOS"/>
    <w:basedOn w:val="CAROLTABELAS"/>
    <w:autoRedefine/>
    <w:qFormat/>
    <w:rsid w:val="007E080B"/>
    <w:pPr>
      <w:spacing w:before="0"/>
      <w:ind w:left="0"/>
    </w:pPr>
  </w:style>
  <w:style w:type="character" w:styleId="Hyperlink">
    <w:name w:val="Hyperlink"/>
    <w:uiPriority w:val="99"/>
    <w:unhideWhenUsed/>
    <w:rsid w:val="005E098C"/>
    <w:rPr>
      <w:color w:val="0000FF"/>
      <w:u w:val="single"/>
    </w:rPr>
  </w:style>
  <w:style w:type="character" w:customStyle="1" w:styleId="apple-converted-space">
    <w:name w:val="apple-converted-space"/>
    <w:basedOn w:val="Fontepargpadro"/>
    <w:rsid w:val="005E098C"/>
  </w:style>
  <w:style w:type="character" w:styleId="nfase">
    <w:name w:val="Emphasis"/>
    <w:qFormat/>
    <w:rsid w:val="005E098C"/>
    <w:rPr>
      <w:i/>
      <w:iCs/>
    </w:rPr>
  </w:style>
  <w:style w:type="character" w:styleId="CitaoHTML">
    <w:name w:val="HTML Cite"/>
    <w:uiPriority w:val="99"/>
    <w:semiHidden/>
    <w:unhideWhenUsed/>
    <w:rsid w:val="005E098C"/>
    <w:rPr>
      <w:i w:val="0"/>
      <w:iCs w:val="0"/>
      <w:color w:val="009933"/>
    </w:rPr>
  </w:style>
  <w:style w:type="character" w:customStyle="1" w:styleId="title">
    <w:name w:val="title"/>
    <w:basedOn w:val="Fontepargpadro"/>
    <w:rsid w:val="005E09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bresserpereira.org.br/view.asp?cod=2387%20" TargetMode="External"/><Relationship Id="rId26" Type="http://schemas.openxmlformats.org/officeDocument/2006/relationships/hyperlink" Target="http://www.pet-economia.ufpr.br/banco_de_arquivos/00002_Rodrigo_cl_lima_e_silva_curva_de_philips_e_aplicacao.pdf" TargetMode="External"/><Relationship Id="rId3" Type="http://schemas.openxmlformats.org/officeDocument/2006/relationships/settings" Target="settings.xml"/><Relationship Id="rId21" Type="http://schemas.openxmlformats.org/officeDocument/2006/relationships/hyperlink" Target="http://www.rep.org.br/PDF/47-5.PDF"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scielo.br/pdf/ecos/v18n1/01.pdf" TargetMode="External"/><Relationship Id="rId25" Type="http://schemas.openxmlformats.org/officeDocument/2006/relationships/hyperlink" Target="http://www.rep.org.br/pdf/18-11.pdf"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usp.br/prolam/downloads/2005_2_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scielo.br/pdf/ts/v15n2/a08v15n2.pdf"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revistas.fee.tche.br/index.php/ensaios/article/view/2164/2548"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rep.org.br/PDF/13-1.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pucsp.br/pos/ecopol/downloads/01_08_11_def.pdf"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8075</Words>
  <Characters>43607</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dc:creator>
  <cp:lastModifiedBy>Eduarda</cp:lastModifiedBy>
  <cp:revision>2</cp:revision>
  <dcterms:created xsi:type="dcterms:W3CDTF">2015-04-19T19:57:00Z</dcterms:created>
  <dcterms:modified xsi:type="dcterms:W3CDTF">2015-04-19T19:57:00Z</dcterms:modified>
</cp:coreProperties>
</file>