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lang w:val="pt-BR"/>
        </w:rPr>
      </w:pPr>
      <w:r>
        <w:rPr>
          <w:b/>
          <w:bCs/>
          <w:lang w:val="pt-BR"/>
        </w:rPr>
        <w:t>A TRAGÉDIA DA DESIGUALDADE NO MARANHÃO: CONSEQÜENCIAIS POLITICAS, SOCIAIS, ÉTICAS E JURÍDICA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lang w:val="pt-BR"/>
        </w:rPr>
      </w:pPr>
      <w:r>
        <w:rPr>
          <w:lang w:val="pt-BR"/>
        </w:rPr>
        <w:t>O aumento da criminalidade como conseqüência da desigualdade sócio-econômica no Maranhão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right"/>
        <w:rPr>
          <w:lang w:val="pt-BR"/>
        </w:rPr>
      </w:pPr>
      <w:r>
        <w:rPr>
          <w:lang w:val="pt-BR"/>
        </w:rPr>
        <w:t>Erick Braiam Pinheiro Pacheco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/>
        <w:jc w:val="both"/>
        <w:rPr>
          <w:lang w:val="pt-BR"/>
        </w:rPr>
      </w:pPr>
      <w:r>
        <w:rPr>
          <w:b/>
          <w:bCs/>
          <w:sz w:val="20"/>
          <w:szCs w:val="20"/>
          <w:lang w:val="pt-BR"/>
        </w:rPr>
        <w:t>Sumário</w:t>
      </w:r>
      <w:r>
        <w:rPr>
          <w:sz w:val="20"/>
          <w:szCs w:val="20"/>
          <w:lang w:val="pt-BR"/>
        </w:rPr>
        <w:t>: Introdução. 1 A Desigualdade Social-econômica no Maranhão; 1.1 O Contraste: a maior frota de carros novos e a terceira capital mais pobre do Brasil; 2 A criminalidade como conseqüência da desigualdade; 2.1 A politica de Repressão; 2.2 A falta de politicas de inserção social. 3 Inserção social; 3.1  A promoção social feita pelas instituições privadas. Conclusão. Anexos 1,2,3.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center"/>
        <w:rPr>
          <w:lang w:val="pt-BR"/>
        </w:rPr>
      </w:pPr>
      <w:r>
        <w:rPr>
          <w:b/>
          <w:bCs/>
          <w:lang w:val="pt-BR"/>
        </w:rPr>
        <w:t>RESUMO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  <w:r>
        <w:rPr>
          <w:lang w:val="pt-BR"/>
        </w:rPr>
        <w:t>Neste artigo será tratado a criminalidade como conseqüência da desigualdade sócio-econômica no Maranhão, a partir dos crimes de roubos e furtos. Será abordado a desigualdade de direitos a partir das perspectiva sócio-econômica da população, com base em entrevistas com pessoas pobres. Também será revisto o papel do Estado, afim de verificar se ele está atuando de forma eficaz para levar a inclusão social a todos através de entrevistas com representantes do Estado e como as instituições privadas estão promovendo programas de inserção social em São Luis.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  <w:r>
        <w:rPr>
          <w:lang w:val="pt-BR"/>
        </w:rPr>
        <w:t>Palavras-Chave: Maranhão. Desigualdade. Criminalidade.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  <w:r>
        <w:rPr>
          <w:b/>
          <w:bCs/>
          <w:lang w:val="pt-BR"/>
        </w:rPr>
        <w:t>INTRODUÇÃO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O Estado do Maranhão possui atualmente um dos piores índices de IDH (Índice de Desenvolvimento Humano), seja na área da saúde, educação e saneamento básico, de acordo com últimos dados divulgado pela Fundação Getúlio Vargas</w:t>
      </w:r>
      <w:r>
        <w:rPr>
          <w:rStyle w:val="Refdenotaderodap"/>
          <w:vertAlign w:val="superscript"/>
          <w:lang w:val="pt-BR"/>
        </w:rPr>
        <w:footnoteReference w:id="1"/>
      </w:r>
      <w:r>
        <w:rPr>
          <w:lang w:val="pt-BR"/>
        </w:rPr>
        <w:t>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  <w:sectPr w:rsidR="00B815EC">
          <w:headerReference w:type="default" r:id="rId6"/>
          <w:pgSz w:w="11905" w:h="16837"/>
          <w:pgMar w:top="1417" w:right="1417" w:bottom="1417" w:left="1417" w:header="1417" w:footer="1417" w:gutter="0"/>
          <w:cols w:space="720"/>
          <w:noEndnote/>
        </w:sect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lastRenderedPageBreak/>
        <w:t>A falta de politicas públicas e projetos de inclusão social por parte do Governo do Estado e por parte das prefeituras vem  contribuindo com o grande número de desigualdades. Tanto que no último relatório da Fundação Getúlio Vargas, São Luis é considerada a 3º Capital mais pobre do país.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lastRenderedPageBreak/>
        <w:t>A ínfima participação o governo e prefeituras através de políticas públicas contribuem com o aumento das desigualdade sociais  gerando, assim, o aumento da criminalidade em nosso estado de  forma  rápida e evidente, perceptível tanto ao nosso senso comum quanto àqueles que detêm conhecimento técnico a respeito. Em virtude desta relação de ação e  reação entre desigualdades e aumento da criminalidade, este artigo tratará da criminalidade como conseqüência da grande desigualdade sócio-econômica no Maranhão, que é um dos estados mais pobres do Brasil.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963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  <w:r>
        <w:rPr>
          <w:b/>
          <w:bCs/>
          <w:lang w:val="pt-BR"/>
        </w:rPr>
        <w:t>1 A DESIGUALDADE SÓCIO-ECONÔMICA NO MARANHÃO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A última pesquisa divulgada pela Fundação Getúlio Vargas, “Performance Social das 27 Capitais Brasileiras” divulgou que o São Luis está entre as piores do País. Esse dado nos mostra uma pequena parcela do grande contraste urbano do nosso estado.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67" w:firstLine="1134"/>
        <w:jc w:val="both"/>
        <w:rPr>
          <w:lang w:val="pt-BR"/>
        </w:rPr>
      </w:pPr>
      <w:r>
        <w:rPr>
          <w:lang w:val="pt-BR"/>
        </w:rPr>
        <w:t xml:space="preserve">Contraste este  que pode ser observado de diversas formas e contraposto com a realidade jurídica estabelecida em nossa Carta Magna , ou seja, apesar de vivermos em um país que todos são iguais perante a lei e em que todos possuem direito a proteção estatal para um vida digna. Este contraste social se evidencia em todas as formas de direitos e garantias assegurados pela Constituição Federal, mas que infelizmente, apesar do status de principio conferido a muitos deste direitos, a maioria é simplesmente afastada. 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67"/>
        <w:jc w:val="both"/>
        <w:rPr>
          <w:lang w:val="pt-BR"/>
        </w:rPr>
      </w:pP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 w:right="-67"/>
        <w:jc w:val="both"/>
        <w:rPr>
          <w:lang w:val="pt-BR"/>
        </w:rPr>
      </w:pPr>
      <w:r>
        <w:rPr>
          <w:sz w:val="20"/>
          <w:szCs w:val="20"/>
          <w:lang w:val="pt-BR"/>
        </w:rPr>
        <w:t>Continuamos a nos apegar aos privilégios - uns grandes, outros miúdos - que todos desfrutamos no âmbito de nosso raio de ação e influência. E a própria lei, ressalvadas as proclamações inflamadas na rua, é percebida na nossa cultura, antes de tudo, como estorvo a ser contornado. (Oliveira, p. 122)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67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67" w:firstLine="1134"/>
        <w:jc w:val="both"/>
        <w:rPr>
          <w:lang w:val="pt-BR"/>
        </w:rPr>
      </w:pPr>
      <w:r>
        <w:rPr>
          <w:lang w:val="pt-BR"/>
        </w:rPr>
        <w:t>Uma coisa comum em São Luis são os privilégios, que causam grandes diferenças e aumentam a desigualdade, como no caso citado por Luciano Oliveira, “ da prisão especial, que no Brasil distingue, entre outras pessoas, as portadoras de título universitário” (p. 122).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67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right="-67"/>
        <w:jc w:val="both"/>
        <w:rPr>
          <w:lang w:val="pt-BR"/>
        </w:rPr>
        <w:sectPr w:rsidR="00B815EC">
          <w:headerReference w:type="default" r:id="rId7"/>
          <w:type w:val="continuous"/>
          <w:pgSz w:w="11905" w:h="16837"/>
          <w:pgMar w:top="1417" w:right="1417" w:bottom="1417" w:left="1417" w:header="1417" w:footer="1417" w:gutter="0"/>
          <w:cols w:space="720"/>
          <w:noEndnote/>
        </w:sectPr>
      </w:pP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/>
        <w:jc w:val="both"/>
        <w:rPr>
          <w:lang w:val="pt-BR"/>
        </w:rPr>
      </w:pPr>
      <w:r>
        <w:rPr>
          <w:sz w:val="20"/>
          <w:szCs w:val="20"/>
          <w:lang w:val="pt-BR"/>
        </w:rPr>
        <w:lastRenderedPageBreak/>
        <w:t>Com efeito, ainda que liberdade e igualdade se constituam nos princípios de qualquer sociedade democrática liberal, podem ser distintas as formas de interpretação e hierarquização destes mesmos princípios. E a prioridade conferida à liberdade ou à igualdade vai depender da concepção de pluralismo que se venha a dotar. (CITTADINO, p 129, 2004).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lastRenderedPageBreak/>
        <w:t xml:space="preserve">Pois a desigualdade acontece no argumento dos privilégios, em só que pode pagar tem direito a saúde, educação e outras coisas. Esse argumento também se encaixa na criminalidade, em que muitos ficam impunes por poderem pagar e os sem condições financeiras passam anos na cadeia. 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A partir dessa afirmativas, vimos que a desigualdade atingem e distinguem os pobres dos ricos de inúmeras  formas, algumas chegam a ser imperceptíveis aos nossos olhos. Exemplo destas distinções podem ser encontradas até mesmo em nossa Constituição Federale  também no Judiciário maranhense com alguma freqüência, como a pouca aplicação ao caso concreto do Princípio da Insignificância em face dos crimes de colarinho branco, que normalmente não recebem a resposta proporcional do sistema penal apesar do potencial ofensivo.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Com base nessas afirmativas, chega-se  a outra triste constatação: São Luis é a terceira capital mais pobre, entretanto, é o Estado da federação que  possui a maior frota de carros novos do Brasil.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900"/>
        <w:jc w:val="both"/>
        <w:rPr>
          <w:lang w:val="pt-BR"/>
        </w:rPr>
      </w:pPr>
      <w:r>
        <w:rPr>
          <w:lang w:val="pt-BR"/>
        </w:rPr>
        <w:t xml:space="preserve"> 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  <w:r>
        <w:rPr>
          <w:b/>
          <w:bCs/>
          <w:lang w:val="pt-BR"/>
        </w:rPr>
        <w:t>1.2 O contraste: A maior frota de carros novos e a terceira capital mais pobre do Brasil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No ultimo estudo feito pela Fundação Getúlio Vargas sobre as 27 capitais brasileiras, São Luis ficou na 4º posição entre a cidades que possuem pessoas vivendo na miséria, a 2ª na posição da pessoas vivendo na pobreza, a 5º na posição de desigualdade de Renda Domiciliar Per Capitar, na penúltima posição (26ª) de Renda Domiciliar Per Capitar do Trabalho</w:t>
      </w:r>
      <w:r>
        <w:rPr>
          <w:rStyle w:val="Refdenotaderodap"/>
          <w:vertAlign w:val="superscript"/>
          <w:lang w:val="pt-BR"/>
        </w:rPr>
        <w:footnoteReference w:id="2"/>
      </w:r>
      <w:r>
        <w:rPr>
          <w:lang w:val="pt-BR"/>
        </w:rPr>
        <w:t>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Esses dados divulgados recentemente só nos mostram o tamanho da desigualdade sócio-econômica no Maranhão, mais precisamente em São Luis. Está entre as piores cidades do país, com muitas pessoas vivendo na miséria e na pobreza extrema, mas possui a maior frota de carros novos do país.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  <w:sectPr w:rsidR="00B815EC">
          <w:type w:val="continuous"/>
          <w:pgSz w:w="11905" w:h="16837"/>
          <w:pgMar w:top="1417" w:right="1350" w:bottom="1417" w:left="1417" w:header="1417" w:footer="1417" w:gutter="0"/>
          <w:cols w:space="720"/>
          <w:noEndnote/>
        </w:sect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lastRenderedPageBreak/>
        <w:t>De acordo com DETRAN-MA, de janeiro a até setembro, 15% da frota de veículos de São Luis foram renovados, que correspondem a cerca de 77.000 carros novos e ainda entram em circulação cerca de 10 mil por ano</w:t>
      </w:r>
      <w:r>
        <w:rPr>
          <w:rStyle w:val="Refdenotaderodap"/>
          <w:vertAlign w:val="superscript"/>
          <w:lang w:val="pt-BR"/>
        </w:rPr>
        <w:footnoteReference w:id="3"/>
      </w:r>
      <w:r>
        <w:rPr>
          <w:lang w:val="pt-BR"/>
        </w:rPr>
        <w:t>. Mas se compararmos com outras capitais como Brasília, que teve uma renovação de frota de 71.943, e a Renda Per Capitar maior, que fica em 8º lugar, percebemos que o contraste é bem maior em São Luis</w:t>
      </w:r>
      <w:r>
        <w:rPr>
          <w:rStyle w:val="Refdenotaderodap"/>
          <w:vertAlign w:val="superscript"/>
          <w:lang w:val="pt-BR"/>
        </w:rPr>
        <w:footnoteReference w:id="4"/>
      </w:r>
      <w:r>
        <w:rPr>
          <w:lang w:val="pt-BR"/>
        </w:rPr>
        <w:t>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Com base nesses dados nos leva a criminalidade, em que só vem aumentado nos ultimos dez anos em São Luis por conseqüência da grande desigualdade sócio-econômica no Maranhão.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  <w:r>
        <w:rPr>
          <w:b/>
          <w:bCs/>
          <w:lang w:val="pt-BR"/>
        </w:rPr>
        <w:t>2 A CRIMINALIDADE COMO CONSEQÜÊNCIA DA DESIGUALDADE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Os dados da fundação Getúlio Vargas nos levam a compreender as causas da criminalidade em São Luis, por ser a 5º cidade com maior desigualdade sócio-econômica do Brasil, a falta de oportunidade e de politicas do Estado em inclusão social levam ao aumento da criminalidade.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 xml:space="preserve">Conseqüentemente os crimes de roubos e furtos são cometidos por pessoas de baixa renda e com maior indecência na periferia de São Luis, por serem as localidades aonde ocorrem a maior desigualdade. 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De acordo com os dados da Delegacia de Roubo e Furtos de São Luis, “só este ano já foram registrados 12.504 furtos e 11.124 roubos”</w:t>
      </w:r>
      <w:r>
        <w:rPr>
          <w:rStyle w:val="Refdenotaderodap"/>
          <w:vertAlign w:val="superscript"/>
          <w:lang w:val="pt-BR"/>
        </w:rPr>
        <w:footnoteReference w:id="5"/>
      </w:r>
      <w:r>
        <w:rPr>
          <w:lang w:val="pt-BR"/>
        </w:rPr>
        <w:t>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Furto. Art. 155. Subtrair, para si ou para outrem, coisa alheia móvel.</w:t>
      </w: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/>
        <w:jc w:val="both"/>
        <w:rPr>
          <w:lang w:val="pt-BR"/>
        </w:rPr>
      </w:pPr>
      <w:r>
        <w:rPr>
          <w:sz w:val="20"/>
          <w:szCs w:val="20"/>
          <w:lang w:val="pt-BR"/>
        </w:rPr>
        <w:t>Roubo. Art 157. Subtrair coisa móvel alheia, para si ou para outrem, mediante grave ameaça ou violência a pessoa.</w:t>
      </w:r>
      <w:r>
        <w:rPr>
          <w:lang w:val="pt-BR"/>
        </w:rPr>
        <w:t xml:space="preserve"> (Código Penal)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O consumismo, em que uns podem compra roupas, tênis, celulares e outros objetos caros leva ao cometimento dos crimes das mais diversas formas possíveis, desde um simples assalto até um seqüestro, que vem acontecendo em quase todos bairros de São Luis.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  <w:sectPr w:rsidR="00B815EC">
          <w:type w:val="continuous"/>
          <w:pgSz w:w="11905" w:h="16837"/>
          <w:pgMar w:top="1417" w:right="1350" w:bottom="1417" w:left="1417" w:header="1417" w:footer="1417" w:gutter="0"/>
          <w:cols w:space="720"/>
          <w:noEndnote/>
        </w:sect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lastRenderedPageBreak/>
        <w:t>De acordo com o Delegacia de Roubos e Furtos de São Luis, esses crimes são cometidos na maioria por homens,  mulheres e até adolescentes de baixa renda, que são cometidos na maioria esmagadora a mão armada. Esse índices vem só aumentando por uma fala de politica de prevenção, pois o Estado adota a politica de repressão.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 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  <w:r>
        <w:rPr>
          <w:b/>
          <w:bCs/>
          <w:lang w:val="pt-BR"/>
        </w:rPr>
        <w:t>2.1 A Politica de Repressão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A politica repressão adota pelo Estado atualmente vem trazendo consequencias contrarias, pois o índice de criminalidade em São Luis vem só aumentando nos ultimos anos. Isso resulta que a repressão que não traz conseqüenciais positivas, mais ainda é duramente emplacada pelo estado.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/>
        <w:jc w:val="both"/>
        <w:rPr>
          <w:lang w:val="pt-BR"/>
        </w:rPr>
      </w:pPr>
      <w:r>
        <w:rPr>
          <w:sz w:val="20"/>
          <w:szCs w:val="20"/>
          <w:lang w:val="pt-BR"/>
        </w:rPr>
        <w:t>O cárcere é contrário a todo moderno ideal educativo, por que este promove a individualidade, o auto-respeito do indivíduo, alimentado pelo respeito que o educador tem dele. As cerimônias de degradação no inicio da detenção, com as quais o encarcerado é despojado até dos símbolos exteriores da própria autonomia (vestuários e objetos pessoais), são o oposto de tudo isso. A educação promove o sentimento de liberdade e de espontaneidade do indivíduo: a vida no cárcere, como universo disciplinar, tem um caráter repressivo e uniforme.(BARATA, p. 183-184, 2002).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Em virtude da adoção da politica repressiva é notável o aumento da criminalidade, pois a repressão trás como conseqüência o agravamento do comportamento do criminoso por conta da inaplicabilidade de programas de ressocialização no cárcere brasileiro, dando ênfase as penitenciarias maranhenses.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Como conseqüência da super lotação e do falimento do sistema penitenciário maranhense, o preso ao sair do cárcere volta a cometer atos ilícitos e nos mostra o resultado da politica repressiva e falta de investimentos da prevenção da criminalidade.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  <w:r>
        <w:rPr>
          <w:b/>
          <w:bCs/>
          <w:lang w:val="pt-BR"/>
        </w:rPr>
        <w:t>2.2 A falta de prevenção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23"/>
          <w:tab w:val="left" w:pos="923"/>
          <w:tab w:val="left" w:pos="1823"/>
          <w:tab w:val="left" w:pos="2723"/>
          <w:tab w:val="left" w:pos="3623"/>
          <w:tab w:val="left" w:pos="4523"/>
          <w:tab w:val="left" w:pos="5423"/>
          <w:tab w:val="left" w:pos="6323"/>
          <w:tab w:val="left" w:pos="7223"/>
          <w:tab w:val="left" w:pos="8123"/>
          <w:tab w:val="left" w:pos="9023"/>
        </w:tabs>
        <w:spacing w:line="360" w:lineRule="auto"/>
        <w:ind w:left="23" w:right="-218" w:firstLine="1134"/>
        <w:jc w:val="both"/>
        <w:rPr>
          <w:lang w:val="pt-BR"/>
        </w:rPr>
      </w:pPr>
      <w:r>
        <w:rPr>
          <w:lang w:val="pt-BR"/>
        </w:rPr>
        <w:t>A prevenção a criminalidade é pouco utilizada em São Luis, pois uma pesquisa e entrevista feita com pessoas de comunidades diferentes, em apenas uma existe um programa de prevenção a criminalidade com projeto de inclusão social</w:t>
      </w:r>
      <w:r>
        <w:rPr>
          <w:rStyle w:val="Refdenotaderodap"/>
          <w:vertAlign w:val="superscript"/>
          <w:lang w:val="pt-BR"/>
        </w:rPr>
        <w:footnoteReference w:id="6"/>
      </w:r>
      <w:r>
        <w:rPr>
          <w:lang w:val="pt-BR"/>
        </w:rPr>
        <w:t>.</w:t>
      </w:r>
    </w:p>
    <w:p w:rsidR="00B815EC" w:rsidRDefault="00B815EC">
      <w:pPr>
        <w:widowControl/>
        <w:tabs>
          <w:tab w:val="left" w:pos="23"/>
          <w:tab w:val="left" w:pos="923"/>
          <w:tab w:val="left" w:pos="1823"/>
          <w:tab w:val="left" w:pos="2723"/>
          <w:tab w:val="left" w:pos="3623"/>
          <w:tab w:val="left" w:pos="4523"/>
          <w:tab w:val="left" w:pos="5423"/>
          <w:tab w:val="left" w:pos="6323"/>
          <w:tab w:val="left" w:pos="7223"/>
          <w:tab w:val="left" w:pos="8123"/>
          <w:tab w:val="left" w:pos="9023"/>
        </w:tabs>
        <w:spacing w:line="360" w:lineRule="auto"/>
        <w:ind w:left="23" w:right="-218" w:firstLine="1134"/>
        <w:jc w:val="both"/>
        <w:rPr>
          <w:lang w:val="pt-BR"/>
        </w:rPr>
        <w:sectPr w:rsidR="00B815EC">
          <w:type w:val="continuous"/>
          <w:pgSz w:w="11905" w:h="16837"/>
          <w:pgMar w:top="1700" w:right="1350" w:bottom="1132" w:left="1417" w:header="1700" w:footer="1132" w:gutter="0"/>
          <w:cols w:space="720"/>
          <w:noEndnote/>
        </w:sect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lastRenderedPageBreak/>
        <w:t>A maioria das pessoas cita o Programa Ronda Comunitária da governo do Estado, que não é um programa de inclusão social e sim de repressão. É um dado alarmante para a nossa cidade, uma vez que a falta de programas de prevenção a criminalidade por parte do poder publico intensifica a criminalidade, que em alguns bairros ocorre de forma  preocupante.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Existe só um programa do Governo Federal que tem o intuito de tirar as crianças e adolescentes da ruas, que é o PETI - Programa de Erradicação do Trabalho Infantil, mais nem sempre é eficaz em todo o país, por conta da inoperância do poder publico em certas comunidades ou até em cidades pequenas do Maranhão.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/>
        <w:jc w:val="both"/>
        <w:rPr>
          <w:lang w:val="pt-BR"/>
        </w:rPr>
      </w:pPr>
      <w:r>
        <w:rPr>
          <w:sz w:val="20"/>
          <w:szCs w:val="20"/>
          <w:lang w:val="pt-BR"/>
        </w:rPr>
        <w:t>O PETI tem como objetivo contribuir para a erradicação de todas as formas de trabalho infantil no País, atendendo famílias cujas crianças e adolescentes com idade inferior a 16 anos se encontrem em situação de trabalho. O Programa está inserido em um processo de resgate da cidadania e promoção de direitos de seus usuários, bem como de inclusão social de suas famílias. (PETI, Ministério do Desenvolvimento Social e Combate à Fome.)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  <w:r>
        <w:rPr>
          <w:b/>
          <w:bCs/>
          <w:lang w:val="pt-BR"/>
        </w:rPr>
        <w:t>3 INSERÇÃO SOCIAL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Como o PETI, existem vários programas que o intuito de promover a inclusão social que são promovidos pelo Governo Federal. De acordo com uma entrevista com as Assistentes Sociais da Secretaria de Desenvolvimento Social do Maranhão</w:t>
      </w:r>
      <w:r>
        <w:rPr>
          <w:rStyle w:val="Refdenotaderodap"/>
          <w:vertAlign w:val="superscript"/>
          <w:lang w:val="pt-BR"/>
        </w:rPr>
        <w:footnoteReference w:id="7"/>
      </w:r>
      <w:r>
        <w:rPr>
          <w:lang w:val="pt-BR"/>
        </w:rPr>
        <w:t>, o Estado tem apenas o objetivo de fiscalizar e supervisionar esses programas, pois os municípios que devem executar.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Os principais programas de inclusão social e combate a pobreza são o Bolsa Família e o PETI. O Bolsa Família tem o intuito de garantir que as crianças permanecem matriculadas e freqüentando a escola e prevenir condições de risco, que é executado pelo Programa de Proteção Social Básica.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O Programa Bolsa Família (PBF) é um programa de transferência direta de renda com condicionalidades, que beneficia famílias em situação de pobreza (com renda mensal por pessoa de R$ 70 a R$ 140) e extrema pobreza (com renda mensal por pessoa de até R$ 70), de acordo com a Lei 10.836, de 09 de janeiro de 2004 e o Decreto nº 5.209, de 17 de setembro de 2004.(MDS, p.1. 2009)</w:t>
      </w: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/>
        <w:jc w:val="both"/>
        <w:rPr>
          <w:sz w:val="20"/>
          <w:szCs w:val="20"/>
          <w:lang w:val="pt-BR"/>
        </w:rPr>
      </w:pP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/>
        <w:jc w:val="both"/>
        <w:rPr>
          <w:lang w:val="pt-BR"/>
        </w:rPr>
      </w:pPr>
      <w:r>
        <w:rPr>
          <w:sz w:val="20"/>
          <w:szCs w:val="20"/>
          <w:lang w:val="pt-BR"/>
        </w:rPr>
        <w:t>A proteção social básica tem como objetivos prevenir situações de risco por meio do desenvolvimento de potencialidades e aquisições, e o fortalecimento de vínculos familiares e comunitários. (PNAS, p. 33. 2004).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  <w:sectPr w:rsidR="00B815EC">
          <w:type w:val="continuous"/>
          <w:pgSz w:w="11905" w:h="16837"/>
          <w:pgMar w:top="1700" w:right="1132" w:bottom="1132" w:left="1440" w:header="1700" w:footer="1132" w:gutter="0"/>
          <w:cols w:space="720"/>
          <w:noEndnote/>
        </w:sect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lastRenderedPageBreak/>
        <w:t>O PETI - Programa de Erradicação da Trabalho Infantil, e executado pelo Programa de Proteção Social Especial do Estado de Média Complexidade, que tratar de crianças e adolescentes que tiveram os direitos violados e tem o objetivo de transferir renda as famílias carentes para que as crianças permaneçam freqüentando a escola.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/>
        <w:jc w:val="both"/>
        <w:rPr>
          <w:sz w:val="20"/>
          <w:szCs w:val="20"/>
          <w:lang w:val="pt-BR"/>
        </w:rPr>
      </w:pPr>
      <w:r>
        <w:rPr>
          <w:sz w:val="20"/>
          <w:szCs w:val="20"/>
          <w:lang w:val="pt-BR"/>
        </w:rPr>
        <w:t>O Programa de Erradicação do Trabalho Infantil (PETI) compõe o Sistema Único de Assistência Social (SUAS) com duas ações articuladas – o Serviço Sócio educativo ofertado para as crianças e adolescentes afastadas do trabalho precoce e a Transferência de Renda para suas famílias. Além de prever ações sócio assistenciais com foco na família, potencializando sua função protetiva e os vínculos familiares e comunitários. (MDS, p.1, 2009).</w:t>
      </w: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/>
        <w:jc w:val="both"/>
        <w:rPr>
          <w:sz w:val="20"/>
          <w:szCs w:val="20"/>
          <w:lang w:val="pt-BR"/>
        </w:rPr>
      </w:pP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/>
        <w:jc w:val="both"/>
        <w:rPr>
          <w:lang w:val="pt-BR"/>
        </w:rPr>
      </w:pPr>
      <w:r>
        <w:rPr>
          <w:sz w:val="20"/>
          <w:szCs w:val="20"/>
          <w:lang w:val="pt-BR"/>
        </w:rPr>
        <w:t>São Considerados serviços de média complexidade aqueles que oferecem atendimento às famílias e indivíduos com seus direitos violados, mas cujos vínculos familiar e comunitário não foram rompidos. (PNAS, p. 38, 2009).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Esses programas apesar de terem a função de inclusão social, na maioria das vezes trazem apenas o comodismo as famílias, que passam a viver somente desses benefícios e também por falta de politicas publicas que ajudem as famílias a sair da pobreza.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Com apenas o programas sociais e a falta politicas para tirar as famílias da pobreza, a desigualdade ainda continua no Maranhão, pois existe um déficit muito grande com relação a execução a programas de inclusão social, como pode ser visto nas entrevistas do Anexo 3.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O grande objetivo desses e de outros programas social deve ser a inclusão social promovendo meios de diminuir a pobreza. Isso nos leva a conclusão que o poder publico pouco atua para diminuir a pobreza e sim as instituições privadas que estam promovendo esse trabalho de inserção social.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  <w:r>
        <w:rPr>
          <w:b/>
          <w:bCs/>
          <w:lang w:val="pt-BR"/>
        </w:rPr>
        <w:t>3.1 A promoção social feita pelas instituições privadas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900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Pela falta de atuação do poder publico as instituições privadas que estão promovendo a educação e a inclusão social em comunidade carentes, podendo ser destacado o trabalho feito pela  Fundação Bradesco, localizada no bairro do Coroadinho, periferia de São Luis, que tem diversos projetos educação, entre eles o Educar + Ação.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2268"/>
          <w:tab w:val="left" w:pos="3168"/>
          <w:tab w:val="left" w:pos="4068"/>
          <w:tab w:val="left" w:pos="4968"/>
          <w:tab w:val="left" w:pos="5868"/>
          <w:tab w:val="left" w:pos="6768"/>
          <w:tab w:val="left" w:pos="7668"/>
          <w:tab w:val="left" w:pos="8568"/>
        </w:tabs>
        <w:ind w:left="2268"/>
        <w:jc w:val="both"/>
        <w:rPr>
          <w:lang w:val="pt-BR"/>
        </w:rPr>
      </w:pPr>
      <w:r>
        <w:rPr>
          <w:sz w:val="20"/>
          <w:szCs w:val="20"/>
          <w:lang w:val="pt-BR"/>
        </w:rPr>
        <w:t xml:space="preserve">O Programa Educa+Ação, iniciado em 2007, tem como objetivo dar condições de ensino para que crianças aprendam a ler e escrever até os oito anos de idade. O programa visa integrar a iniciativa privada e o setor público municipal no esforço de elevação do padrão </w:t>
      </w:r>
      <w:r>
        <w:rPr>
          <w:sz w:val="20"/>
          <w:szCs w:val="20"/>
          <w:lang w:val="pt-BR"/>
        </w:rPr>
        <w:lastRenderedPageBreak/>
        <w:t>educacional das crianças brasileiras, e está em sinergia com o movimento “Compromisso Todos pela Educação”, que tem como uma das metas a alfabetização das crianças até os oito anos. (Fundação Bradesco, p 1, 2009).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  <w:sectPr w:rsidR="00B815EC">
          <w:type w:val="continuous"/>
          <w:pgSz w:w="11905" w:h="16837"/>
          <w:pgMar w:top="1700" w:right="1132" w:bottom="1132" w:left="1440" w:header="1700" w:footer="1132" w:gutter="0"/>
          <w:cols w:space="720"/>
          <w:noEndnote/>
        </w:sect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lastRenderedPageBreak/>
        <w:t>Na Fundação Bradesco estudam crianças de diversas comunidades carentes de São Luis, desde bairros como Coroadinho até o Recanto Fialho e que tem o intuito de promover a inclusão social através da educação milhares de crianças na nossa cidade.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  <w:r>
        <w:rPr>
          <w:lang w:val="pt-BR"/>
        </w:rPr>
        <w:t xml:space="preserve"> 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  <w:r>
        <w:rPr>
          <w:b/>
          <w:bCs/>
          <w:lang w:val="pt-BR"/>
        </w:rPr>
        <w:t>CONCLUSÃO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O Maranhão é estado com uma das maiores taxas desigualdade sócio-econômica do Brasil, sendo um dos mais pobres, pela  falta de politicas sociais por parte do poder publico e de programas sociais que previnam a criminalidade e promovam a inclusão social  levando ao agravamento da criminalidade, principalmente em São Luis.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>O aumento da criminalidade é conseqüência também da repressão, uma vez que a utilização de programas de prevenção a criminalidade seria mais fácil combater a criminalidade partindo da ponto da origem, as crianças, mas de acordo com os entrevistados (Anexo 3), comprovou-se que este tipo de politica não existe por parte do poder publico e sim pelo setor privado.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ind w:firstLine="1134"/>
        <w:jc w:val="both"/>
        <w:rPr>
          <w:lang w:val="pt-BR"/>
        </w:rPr>
      </w:pPr>
      <w:r>
        <w:rPr>
          <w:lang w:val="pt-BR"/>
        </w:rPr>
        <w:t xml:space="preserve">A falta de atuação do poder publico em criar politicas de prevenção vem fazendo só crescer a criminalidade e também os criminosos são a cada dia mais jovens, que buscam o caminho ca criminalidade cada vez mais cedo pela falta de oportunidade e pelo consumismo esbanjador da classe média, ou seja, a desigualdade sócio-econômica em todos os sentidos é causa da criminalidade. 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line="360" w:lineRule="auto"/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  <w:r>
        <w:rPr>
          <w:b/>
          <w:bCs/>
          <w:lang w:val="pt-BR"/>
        </w:rPr>
        <w:t>REFERÊNCIAS: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  <w:r>
        <w:rPr>
          <w:lang w:val="pt-BR"/>
        </w:rPr>
        <w:t xml:space="preserve">BARATA, Alessandro. </w:t>
      </w:r>
      <w:r>
        <w:rPr>
          <w:b/>
          <w:bCs/>
          <w:lang w:val="pt-BR"/>
        </w:rPr>
        <w:t>Criminologia Critica do Direito Penal: introdução à sociologia do direito penal.</w:t>
      </w:r>
      <w:r>
        <w:rPr>
          <w:lang w:val="pt-BR"/>
        </w:rPr>
        <w:t xml:space="preserve"> Tradução Juarez Cirino dos Santos. 3º.ed. Rio de Janeiro: Editora Renavan: Instituto Carioca de Criminologia, 2002.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lang w:val="pt-BR"/>
        </w:rPr>
      </w:pPr>
      <w:r>
        <w:rPr>
          <w:rFonts w:ascii="Sakkal Majalla" w:hAnsi="Sakkal Majalla" w:cs="Sakkal Majalla"/>
          <w:lang w:val="pt-BR"/>
        </w:rPr>
        <w:t xml:space="preserve">CITTADINO, G. </w:t>
      </w:r>
      <w:r>
        <w:rPr>
          <w:rFonts w:ascii="Sakkal Majalla" w:hAnsi="Sakkal Majalla" w:cs="Sakkal Majalla"/>
          <w:b/>
          <w:bCs/>
          <w:lang w:val="pt-BR"/>
        </w:rPr>
        <w:t>Pluralismo, Direito e justiça distributiva</w:t>
      </w:r>
      <w:r>
        <w:rPr>
          <w:rFonts w:ascii="Sakkal Majalla" w:hAnsi="Sakkal Majalla" w:cs="Sakkal Majalla"/>
          <w:lang w:val="pt-BR"/>
        </w:rPr>
        <w:t>: elementos de filosofia constitucional contemporânea. 3. ed. Rio de Janeiro: Lumen Juris, 2004.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lang w:val="pt-BR"/>
        </w:rPr>
      </w:pPr>
      <w:r>
        <w:rPr>
          <w:rFonts w:ascii="Sakkal Majalla" w:hAnsi="Sakkal Majalla" w:cs="Sakkal Majalla"/>
          <w:b/>
          <w:bCs/>
          <w:lang w:val="pt-BR"/>
        </w:rPr>
        <w:t>CÓDIGO PENAL BRASILEIRO</w:t>
      </w:r>
      <w:r>
        <w:rPr>
          <w:rFonts w:ascii="Sakkal Majalla" w:hAnsi="Sakkal Majalla" w:cs="Sakkal Majalla"/>
          <w:lang w:val="pt-BR"/>
        </w:rPr>
        <w:t>. São Paulo: Saraiva, 2007.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  <w:r>
        <w:rPr>
          <w:rFonts w:ascii="Sakkal Majalla" w:hAnsi="Sakkal Majalla" w:cs="Sakkal Majalla"/>
          <w:lang w:val="pt-BR"/>
        </w:rPr>
        <w:lastRenderedPageBreak/>
        <w:t xml:space="preserve">DETRAN - DF. Estatísticas. </w:t>
      </w:r>
      <w:r>
        <w:rPr>
          <w:rFonts w:ascii="Sakkal Majalla" w:hAnsi="Sakkal Majalla" w:cs="Sakkal Majalla"/>
          <w:b/>
          <w:bCs/>
          <w:lang w:val="pt-BR"/>
        </w:rPr>
        <w:t>Frota de veículos</w:t>
      </w:r>
      <w:r>
        <w:rPr>
          <w:rFonts w:ascii="Sakkal Majalla" w:hAnsi="Sakkal Majalla" w:cs="Sakkal Majalla"/>
          <w:lang w:val="pt-BR"/>
        </w:rPr>
        <w:t xml:space="preserve">. Disponível em: </w:t>
      </w:r>
      <w:r>
        <w:rPr>
          <w:rStyle w:val="Hypertext"/>
          <w:color w:val="000000"/>
          <w:u w:val="none"/>
          <w:lang w:val="pt-BR"/>
        </w:rPr>
        <w:t>http://www.detran.df.gov.br/. Acesso em: 09. Nov. 2009.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</w:pPr>
      <w:r>
        <w:rPr>
          <w:lang w:val="pt-BR"/>
        </w:rPr>
        <w:t xml:space="preserve">DETRAN - MA. Estatísticas. </w:t>
      </w:r>
      <w:r>
        <w:rPr>
          <w:b/>
          <w:bCs/>
          <w:lang w:val="pt-BR"/>
        </w:rPr>
        <w:t>Frota de veículos.</w:t>
      </w:r>
      <w:r>
        <w:rPr>
          <w:lang w:val="pt-BR"/>
        </w:rPr>
        <w:t xml:space="preserve"> Disponível em: </w:t>
      </w:r>
      <w:r>
        <w:rPr>
          <w:rStyle w:val="Hypertext"/>
          <w:color w:val="000000"/>
          <w:u w:val="none"/>
          <w:lang w:val="pt-BR"/>
        </w:rPr>
        <w:t>http://www.detran.ma.gov.br/estatisticas.</w:t>
      </w:r>
      <w:r>
        <w:rPr>
          <w:lang w:val="pt-BR"/>
        </w:rPr>
        <w:t xml:space="preserve"> Acesso em: 10.nov. 2009.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lang w:val="pt-BR"/>
        </w:rPr>
        <w:sectPr w:rsidR="00B815EC">
          <w:type w:val="continuous"/>
          <w:pgSz w:w="11905" w:h="16837"/>
          <w:pgMar w:top="1700" w:right="1132" w:bottom="1132" w:left="1440" w:header="1700" w:footer="1132" w:gutter="0"/>
          <w:cols w:space="720"/>
          <w:noEndnote/>
        </w:sect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b/>
          <w:bCs/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color w:val="000000"/>
          <w:lang w:val="pt-BR"/>
        </w:rPr>
      </w:pPr>
      <w:r>
        <w:rPr>
          <w:rFonts w:ascii="Sakkal Majalla" w:hAnsi="Sakkal Majalla" w:cs="Sakkal Majalla"/>
          <w:lang w:val="pt-BR"/>
        </w:rPr>
        <w:t xml:space="preserve">Fundação Bradesco. </w:t>
      </w:r>
      <w:r>
        <w:rPr>
          <w:rFonts w:ascii="Sakkal Majalla" w:hAnsi="Sakkal Majalla" w:cs="Sakkal Majalla"/>
          <w:b/>
          <w:bCs/>
          <w:lang w:val="pt-BR"/>
        </w:rPr>
        <w:t>Educa+Ação</w:t>
      </w:r>
      <w:r>
        <w:rPr>
          <w:rFonts w:ascii="Sakkal Majalla" w:hAnsi="Sakkal Majalla" w:cs="Sakkal Majalla"/>
          <w:lang w:val="pt-BR"/>
        </w:rPr>
        <w:t>.</w:t>
      </w:r>
      <w:r>
        <w:rPr>
          <w:rFonts w:ascii="Sakkal Majalla" w:hAnsi="Sakkal Majalla" w:cs="Sakkal Majalla"/>
          <w:color w:val="000000"/>
          <w:lang w:val="pt-BR"/>
        </w:rPr>
        <w:t xml:space="preserve"> Disponível em: http://www.fb.org.br/Institucional/ProjetosEducacionais/EducamaisAcao/. Acesso em: 10. Nov. 2009.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b/>
          <w:bCs/>
          <w:color w:val="000000"/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color w:val="000000"/>
          <w:lang w:val="pt-BR"/>
        </w:rPr>
      </w:pPr>
      <w:r>
        <w:rPr>
          <w:rFonts w:ascii="Sakkal Majalla" w:hAnsi="Sakkal Majalla" w:cs="Sakkal Majalla"/>
          <w:color w:val="000000"/>
          <w:lang w:val="pt-BR"/>
        </w:rPr>
        <w:t xml:space="preserve">Ministério do desenvolvimento social e combate a fome. </w:t>
      </w:r>
      <w:r>
        <w:rPr>
          <w:b/>
          <w:bCs/>
          <w:color w:val="000000"/>
          <w:lang w:val="pt-BR"/>
        </w:rPr>
        <w:t>Programa Bolsa Família</w:t>
      </w:r>
      <w:r>
        <w:rPr>
          <w:color w:val="000000"/>
          <w:lang w:val="pt-BR"/>
        </w:rPr>
        <w:t>.</w:t>
      </w:r>
      <w:r>
        <w:rPr>
          <w:rFonts w:ascii="Sakkal Majalla" w:hAnsi="Sakkal Majalla" w:cs="Sakkal Majalla"/>
          <w:color w:val="000000"/>
          <w:lang w:val="pt-BR"/>
        </w:rPr>
        <w:t xml:space="preserve"> Disponível em: http://www.mds.gov.br/bolsafamilia/o_programa_bolsa_familia/o</w:t>
      </w:r>
      <w:r>
        <w:rPr>
          <w:rFonts w:ascii="Sakkal Majalla" w:hAnsi="Sakkal Majalla" w:cs="Sakkal Majalla"/>
          <w:color w:val="000000"/>
          <w:lang w:val="pt-BR"/>
        </w:rPr>
        <w:noBreakHyphen/>
        <w:t>que</w:t>
      </w:r>
      <w:r>
        <w:rPr>
          <w:rFonts w:ascii="Sakkal Majalla" w:hAnsi="Sakkal Majalla" w:cs="Sakkal Majalla"/>
          <w:color w:val="000000"/>
          <w:lang w:val="pt-BR"/>
        </w:rPr>
        <w:noBreakHyphen/>
        <w:t>e. Acesso em: 08. Nov. 2009.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color w:val="000000"/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color w:val="000000"/>
          <w:lang w:val="pt-BR"/>
        </w:rPr>
      </w:pPr>
      <w:r>
        <w:rPr>
          <w:rFonts w:ascii="Sakkal Majalla" w:hAnsi="Sakkal Majalla" w:cs="Sakkal Majalla"/>
          <w:color w:val="000000"/>
          <w:lang w:val="pt-BR"/>
        </w:rPr>
        <w:t xml:space="preserve">Ministério do desenvolvimento social e combate a fome. </w:t>
      </w:r>
      <w:r>
        <w:rPr>
          <w:rFonts w:ascii="Sakkal Majalla" w:hAnsi="Sakkal Majalla" w:cs="Sakkal Majalla"/>
          <w:b/>
          <w:bCs/>
          <w:color w:val="000000"/>
          <w:lang w:val="pt-BR"/>
        </w:rPr>
        <w:t>PETI - Programa de Erradicação do Trabalho Infantil.</w:t>
      </w:r>
      <w:r>
        <w:rPr>
          <w:rFonts w:ascii="Sakkal Majalla" w:hAnsi="Sakkal Majalla" w:cs="Sakkal Majalla"/>
          <w:color w:val="000000"/>
          <w:lang w:val="pt-BR"/>
        </w:rPr>
        <w:t xml:space="preserve"> Disponível em: http://www.mds.gov.br/programas/rede</w:t>
      </w:r>
      <w:r>
        <w:rPr>
          <w:rFonts w:ascii="Sakkal Majalla" w:hAnsi="Sakkal Majalla" w:cs="Sakkal Majalla"/>
          <w:color w:val="000000"/>
          <w:lang w:val="pt-BR"/>
        </w:rPr>
        <w:noBreakHyphen/>
        <w:t>suas/protecao</w:t>
      </w:r>
      <w:r>
        <w:rPr>
          <w:rFonts w:ascii="Sakkal Majalla" w:hAnsi="Sakkal Majalla" w:cs="Sakkal Majalla"/>
          <w:color w:val="000000"/>
          <w:lang w:val="pt-BR"/>
        </w:rPr>
        <w:noBreakHyphen/>
        <w:t>social</w:t>
      </w:r>
      <w:r>
        <w:rPr>
          <w:rFonts w:ascii="Sakkal Majalla" w:hAnsi="Sakkal Majalla" w:cs="Sakkal Majalla"/>
          <w:color w:val="000000"/>
          <w:lang w:val="pt-BR"/>
        </w:rPr>
        <w:noBreakHyphen/>
        <w:t>especial/programa</w:t>
      </w:r>
      <w:r>
        <w:rPr>
          <w:rFonts w:ascii="Sakkal Majalla" w:hAnsi="Sakkal Majalla" w:cs="Sakkal Majalla"/>
          <w:color w:val="000000"/>
          <w:lang w:val="pt-BR"/>
        </w:rPr>
        <w:noBreakHyphen/>
        <w:t>de</w:t>
      </w:r>
      <w:r>
        <w:rPr>
          <w:rFonts w:ascii="Sakkal Majalla" w:hAnsi="Sakkal Majalla" w:cs="Sakkal Majalla"/>
          <w:color w:val="000000"/>
          <w:lang w:val="pt-BR"/>
        </w:rPr>
        <w:noBreakHyphen/>
        <w:t>erradicacao</w:t>
      </w:r>
      <w:r>
        <w:rPr>
          <w:rFonts w:ascii="Sakkal Majalla" w:hAnsi="Sakkal Majalla" w:cs="Sakkal Majalla"/>
          <w:color w:val="000000"/>
          <w:lang w:val="pt-BR"/>
        </w:rPr>
        <w:noBreakHyphen/>
        <w:t>do</w:t>
      </w:r>
      <w:r>
        <w:rPr>
          <w:rFonts w:ascii="Sakkal Majalla" w:hAnsi="Sakkal Majalla" w:cs="Sakkal Majalla"/>
          <w:color w:val="000000"/>
          <w:lang w:val="pt-BR"/>
        </w:rPr>
        <w:noBreakHyphen/>
        <w:t>trabalho</w:t>
      </w:r>
      <w:r>
        <w:rPr>
          <w:rFonts w:ascii="Sakkal Majalla" w:hAnsi="Sakkal Majalla" w:cs="Sakkal Majalla"/>
          <w:color w:val="000000"/>
          <w:lang w:val="pt-BR"/>
        </w:rPr>
        <w:noBreakHyphen/>
        <w:t>infantil</w:t>
      </w:r>
      <w:r>
        <w:rPr>
          <w:rFonts w:ascii="Sakkal Majalla" w:hAnsi="Sakkal Majalla" w:cs="Sakkal Majalla"/>
          <w:color w:val="000000"/>
          <w:lang w:val="pt-BR"/>
        </w:rPr>
        <w:noBreakHyphen/>
        <w:t>peti. Acesso em: 08. Nov. 2009.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color w:val="000000"/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color w:val="000000"/>
          <w:lang w:val="pt-BR"/>
        </w:rPr>
      </w:pPr>
      <w:r>
        <w:rPr>
          <w:rFonts w:ascii="Sakkal Majalla" w:hAnsi="Sakkal Majalla" w:cs="Sakkal Majalla"/>
          <w:color w:val="000000"/>
          <w:lang w:val="pt-BR"/>
        </w:rPr>
        <w:t xml:space="preserve">NERI, Marcelo Cortes (Coord). </w:t>
      </w:r>
      <w:r>
        <w:rPr>
          <w:rFonts w:ascii="Sakkal Majalla" w:hAnsi="Sakkal Majalla" w:cs="Sakkal Majalla"/>
          <w:b/>
          <w:bCs/>
          <w:color w:val="000000"/>
          <w:lang w:val="pt-BR"/>
        </w:rPr>
        <w:t xml:space="preserve">Performance social das 27 capitais brasileiras entre mandatos de prefeitos. </w:t>
      </w:r>
      <w:r>
        <w:rPr>
          <w:rFonts w:ascii="Sakkal Majalla" w:hAnsi="Sakkal Majalla" w:cs="Sakkal Majalla"/>
          <w:color w:val="000000"/>
          <w:lang w:val="pt-BR"/>
        </w:rPr>
        <w:t>Rio de Janeiro: Fundação Getúlio Vargas/IBRE, CPS, 2009.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color w:val="000000"/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color w:val="000000"/>
          <w:lang w:val="pt-BR"/>
        </w:rPr>
      </w:pPr>
      <w:r>
        <w:rPr>
          <w:rFonts w:ascii="Sakkal Majalla" w:hAnsi="Sakkal Majalla" w:cs="Sakkal Majalla"/>
          <w:color w:val="000000"/>
          <w:lang w:val="pt-BR"/>
        </w:rPr>
        <w:t xml:space="preserve">OLIVEIRA, Luciano. </w:t>
      </w:r>
      <w:r>
        <w:rPr>
          <w:rFonts w:ascii="Sakkal Majalla" w:hAnsi="Sakkal Majalla" w:cs="Sakkal Majalla"/>
          <w:b/>
          <w:bCs/>
          <w:color w:val="000000"/>
          <w:lang w:val="pt-BR"/>
        </w:rPr>
        <w:t xml:space="preserve">Principio da Legalidade: da dogmática jurídica a Teoria do Direito. A lei é o que senhor Major quiser! </w:t>
      </w:r>
      <w:r>
        <w:rPr>
          <w:rFonts w:ascii="Sakkal Majalla" w:hAnsi="Sakkal Majalla" w:cs="Sakkal Majalla"/>
          <w:color w:val="000000"/>
          <w:lang w:val="pt-BR"/>
        </w:rPr>
        <w:t>Cidade: Forense, ano.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b/>
          <w:bCs/>
          <w:color w:val="000000"/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color w:val="000000"/>
          <w:lang w:val="pt-BR"/>
        </w:rPr>
      </w:pPr>
      <w:r>
        <w:rPr>
          <w:rFonts w:ascii="Sakkal Majalla" w:hAnsi="Sakkal Majalla" w:cs="Sakkal Majalla"/>
          <w:b/>
          <w:bCs/>
          <w:color w:val="000000"/>
          <w:lang w:val="pt-BR"/>
        </w:rPr>
        <w:t>Política Nacional de Assistência Social - PNAS/2004. Norma operacional básica - NOB/SUAS</w:t>
      </w:r>
      <w:r>
        <w:rPr>
          <w:rFonts w:ascii="Sakkal Majalla" w:hAnsi="Sakkal Majalla" w:cs="Sakkal Majalla"/>
          <w:color w:val="000000"/>
          <w:lang w:val="pt-BR"/>
        </w:rPr>
        <w:t>. Brasília: Ministério do desenvolvimento social e combate a fome, 2005.</w:t>
      </w: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b/>
          <w:bCs/>
          <w:color w:val="000000"/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rFonts w:ascii="Sakkal Majalla" w:hAnsi="Sakkal Majalla" w:cs="Sakkal Majalla"/>
          <w:b/>
          <w:bCs/>
          <w:color w:val="000000"/>
          <w:u w:val="single"/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jc w:val="both"/>
        <w:rPr>
          <w:color w:val="000000"/>
          <w:lang w:val="pt-BR"/>
        </w:rPr>
      </w:pPr>
    </w:p>
    <w:p w:rsidR="00B815EC" w:rsidRDefault="00B815EC">
      <w:pPr>
        <w:widowControl/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rPr>
          <w:color w:val="000000"/>
          <w:lang w:val="pt-BR"/>
        </w:rPr>
      </w:pPr>
    </w:p>
    <w:sectPr w:rsidR="00B815EC" w:rsidSect="00B815EC">
      <w:type w:val="continuous"/>
      <w:pgSz w:w="11905" w:h="16837"/>
      <w:pgMar w:top="1700" w:right="1132" w:bottom="1132" w:left="1440" w:header="1700" w:footer="1132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CE8" w:rsidRDefault="00042CE8" w:rsidP="00B815EC">
      <w:r>
        <w:separator/>
      </w:r>
    </w:p>
  </w:endnote>
  <w:endnote w:type="continuationSeparator" w:id="0">
    <w:p w:rsidR="00042CE8" w:rsidRDefault="00042CE8" w:rsidP="00B81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CE8" w:rsidRDefault="00042CE8" w:rsidP="00B815EC">
      <w:r>
        <w:separator/>
      </w:r>
    </w:p>
  </w:footnote>
  <w:footnote w:type="continuationSeparator" w:id="0">
    <w:p w:rsidR="00042CE8" w:rsidRDefault="00042CE8" w:rsidP="00B815EC">
      <w:r>
        <w:continuationSeparator/>
      </w:r>
    </w:p>
  </w:footnote>
  <w:footnote w:id="1">
    <w:p w:rsidR="00B815EC" w:rsidRDefault="00B815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240"/>
        <w:ind w:firstLine="900"/>
        <w:jc w:val="both"/>
        <w:rPr>
          <w:lang w:val="pt-BR"/>
        </w:rPr>
      </w:pPr>
      <w:r>
        <w:rPr>
          <w:rStyle w:val="Refdenotaderodap"/>
          <w:vertAlign w:val="superscript"/>
          <w:lang w:val="pt-BR"/>
        </w:rPr>
        <w:footnoteRef/>
      </w:r>
      <w:r>
        <w:rPr>
          <w:sz w:val="20"/>
          <w:szCs w:val="20"/>
          <w:lang w:val="pt-BR"/>
        </w:rPr>
        <w:t>Dados da Fundação Getúlio Vargas, Performance Social das 27 Capitais Brasileiras entre mandatos de prefeitos.</w:t>
      </w:r>
    </w:p>
  </w:footnote>
  <w:footnote w:id="2">
    <w:p w:rsidR="00B815EC" w:rsidRDefault="00B815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240"/>
        <w:ind w:right="67" w:firstLine="900"/>
        <w:jc w:val="both"/>
        <w:rPr>
          <w:lang w:val="pt-BR"/>
        </w:rPr>
      </w:pPr>
      <w:r>
        <w:rPr>
          <w:rStyle w:val="Refdenotaderodap"/>
          <w:vertAlign w:val="superscript"/>
          <w:lang w:val="pt-BR"/>
        </w:rPr>
        <w:footnoteRef/>
      </w:r>
      <w:r>
        <w:rPr>
          <w:sz w:val="20"/>
          <w:szCs w:val="20"/>
          <w:lang w:val="pt-BR"/>
        </w:rPr>
        <w:t>Dados da Fundação Getúlio Vargas. Performance Social das 27 Capitais Brasileiras entre mandatos de prefeitos.</w:t>
      </w:r>
    </w:p>
  </w:footnote>
  <w:footnote w:id="3">
    <w:p w:rsidR="00B815EC" w:rsidRDefault="00B815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240"/>
        <w:ind w:right="67" w:firstLine="900"/>
        <w:jc w:val="both"/>
        <w:rPr>
          <w:lang w:val="pt-BR"/>
        </w:rPr>
      </w:pPr>
      <w:r>
        <w:rPr>
          <w:rStyle w:val="Refdenotaderodap"/>
          <w:vertAlign w:val="superscript"/>
          <w:lang w:val="pt-BR"/>
        </w:rPr>
        <w:footnoteRef/>
      </w:r>
      <w:r>
        <w:rPr>
          <w:sz w:val="20"/>
          <w:szCs w:val="20"/>
          <w:lang w:val="pt-BR"/>
        </w:rPr>
        <w:t>Fonte do DETRAN-MA, numero da frota de veículos renovada em entre janeiro e setembro de 2009.</w:t>
      </w:r>
    </w:p>
  </w:footnote>
  <w:footnote w:id="4">
    <w:p w:rsidR="00B815EC" w:rsidRDefault="00B815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240"/>
        <w:ind w:right="67" w:firstLine="900"/>
        <w:jc w:val="both"/>
        <w:rPr>
          <w:lang w:val="pt-BR"/>
        </w:rPr>
      </w:pPr>
      <w:r>
        <w:rPr>
          <w:rStyle w:val="Refdenotaderodap"/>
          <w:vertAlign w:val="superscript"/>
          <w:lang w:val="pt-BR"/>
        </w:rPr>
        <w:footnoteRef/>
      </w:r>
      <w:r>
        <w:rPr>
          <w:sz w:val="20"/>
          <w:szCs w:val="20"/>
          <w:lang w:val="pt-BR"/>
        </w:rPr>
        <w:t>Fonte do DETRAN-DF, numero da frota de veículos renovada.</w:t>
      </w:r>
    </w:p>
  </w:footnote>
  <w:footnote w:id="5">
    <w:p w:rsidR="00B815EC" w:rsidRDefault="00B815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240"/>
        <w:ind w:right="67" w:firstLine="900"/>
        <w:jc w:val="both"/>
        <w:rPr>
          <w:lang w:val="pt-BR"/>
        </w:rPr>
      </w:pPr>
      <w:r>
        <w:rPr>
          <w:rStyle w:val="Refdenotaderodap"/>
          <w:vertAlign w:val="superscript"/>
          <w:lang w:val="pt-BR"/>
        </w:rPr>
        <w:footnoteRef/>
      </w:r>
      <w:r>
        <w:rPr>
          <w:sz w:val="20"/>
          <w:szCs w:val="20"/>
          <w:lang w:val="pt-BR"/>
        </w:rPr>
        <w:t>Dados da Delegacia de Roubos e Furtos de São Luis, relativos até o dia 6/11/2009, dia em que ocorreu a entrevista. Anexo 1.</w:t>
      </w:r>
    </w:p>
  </w:footnote>
  <w:footnote w:id="6">
    <w:p w:rsidR="00B815EC" w:rsidRDefault="00B815EC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</w:tabs>
        <w:spacing w:after="240"/>
        <w:ind w:right="67" w:firstLine="900"/>
        <w:jc w:val="both"/>
        <w:rPr>
          <w:lang w:val="pt-BR"/>
        </w:rPr>
      </w:pPr>
      <w:r>
        <w:rPr>
          <w:rStyle w:val="Refdenotaderodap"/>
          <w:vertAlign w:val="superscript"/>
          <w:lang w:val="pt-BR"/>
        </w:rPr>
        <w:footnoteRef/>
      </w:r>
      <w:r>
        <w:rPr>
          <w:sz w:val="20"/>
          <w:szCs w:val="20"/>
          <w:lang w:val="pt-BR"/>
        </w:rPr>
        <w:t>Entrevista com pessoas de diversas comunidades de São Luis. Anexo 3.</w:t>
      </w:r>
    </w:p>
  </w:footnote>
  <w:footnote w:id="7">
    <w:p w:rsidR="00B815EC" w:rsidRDefault="00B815EC">
      <w:pPr>
        <w:tabs>
          <w:tab w:val="left" w:pos="-23"/>
          <w:tab w:val="left" w:pos="877"/>
          <w:tab w:val="left" w:pos="1777"/>
          <w:tab w:val="left" w:pos="2677"/>
          <w:tab w:val="left" w:pos="3577"/>
          <w:tab w:val="left" w:pos="4477"/>
          <w:tab w:val="left" w:pos="5377"/>
          <w:tab w:val="left" w:pos="6277"/>
          <w:tab w:val="left" w:pos="7177"/>
          <w:tab w:val="left" w:pos="8077"/>
          <w:tab w:val="left" w:pos="8977"/>
        </w:tabs>
        <w:spacing w:after="240"/>
        <w:ind w:left="-23" w:right="285" w:firstLine="900"/>
        <w:jc w:val="both"/>
        <w:rPr>
          <w:lang w:val="pt-BR"/>
        </w:rPr>
      </w:pPr>
      <w:r>
        <w:rPr>
          <w:rStyle w:val="Refdenotaderodap"/>
          <w:vertAlign w:val="superscript"/>
          <w:lang w:val="pt-BR"/>
        </w:rPr>
        <w:footnoteRef/>
      </w:r>
      <w:r>
        <w:rPr>
          <w:sz w:val="20"/>
          <w:szCs w:val="20"/>
          <w:lang w:val="pt-BR"/>
        </w:rPr>
        <w:t>Entrevista com Assistentes Sociais da Secretaria de Estado de Desenvolvimento Social, Anexo 2.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EC" w:rsidRDefault="00B815EC">
    <w:pPr>
      <w:framePr w:w="9072" w:wrap="notBeside" w:vAnchor="text" w:hAnchor="text" w:x="1" w:y="1"/>
      <w:jc w:val="right"/>
    </w:pPr>
    <w:fldSimple w:instr="PAGE ">
      <w:r w:rsidR="00A406FB">
        <w:rPr>
          <w:noProof/>
        </w:rPr>
        <w:t>1</w:t>
      </w:r>
    </w:fldSimple>
  </w:p>
  <w:p w:rsidR="00B815EC" w:rsidRDefault="00B815EC">
    <w:pPr>
      <w:ind w:left="23" w:right="23"/>
    </w:pPr>
  </w:p>
  <w:p w:rsidR="00B815EC" w:rsidRDefault="00B815EC">
    <w:pPr>
      <w:spacing w:line="240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15EC" w:rsidRDefault="00B815EC">
    <w:pPr>
      <w:framePr w:w="9072" w:wrap="notBeside" w:vAnchor="text" w:hAnchor="text" w:x="1" w:y="1"/>
      <w:jc w:val="right"/>
    </w:pPr>
    <w:fldSimple w:instr="PAGE ">
      <w:r w:rsidR="00A406FB">
        <w:rPr>
          <w:noProof/>
        </w:rPr>
        <w:t>8</w:t>
      </w:r>
    </w:fldSimple>
  </w:p>
  <w:p w:rsidR="00B815EC" w:rsidRDefault="00B815EC">
    <w:pPr>
      <w:ind w:left="23" w:right="23"/>
    </w:pPr>
  </w:p>
  <w:p w:rsidR="00B815EC" w:rsidRDefault="00B815EC">
    <w:pPr>
      <w:spacing w:line="240" w:lineRule="exac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5EC"/>
    <w:rsid w:val="00042CE8"/>
    <w:rsid w:val="00A406FB"/>
    <w:rsid w:val="00B8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uiPriority w:val="99"/>
  </w:style>
  <w:style w:type="character" w:customStyle="1" w:styleId="Hypertext">
    <w:name w:val="Hypertext"/>
    <w:uiPriority w:val="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2742</Words>
  <Characters>14808</Characters>
  <Application>Microsoft Office Word</Application>
  <DocSecurity>0</DocSecurity>
  <Lines>123</Lines>
  <Paragraphs>35</Paragraphs>
  <ScaleCrop>false</ScaleCrop>
  <Company>Microsoft Office 2007</Company>
  <LinksUpToDate>false</LinksUpToDate>
  <CharactersWithSpaces>17515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</dc:creator>
  <cp:lastModifiedBy>Erik</cp:lastModifiedBy>
  <cp:revision>2</cp:revision>
  <dcterms:created xsi:type="dcterms:W3CDTF">2015-02-12T00:55:00Z</dcterms:created>
  <dcterms:modified xsi:type="dcterms:W3CDTF">2015-02-12T00:55:00Z</dcterms:modified>
</cp:coreProperties>
</file>