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92" w:rsidRPr="00753D6D" w:rsidRDefault="00046B92" w:rsidP="00B52294">
      <w:pPr>
        <w:spacing w:after="120"/>
        <w:contextualSpacing/>
        <w:jc w:val="center"/>
        <w:rPr>
          <w:rFonts w:ascii="Times New Roman" w:hAnsi="Times New Roman"/>
          <w:sz w:val="28"/>
          <w:szCs w:val="28"/>
        </w:rPr>
      </w:pPr>
      <w:bookmarkStart w:id="0" w:name="_GoBack"/>
      <w:r w:rsidRPr="00753D6D">
        <w:rPr>
          <w:rFonts w:ascii="Times New Roman" w:hAnsi="Times New Roman"/>
          <w:b/>
          <w:sz w:val="28"/>
          <w:szCs w:val="28"/>
        </w:rPr>
        <w:t>TRATAMENTO DIFERENCIADO DADO AO PORTE DE DROGAS PARA USO PESSOAL</w:t>
      </w:r>
      <w:r w:rsidRPr="00753D6D">
        <w:rPr>
          <w:rFonts w:ascii="Times New Roman" w:hAnsi="Times New Roman"/>
          <w:sz w:val="28"/>
          <w:szCs w:val="28"/>
        </w:rPr>
        <w:t>: uma análise acerca da (</w:t>
      </w:r>
      <w:proofErr w:type="spellStart"/>
      <w:r w:rsidRPr="00753D6D">
        <w:rPr>
          <w:rFonts w:ascii="Times New Roman" w:hAnsi="Times New Roman"/>
          <w:sz w:val="28"/>
          <w:szCs w:val="28"/>
        </w:rPr>
        <w:t>des</w:t>
      </w:r>
      <w:proofErr w:type="spellEnd"/>
      <w:r w:rsidRPr="00753D6D">
        <w:rPr>
          <w:rFonts w:ascii="Times New Roman" w:hAnsi="Times New Roman"/>
          <w:sz w:val="28"/>
          <w:szCs w:val="28"/>
        </w:rPr>
        <w:t>) penalização e (</w:t>
      </w:r>
      <w:proofErr w:type="spellStart"/>
      <w:r w:rsidRPr="00753D6D">
        <w:rPr>
          <w:rFonts w:ascii="Times New Roman" w:hAnsi="Times New Roman"/>
          <w:sz w:val="28"/>
          <w:szCs w:val="28"/>
        </w:rPr>
        <w:t>des</w:t>
      </w:r>
      <w:proofErr w:type="spellEnd"/>
      <w:r w:rsidRPr="00753D6D">
        <w:rPr>
          <w:rFonts w:ascii="Times New Roman" w:hAnsi="Times New Roman"/>
          <w:sz w:val="28"/>
          <w:szCs w:val="28"/>
        </w:rPr>
        <w:t>) criminalização da conduta inserta no art. 28 da Lei 11.343/2006</w:t>
      </w:r>
      <w:r w:rsidR="00B52294">
        <w:rPr>
          <w:rFonts w:ascii="Times New Roman" w:hAnsi="Times New Roman"/>
          <w:sz w:val="28"/>
          <w:szCs w:val="28"/>
        </w:rPr>
        <w:t>¹</w:t>
      </w:r>
    </w:p>
    <w:p w:rsidR="00046B92" w:rsidRDefault="00046B92" w:rsidP="00B52294">
      <w:pPr>
        <w:spacing w:after="120" w:line="360" w:lineRule="auto"/>
        <w:jc w:val="center"/>
        <w:rPr>
          <w:rFonts w:ascii="Times New Roman" w:hAnsi="Times New Roman"/>
          <w:sz w:val="24"/>
          <w:szCs w:val="24"/>
        </w:rPr>
      </w:pPr>
    </w:p>
    <w:p w:rsidR="00046B92" w:rsidRDefault="00046B92" w:rsidP="00046B92">
      <w:pPr>
        <w:spacing w:line="240" w:lineRule="auto"/>
        <w:contextualSpacing/>
        <w:jc w:val="right"/>
        <w:rPr>
          <w:rFonts w:ascii="Times New Roman" w:hAnsi="Times New Roman"/>
          <w:i/>
          <w:sz w:val="24"/>
          <w:szCs w:val="24"/>
        </w:rPr>
      </w:pPr>
      <w:r w:rsidRPr="006B0E98">
        <w:rPr>
          <w:rFonts w:ascii="Times New Roman" w:hAnsi="Times New Roman"/>
          <w:i/>
          <w:sz w:val="24"/>
          <w:szCs w:val="24"/>
        </w:rPr>
        <w:t>Larissa Oliveira Coelho</w:t>
      </w:r>
      <w:r w:rsidR="00B52294">
        <w:rPr>
          <w:rFonts w:ascii="Times New Roman" w:hAnsi="Times New Roman"/>
          <w:i/>
          <w:sz w:val="24"/>
          <w:szCs w:val="24"/>
        </w:rPr>
        <w:t>²</w:t>
      </w:r>
    </w:p>
    <w:p w:rsidR="00B52294" w:rsidRDefault="00B52294" w:rsidP="00046B92">
      <w:pPr>
        <w:spacing w:line="240" w:lineRule="auto"/>
        <w:contextualSpacing/>
        <w:jc w:val="right"/>
        <w:rPr>
          <w:rFonts w:ascii="Times New Roman" w:hAnsi="Times New Roman"/>
          <w:i/>
          <w:sz w:val="24"/>
          <w:szCs w:val="24"/>
        </w:rPr>
      </w:pPr>
      <w:r w:rsidRPr="005443FB">
        <w:rPr>
          <w:rFonts w:ascii="Times New Roman" w:hAnsi="Times New Roman"/>
          <w:i/>
          <w:sz w:val="24"/>
          <w:szCs w:val="24"/>
        </w:rPr>
        <w:t>Socorro</w:t>
      </w:r>
      <w:r w:rsidR="005443FB">
        <w:rPr>
          <w:rFonts w:ascii="Times New Roman" w:hAnsi="Times New Roman"/>
          <w:i/>
          <w:sz w:val="24"/>
          <w:szCs w:val="24"/>
        </w:rPr>
        <w:t xml:space="preserve"> Almeida de Carvalho</w:t>
      </w:r>
      <w:r>
        <w:rPr>
          <w:rFonts w:ascii="Times New Roman" w:hAnsi="Times New Roman"/>
          <w:i/>
          <w:sz w:val="24"/>
          <w:szCs w:val="24"/>
        </w:rPr>
        <w:t>³</w:t>
      </w:r>
    </w:p>
    <w:p w:rsidR="00F00C4B" w:rsidRDefault="00F00C4B" w:rsidP="00046B92">
      <w:pPr>
        <w:spacing w:line="240" w:lineRule="auto"/>
        <w:contextualSpacing/>
        <w:jc w:val="right"/>
        <w:rPr>
          <w:rFonts w:ascii="Times New Roman" w:hAnsi="Times New Roman"/>
          <w:i/>
          <w:sz w:val="24"/>
          <w:szCs w:val="24"/>
        </w:rPr>
      </w:pPr>
    </w:p>
    <w:p w:rsidR="00F00C4B" w:rsidRPr="00F00C4B" w:rsidRDefault="00F00C4B" w:rsidP="00F00C4B">
      <w:pPr>
        <w:spacing w:line="240" w:lineRule="auto"/>
        <w:ind w:left="4536"/>
        <w:contextualSpacing/>
        <w:jc w:val="both"/>
        <w:rPr>
          <w:rFonts w:ascii="Times New Roman" w:hAnsi="Times New Roman"/>
          <w:sz w:val="20"/>
          <w:szCs w:val="20"/>
        </w:rPr>
      </w:pPr>
      <w:proofErr w:type="spellStart"/>
      <w:r w:rsidRPr="00F00C4B">
        <w:rPr>
          <w:rFonts w:ascii="Times New Roman" w:hAnsi="Times New Roman"/>
          <w:sz w:val="20"/>
          <w:szCs w:val="20"/>
        </w:rPr>
        <w:t>Sumário:Introdução</w:t>
      </w:r>
      <w:proofErr w:type="spellEnd"/>
      <w:r w:rsidRPr="00F00C4B">
        <w:rPr>
          <w:rFonts w:ascii="Times New Roman" w:hAnsi="Times New Roman"/>
          <w:sz w:val="20"/>
          <w:szCs w:val="20"/>
        </w:rPr>
        <w:t>; 1 Conceitos preliminares; 2 Análise do art. 1º do DL 3.914/41; 3 Distinção entre os artigos 28 e o artigo 33 da Lei 11.343/2006; 4 Natureza jurídica do artigo 28 da Lei de Drogas; 4.1 Discussão acerca da (</w:t>
      </w:r>
      <w:proofErr w:type="spellStart"/>
      <w:r w:rsidRPr="00F00C4B">
        <w:rPr>
          <w:rFonts w:ascii="Times New Roman" w:hAnsi="Times New Roman"/>
          <w:sz w:val="20"/>
          <w:szCs w:val="20"/>
        </w:rPr>
        <w:t>des</w:t>
      </w:r>
      <w:proofErr w:type="spellEnd"/>
      <w:r w:rsidRPr="00F00C4B">
        <w:rPr>
          <w:rFonts w:ascii="Times New Roman" w:hAnsi="Times New Roman"/>
          <w:sz w:val="20"/>
          <w:szCs w:val="20"/>
        </w:rPr>
        <w:t>)criminalização e da (</w:t>
      </w:r>
      <w:proofErr w:type="spellStart"/>
      <w:r w:rsidRPr="00F00C4B">
        <w:rPr>
          <w:rFonts w:ascii="Times New Roman" w:hAnsi="Times New Roman"/>
          <w:sz w:val="20"/>
          <w:szCs w:val="20"/>
        </w:rPr>
        <w:t>des</w:t>
      </w:r>
      <w:proofErr w:type="spellEnd"/>
      <w:r w:rsidRPr="00F00C4B">
        <w:rPr>
          <w:rFonts w:ascii="Times New Roman" w:hAnsi="Times New Roman"/>
          <w:sz w:val="20"/>
          <w:szCs w:val="20"/>
        </w:rPr>
        <w:t>)penalização da conduta inserta no art. 28 da Lei 11.343/2006; Conclusão; Referências.</w:t>
      </w:r>
    </w:p>
    <w:p w:rsidR="00046B92" w:rsidRDefault="00046B92" w:rsidP="00046B92">
      <w:pPr>
        <w:spacing w:after="120" w:line="360" w:lineRule="auto"/>
        <w:jc w:val="center"/>
        <w:rPr>
          <w:rFonts w:ascii="Times New Roman" w:hAnsi="Times New Roman"/>
          <w:sz w:val="24"/>
          <w:szCs w:val="24"/>
        </w:rPr>
      </w:pPr>
    </w:p>
    <w:p w:rsidR="00046B92" w:rsidRPr="005443FB" w:rsidRDefault="00046B92" w:rsidP="00046B92">
      <w:pPr>
        <w:spacing w:after="120" w:line="360" w:lineRule="auto"/>
        <w:jc w:val="center"/>
        <w:rPr>
          <w:rFonts w:ascii="Times New Roman" w:hAnsi="Times New Roman"/>
          <w:b/>
          <w:sz w:val="24"/>
          <w:szCs w:val="24"/>
        </w:rPr>
      </w:pPr>
      <w:r w:rsidRPr="005443FB">
        <w:rPr>
          <w:rFonts w:ascii="Times New Roman" w:hAnsi="Times New Roman"/>
          <w:b/>
          <w:sz w:val="24"/>
          <w:szCs w:val="24"/>
        </w:rPr>
        <w:t>RESUMO</w:t>
      </w:r>
    </w:p>
    <w:p w:rsidR="00085F5B" w:rsidRDefault="00085F5B" w:rsidP="005443FB">
      <w:pPr>
        <w:spacing w:after="120" w:line="240" w:lineRule="auto"/>
        <w:jc w:val="both"/>
        <w:rPr>
          <w:rFonts w:ascii="Times New Roman" w:hAnsi="Times New Roman"/>
          <w:sz w:val="24"/>
          <w:szCs w:val="24"/>
        </w:rPr>
      </w:pPr>
      <w:r w:rsidRPr="00085F5B">
        <w:rPr>
          <w:rFonts w:ascii="Times New Roman" w:hAnsi="Times New Roman"/>
          <w:sz w:val="24"/>
          <w:szCs w:val="24"/>
        </w:rPr>
        <w:t>O presente trabalho tem por finalidade trazer a discussão acerca da natureza jurídica do artigo 28 da Lei nº 11.343/2006, tendo em vista o tratamento diferenciado dado ao porte de drogas para uso pessoal, em comparação às penas previstas no artigo 33 da mesma Lei. De acordo com a análise das diferentes correntes que tratam sobre a natureza jurídica do artigo 28 da Lei de Drogas</w:t>
      </w:r>
      <w:r w:rsidR="00395CF5">
        <w:rPr>
          <w:rFonts w:ascii="Times New Roman" w:hAnsi="Times New Roman"/>
          <w:sz w:val="24"/>
          <w:szCs w:val="24"/>
        </w:rPr>
        <w:t xml:space="preserve">, que consideram a conduta tratar-se de um crime, infração penal sui generis ou ser fato atípico, </w:t>
      </w:r>
      <w:r w:rsidRPr="00085F5B">
        <w:rPr>
          <w:rFonts w:ascii="Times New Roman" w:hAnsi="Times New Roman"/>
          <w:sz w:val="24"/>
          <w:szCs w:val="24"/>
        </w:rPr>
        <w:t>e da discussão acerca da despenalização e da descriminalização dessa conduta, assim como, de qual tem sido a corrente qu</w:t>
      </w:r>
      <w:r w:rsidR="00395CF5">
        <w:rPr>
          <w:rFonts w:ascii="Times New Roman" w:hAnsi="Times New Roman"/>
          <w:sz w:val="24"/>
          <w:szCs w:val="24"/>
        </w:rPr>
        <w:t>e tem prevalecido, pretende-se apresentar os argumentos que sustentam cada uma das principais correntes, partindo-se da análise do artigo 1º do Decreto-Lei 3.914/41.</w:t>
      </w:r>
    </w:p>
    <w:p w:rsidR="005443FB" w:rsidRDefault="005443FB" w:rsidP="005443FB">
      <w:pPr>
        <w:spacing w:after="120" w:line="240" w:lineRule="auto"/>
        <w:jc w:val="both"/>
        <w:rPr>
          <w:rFonts w:ascii="Times New Roman" w:hAnsi="Times New Roman"/>
          <w:sz w:val="24"/>
          <w:szCs w:val="24"/>
        </w:rPr>
      </w:pPr>
    </w:p>
    <w:p w:rsidR="00046B92" w:rsidRPr="005443FB" w:rsidRDefault="00046B92" w:rsidP="00046B92">
      <w:pPr>
        <w:spacing w:after="120" w:line="360" w:lineRule="auto"/>
        <w:rPr>
          <w:rFonts w:ascii="Times New Roman" w:hAnsi="Times New Roman"/>
          <w:b/>
          <w:sz w:val="24"/>
          <w:szCs w:val="24"/>
        </w:rPr>
      </w:pPr>
      <w:r w:rsidRPr="005443FB">
        <w:rPr>
          <w:rFonts w:ascii="Times New Roman" w:hAnsi="Times New Roman"/>
          <w:b/>
          <w:sz w:val="24"/>
          <w:szCs w:val="24"/>
        </w:rPr>
        <w:t xml:space="preserve">Palavras-chave: </w:t>
      </w:r>
      <w:r w:rsidR="005443FB" w:rsidRPr="005443FB">
        <w:rPr>
          <w:rFonts w:ascii="Times New Roman" w:hAnsi="Times New Roman"/>
          <w:sz w:val="24"/>
          <w:szCs w:val="24"/>
        </w:rPr>
        <w:t>Natureza jurídica; Artigo 28; Lei nº 11.343/2006; Despenalização; Descriminalização.</w:t>
      </w:r>
    </w:p>
    <w:p w:rsidR="00046B92" w:rsidRDefault="00046B92" w:rsidP="00046B92">
      <w:pPr>
        <w:spacing w:after="120" w:line="360" w:lineRule="auto"/>
        <w:rPr>
          <w:rFonts w:ascii="Times New Roman" w:hAnsi="Times New Roman"/>
          <w:sz w:val="24"/>
          <w:szCs w:val="24"/>
        </w:rPr>
      </w:pPr>
    </w:p>
    <w:p w:rsidR="002D7F9B" w:rsidRPr="007C1A45" w:rsidRDefault="00046B92" w:rsidP="007C1A45">
      <w:pPr>
        <w:spacing w:after="120" w:line="360" w:lineRule="auto"/>
        <w:rPr>
          <w:rFonts w:ascii="Times New Roman" w:hAnsi="Times New Roman"/>
          <w:b/>
          <w:sz w:val="24"/>
          <w:szCs w:val="24"/>
        </w:rPr>
      </w:pPr>
      <w:r w:rsidRPr="007C1A45">
        <w:rPr>
          <w:rFonts w:ascii="Times New Roman" w:hAnsi="Times New Roman"/>
          <w:b/>
          <w:sz w:val="24"/>
          <w:szCs w:val="24"/>
        </w:rPr>
        <w:t>INTRODUÇÃO</w:t>
      </w:r>
    </w:p>
    <w:p w:rsidR="00046B92" w:rsidRDefault="00046B92" w:rsidP="00046B92">
      <w:pPr>
        <w:spacing w:after="0" w:line="360" w:lineRule="auto"/>
        <w:ind w:firstLine="851"/>
        <w:jc w:val="both"/>
        <w:rPr>
          <w:rFonts w:ascii="Times New Roman" w:hAnsi="Times New Roman"/>
          <w:sz w:val="24"/>
          <w:szCs w:val="24"/>
        </w:rPr>
      </w:pPr>
      <w:r>
        <w:rPr>
          <w:rFonts w:ascii="Times New Roman" w:hAnsi="Times New Roman"/>
          <w:sz w:val="24"/>
          <w:szCs w:val="24"/>
        </w:rPr>
        <w:t xml:space="preserve">A partir de conceitos do Direito Penal, do que seja crime, infrações penais e infrações administrativas, e da análise do </w:t>
      </w:r>
      <w:r w:rsidRPr="00B3398A">
        <w:rPr>
          <w:rFonts w:ascii="Times New Roman" w:hAnsi="Times New Roman"/>
          <w:sz w:val="24"/>
          <w:szCs w:val="24"/>
        </w:rPr>
        <w:t>art. 1º do DL 3.914/41 (Lei de Introdução ao Código Penal e</w:t>
      </w:r>
      <w:r>
        <w:rPr>
          <w:rFonts w:ascii="Times New Roman" w:hAnsi="Times New Roman"/>
          <w:sz w:val="24"/>
          <w:szCs w:val="24"/>
        </w:rPr>
        <w:t xml:space="preserve"> à Lei de Contravenções Penais) poderá se discutir se a conduta da redação do artigo 28 da Lei de Drogas </w:t>
      </w:r>
      <w:r w:rsidRPr="00B3398A">
        <w:rPr>
          <w:rFonts w:ascii="Times New Roman" w:hAnsi="Times New Roman"/>
          <w:sz w:val="24"/>
          <w:szCs w:val="24"/>
        </w:rPr>
        <w:t>seria óbice a que a L</w:t>
      </w:r>
      <w:r>
        <w:rPr>
          <w:rFonts w:ascii="Times New Roman" w:hAnsi="Times New Roman"/>
          <w:sz w:val="24"/>
          <w:szCs w:val="24"/>
        </w:rPr>
        <w:t>ei 11.343/06 possa criar</w:t>
      </w:r>
      <w:r w:rsidRPr="00B3398A">
        <w:rPr>
          <w:rFonts w:ascii="Times New Roman" w:hAnsi="Times New Roman"/>
          <w:sz w:val="24"/>
          <w:szCs w:val="24"/>
        </w:rPr>
        <w:t xml:space="preserve"> crime sem a imposição de pena de reclusão ou detenção</w:t>
      </w:r>
      <w:r>
        <w:rPr>
          <w:rFonts w:ascii="Times New Roman" w:hAnsi="Times New Roman"/>
          <w:sz w:val="24"/>
          <w:szCs w:val="24"/>
        </w:rPr>
        <w:t xml:space="preserve">. </w:t>
      </w:r>
    </w:p>
    <w:p w:rsidR="00046B92" w:rsidRDefault="00046B92" w:rsidP="00046B92">
      <w:pPr>
        <w:spacing w:after="0" w:line="360" w:lineRule="auto"/>
        <w:ind w:firstLine="851"/>
        <w:jc w:val="both"/>
        <w:rPr>
          <w:rFonts w:ascii="Times New Roman" w:hAnsi="Times New Roman"/>
          <w:sz w:val="24"/>
          <w:szCs w:val="24"/>
        </w:rPr>
      </w:pPr>
      <w:r>
        <w:rPr>
          <w:rFonts w:ascii="Times New Roman" w:hAnsi="Times New Roman"/>
          <w:sz w:val="24"/>
          <w:szCs w:val="24"/>
        </w:rPr>
        <w:t xml:space="preserve">A discussão acerca da natureza jurídica do art. 28 da Lei de Drogas se dá por tal artigo receber por título ‘Dos Crimes e das Penas’, e prever tão-somente penas-alternativas para o agente que porta drogas para consumo pessoal. No artigo 33, por sua </w:t>
      </w:r>
      <w:r>
        <w:rPr>
          <w:rFonts w:ascii="Times New Roman" w:hAnsi="Times New Roman"/>
          <w:sz w:val="24"/>
          <w:szCs w:val="24"/>
        </w:rPr>
        <w:lastRenderedPageBreak/>
        <w:t>vez, que vem sob tópico ‘Dos crimes’, há previsão de pena de reclusão de cinco a quinze anos e pagamento de 500 (quinhentos) a 1.500 (mil e quinhentos dias-multa).</w:t>
      </w:r>
    </w:p>
    <w:p w:rsidR="00046B92" w:rsidRDefault="00046B92" w:rsidP="00046B92">
      <w:pPr>
        <w:spacing w:after="120" w:line="360" w:lineRule="auto"/>
        <w:ind w:firstLine="851"/>
        <w:jc w:val="both"/>
        <w:rPr>
          <w:rFonts w:ascii="Times New Roman" w:hAnsi="Times New Roman"/>
          <w:sz w:val="24"/>
          <w:szCs w:val="24"/>
        </w:rPr>
      </w:pPr>
      <w:r>
        <w:rPr>
          <w:rFonts w:ascii="Times New Roman" w:hAnsi="Times New Roman"/>
          <w:sz w:val="24"/>
          <w:szCs w:val="24"/>
        </w:rPr>
        <w:t xml:space="preserve">Além disso, se determinará se em tal conduta há a despenalização e descriminalização, levando em consideração, posicionamentos do STF e de renomados doutrinadores e pesquisadores sobre o assunto, dentre eles, Luiz Flavio Gomes, Alice Bianchini, Rogério Sanches Cunha e William Terra de Oliveira. </w:t>
      </w:r>
    </w:p>
    <w:p w:rsidR="00046B92" w:rsidRDefault="00046B92" w:rsidP="00046B92">
      <w:pPr>
        <w:spacing w:after="120" w:line="360" w:lineRule="auto"/>
        <w:ind w:firstLine="851"/>
        <w:jc w:val="both"/>
        <w:rPr>
          <w:rFonts w:ascii="Times New Roman" w:hAnsi="Times New Roman"/>
          <w:sz w:val="24"/>
          <w:szCs w:val="24"/>
        </w:rPr>
      </w:pPr>
      <w:r>
        <w:rPr>
          <w:rFonts w:ascii="Times New Roman" w:hAnsi="Times New Roman"/>
          <w:sz w:val="24"/>
          <w:szCs w:val="24"/>
        </w:rPr>
        <w:t>Dessa forma, se constatam divergências quanto à conduta inserta no artigo 28 da referida Lei fazer, ou não, parte do Direito Penal, e quanto a ser classificada, ou não, como crime. Além disso, se discute se há a despenalização ou descriminalização, de acordo com diferentes correntes, a fim de, com a análise de tais posicionamentos, que ainda não trazem um resultado preciso para o tema, analisar o que quis o legislador ao prever tal conduta.</w:t>
      </w:r>
    </w:p>
    <w:p w:rsidR="007C1A45" w:rsidRDefault="007C1A45" w:rsidP="007C1A45">
      <w:pPr>
        <w:spacing w:after="120" w:line="360" w:lineRule="auto"/>
        <w:jc w:val="both"/>
        <w:rPr>
          <w:rFonts w:ascii="Times New Roman" w:hAnsi="Times New Roman"/>
          <w:sz w:val="24"/>
          <w:szCs w:val="24"/>
        </w:rPr>
      </w:pPr>
    </w:p>
    <w:p w:rsidR="007C1A45" w:rsidRDefault="007C1A45" w:rsidP="007C1A45">
      <w:pPr>
        <w:pStyle w:val="PargrafodaLista"/>
        <w:numPr>
          <w:ilvl w:val="0"/>
          <w:numId w:val="2"/>
        </w:numPr>
        <w:spacing w:after="120" w:line="360" w:lineRule="auto"/>
        <w:jc w:val="both"/>
        <w:rPr>
          <w:rFonts w:ascii="Times New Roman" w:hAnsi="Times New Roman"/>
          <w:b/>
          <w:sz w:val="24"/>
          <w:szCs w:val="24"/>
        </w:rPr>
      </w:pPr>
      <w:r w:rsidRPr="007C1A45">
        <w:rPr>
          <w:rFonts w:ascii="Times New Roman" w:hAnsi="Times New Roman"/>
          <w:b/>
          <w:sz w:val="24"/>
          <w:szCs w:val="24"/>
        </w:rPr>
        <w:t>Conceitos preliminares</w:t>
      </w:r>
    </w:p>
    <w:p w:rsidR="00271966" w:rsidRDefault="00271966" w:rsidP="00271966">
      <w:pPr>
        <w:spacing w:after="120" w:line="360" w:lineRule="auto"/>
        <w:ind w:firstLine="851"/>
        <w:jc w:val="both"/>
        <w:rPr>
          <w:rFonts w:ascii="Times New Roman" w:hAnsi="Times New Roman"/>
          <w:sz w:val="24"/>
          <w:szCs w:val="24"/>
        </w:rPr>
      </w:pPr>
      <w:r>
        <w:rPr>
          <w:rFonts w:ascii="Times New Roman" w:hAnsi="Times New Roman"/>
          <w:sz w:val="24"/>
          <w:szCs w:val="24"/>
        </w:rPr>
        <w:t xml:space="preserve">Antes de se analisar as diferentes correntes que explicam a natureza jurídica do artigo 28 da Lei de Drogas, é preciso trazer, primeiramente, algumas definições sobre o que são crimes, infrações penais e infrações administrativas. Cleber </w:t>
      </w:r>
      <w:proofErr w:type="spellStart"/>
      <w:r>
        <w:rPr>
          <w:rFonts w:ascii="Times New Roman" w:hAnsi="Times New Roman"/>
          <w:sz w:val="24"/>
          <w:szCs w:val="24"/>
        </w:rPr>
        <w:t>Masson</w:t>
      </w:r>
      <w:proofErr w:type="spellEnd"/>
      <w:r>
        <w:rPr>
          <w:rFonts w:ascii="Times New Roman" w:hAnsi="Times New Roman"/>
          <w:sz w:val="24"/>
          <w:szCs w:val="24"/>
        </w:rPr>
        <w:t>, ao tratar sobre o conceito de crime, (MASSON, 2012, p.169-177), traz que, muitas vezes, o conceito</w:t>
      </w:r>
      <w:r w:rsidR="007319C7">
        <w:rPr>
          <w:rFonts w:ascii="Times New Roman" w:hAnsi="Times New Roman"/>
          <w:sz w:val="24"/>
          <w:szCs w:val="24"/>
        </w:rPr>
        <w:t xml:space="preserve"> de crime é dado de forma vaga</w:t>
      </w:r>
      <w:r>
        <w:rPr>
          <w:rFonts w:ascii="Times New Roman" w:hAnsi="Times New Roman"/>
          <w:sz w:val="24"/>
          <w:szCs w:val="24"/>
        </w:rPr>
        <w:t xml:space="preserve">, porém, devem ser considerados, na realidade, três aspectos. </w:t>
      </w:r>
    </w:p>
    <w:p w:rsidR="00271966" w:rsidRDefault="00271966" w:rsidP="00271966">
      <w:pPr>
        <w:spacing w:after="120" w:line="360" w:lineRule="auto"/>
        <w:ind w:firstLine="851"/>
        <w:jc w:val="both"/>
        <w:rPr>
          <w:rFonts w:ascii="Times New Roman" w:hAnsi="Times New Roman"/>
          <w:sz w:val="24"/>
          <w:szCs w:val="24"/>
        </w:rPr>
      </w:pPr>
      <w:r>
        <w:rPr>
          <w:rFonts w:ascii="Times New Roman" w:hAnsi="Times New Roman"/>
          <w:sz w:val="24"/>
          <w:szCs w:val="24"/>
        </w:rPr>
        <w:t>O primeiro aspecto do crime</w:t>
      </w:r>
      <w:r w:rsidR="00F00C4B">
        <w:rPr>
          <w:rFonts w:ascii="Times New Roman" w:hAnsi="Times New Roman"/>
          <w:sz w:val="24"/>
          <w:szCs w:val="24"/>
        </w:rPr>
        <w:t xml:space="preserve"> a ser considerado</w:t>
      </w:r>
      <w:r>
        <w:rPr>
          <w:rFonts w:ascii="Times New Roman" w:hAnsi="Times New Roman"/>
          <w:sz w:val="24"/>
          <w:szCs w:val="24"/>
        </w:rPr>
        <w:t xml:space="preserve"> é o material ou substancial</w:t>
      </w:r>
      <w:r w:rsidR="00F00C4B">
        <w:rPr>
          <w:rFonts w:ascii="Times New Roman" w:hAnsi="Times New Roman"/>
          <w:sz w:val="24"/>
          <w:szCs w:val="24"/>
        </w:rPr>
        <w:t>. Segundo esse critério, deve ser considerada a relevância do mal produzido aos bens jurídicos tutelados pelo Direito Pe</w:t>
      </w:r>
      <w:r w:rsidR="004E0BB7">
        <w:rPr>
          <w:rFonts w:ascii="Times New Roman" w:hAnsi="Times New Roman"/>
          <w:sz w:val="24"/>
          <w:szCs w:val="24"/>
        </w:rPr>
        <w:t>nal, sendo</w:t>
      </w:r>
      <w:r w:rsidR="00F00C4B">
        <w:rPr>
          <w:rFonts w:ascii="Times New Roman" w:hAnsi="Times New Roman"/>
          <w:sz w:val="24"/>
          <w:szCs w:val="24"/>
        </w:rPr>
        <w:t xml:space="preserve"> assim, crime</w:t>
      </w:r>
      <w:r w:rsidR="004E0BB7">
        <w:rPr>
          <w:rFonts w:ascii="Times New Roman" w:hAnsi="Times New Roman"/>
          <w:sz w:val="24"/>
          <w:szCs w:val="24"/>
        </w:rPr>
        <w:t xml:space="preserve"> seria</w:t>
      </w:r>
      <w:r w:rsidR="00F00C4B">
        <w:rPr>
          <w:rFonts w:ascii="Times New Roman" w:hAnsi="Times New Roman"/>
          <w:sz w:val="24"/>
          <w:szCs w:val="24"/>
        </w:rPr>
        <w:t xml:space="preserve"> toda ação ou omissão humana que lesem ou exponham a perigo de lesão referidos bens jurídicos.</w:t>
      </w:r>
      <w:r w:rsidR="004E0BB7">
        <w:rPr>
          <w:rFonts w:ascii="Times New Roman" w:hAnsi="Times New Roman"/>
          <w:sz w:val="24"/>
          <w:szCs w:val="24"/>
        </w:rPr>
        <w:t xml:space="preserve"> A importância, portanto, seria a de direcionar o legislador a tipificar condutas como infrações penais, apenas quando estas trouxessem dano ou perigo a bens jurídicos penalmente relevantes, legitimando o Direito Penal em um Estado Democrático de Direito.</w:t>
      </w:r>
    </w:p>
    <w:p w:rsidR="00D51F25" w:rsidRDefault="00D51F25" w:rsidP="00271966">
      <w:pPr>
        <w:spacing w:after="120" w:line="360" w:lineRule="auto"/>
        <w:ind w:firstLine="851"/>
        <w:jc w:val="both"/>
        <w:rPr>
          <w:rFonts w:ascii="Times New Roman" w:hAnsi="Times New Roman"/>
          <w:sz w:val="24"/>
          <w:szCs w:val="24"/>
        </w:rPr>
      </w:pPr>
      <w:r>
        <w:rPr>
          <w:rFonts w:ascii="Times New Roman" w:hAnsi="Times New Roman"/>
          <w:sz w:val="24"/>
          <w:szCs w:val="24"/>
        </w:rPr>
        <w:t>O segundo critério para definir crime é o legal. Segundo este critério, será crime aquilo que o legislador forneceu no art. 1º da Lei de Introdução ao Código Penal (Decreto-Lei 3.914, de 9 de dezembro de 1</w:t>
      </w:r>
      <w:r w:rsidR="005443FB">
        <w:rPr>
          <w:rFonts w:ascii="Times New Roman" w:hAnsi="Times New Roman"/>
          <w:sz w:val="24"/>
          <w:szCs w:val="24"/>
        </w:rPr>
        <w:t>941), no qual, vem expresso que:</w:t>
      </w:r>
    </w:p>
    <w:p w:rsidR="00D51F25" w:rsidRDefault="00D51F25" w:rsidP="00D51F25">
      <w:pPr>
        <w:spacing w:after="120" w:line="360" w:lineRule="auto"/>
        <w:ind w:left="2268"/>
        <w:jc w:val="both"/>
        <w:rPr>
          <w:rFonts w:ascii="Times New Roman" w:hAnsi="Times New Roman"/>
          <w:sz w:val="24"/>
          <w:szCs w:val="24"/>
        </w:rPr>
      </w:pPr>
      <w:r w:rsidRPr="00D51F25">
        <w:rPr>
          <w:rFonts w:ascii="Times New Roman" w:hAnsi="Times New Roman"/>
          <w:sz w:val="20"/>
          <w:szCs w:val="20"/>
        </w:rPr>
        <w:lastRenderedPageBreak/>
        <w:t xml:space="preserve">Considera-se crime a infração penal a que a lei comina pena de reclusão ou detenção, quer isoladamente, quer alternativa ou cumulativamente com a pena de multa; contravenção, a infração penal a que a lei comina, isoladamente, pena de prisão simples ou de multa, ou de ambas, alternativa ou cumulativamente. </w:t>
      </w:r>
    </w:p>
    <w:p w:rsidR="004E0BB7" w:rsidRDefault="00D51F25" w:rsidP="007319C7">
      <w:pPr>
        <w:spacing w:after="120" w:line="360" w:lineRule="auto"/>
        <w:ind w:firstLine="851"/>
        <w:jc w:val="both"/>
        <w:rPr>
          <w:rFonts w:ascii="Times New Roman" w:hAnsi="Times New Roman"/>
          <w:sz w:val="24"/>
          <w:szCs w:val="24"/>
        </w:rPr>
      </w:pPr>
      <w:r>
        <w:rPr>
          <w:rFonts w:ascii="Times New Roman" w:hAnsi="Times New Roman"/>
          <w:sz w:val="24"/>
          <w:szCs w:val="24"/>
        </w:rPr>
        <w:t xml:space="preserve">Aqui, não serão tratadas as </w:t>
      </w:r>
      <w:r w:rsidR="00A919C8">
        <w:rPr>
          <w:rFonts w:ascii="Times New Roman" w:hAnsi="Times New Roman"/>
          <w:sz w:val="24"/>
          <w:szCs w:val="24"/>
        </w:rPr>
        <w:t xml:space="preserve">diferenças entre Crime e Contravenção Penal, mas, é oportuno já, se tratar sobre a infração penal. Esta, no Direito Penal brasileiro, é fracionada em duas espécies: crime ou delito e contravenção penal. Infrações penais são, portanto, gênero, dos quais são espécie os crimes, sinônimo de delitos, e as contravenções penais. Assim, os três aspectos sobre os quais se poderá conceituar infração penal são formal, que considera um tipo penal incriminador, sob ameaça de sanção penal; material, </w:t>
      </w:r>
      <w:r w:rsidR="007319C7">
        <w:rPr>
          <w:rFonts w:ascii="Times New Roman" w:hAnsi="Times New Roman"/>
          <w:sz w:val="24"/>
          <w:szCs w:val="24"/>
        </w:rPr>
        <w:t>comportamento humano não desejado que acarrete lesão ou traga perigo a determinado bem jurídico tutelado pelo direito penal, sendo, também, cabível sanção penal; e, conceito analítico, que considera os elementos do crime, típico, ilícito, culpável.</w:t>
      </w:r>
    </w:p>
    <w:p w:rsidR="007319C7" w:rsidRDefault="007319C7" w:rsidP="007319C7">
      <w:pPr>
        <w:spacing w:after="120" w:line="360" w:lineRule="auto"/>
        <w:ind w:firstLine="851"/>
        <w:jc w:val="both"/>
        <w:rPr>
          <w:rFonts w:ascii="Times New Roman" w:hAnsi="Times New Roman"/>
          <w:sz w:val="24"/>
          <w:szCs w:val="24"/>
        </w:rPr>
      </w:pPr>
      <w:r>
        <w:rPr>
          <w:rFonts w:ascii="Times New Roman" w:hAnsi="Times New Roman"/>
          <w:sz w:val="24"/>
          <w:szCs w:val="24"/>
        </w:rPr>
        <w:t xml:space="preserve">O último critério de crime a ser considerado é o analítico. Segundo este, também chamado de formal ou dogmático, os elementos do crime que irão definir se a conduta configura, ou não, crime. A posição predominante quanto aos elementos que </w:t>
      </w:r>
      <w:r w:rsidR="00DB08CD">
        <w:rPr>
          <w:rFonts w:ascii="Times New Roman" w:hAnsi="Times New Roman"/>
          <w:sz w:val="24"/>
          <w:szCs w:val="24"/>
        </w:rPr>
        <w:t>compõem a estrutura do crime é</w:t>
      </w:r>
      <w:r>
        <w:rPr>
          <w:rFonts w:ascii="Times New Roman" w:hAnsi="Times New Roman"/>
          <w:sz w:val="24"/>
          <w:szCs w:val="24"/>
        </w:rPr>
        <w:t xml:space="preserve"> de que ele se trata se fato típico, ilícito e culpável, adotando posição tripartida, porém, há quem adote uma teoria quadripartida, que consideraria, também, a punibilidade.</w:t>
      </w:r>
    </w:p>
    <w:p w:rsidR="00DB08CD" w:rsidRPr="00DB08CD" w:rsidRDefault="00DB08CD" w:rsidP="00DB08CD">
      <w:pPr>
        <w:spacing w:after="120" w:line="360" w:lineRule="auto"/>
        <w:ind w:firstLine="851"/>
        <w:jc w:val="both"/>
        <w:rPr>
          <w:rFonts w:ascii="Times New Roman" w:hAnsi="Times New Roman"/>
          <w:sz w:val="24"/>
          <w:szCs w:val="24"/>
        </w:rPr>
      </w:pPr>
      <w:r>
        <w:rPr>
          <w:rFonts w:ascii="Times New Roman" w:hAnsi="Times New Roman"/>
          <w:sz w:val="24"/>
          <w:szCs w:val="24"/>
        </w:rPr>
        <w:t>É importante, ainda, conceituar a infração administrativa. Elas se tratam de condutas que contrariam preceitos normativos, sendo cometidas voluntariamente, culminando na ingerência do Estado na vida do particular, que pode ser tanto pessoa física quanto jurídica, com objetivo de proteger interesses sociais, por meio da aplicação de sanções de cunho administrativ</w:t>
      </w:r>
      <w:r w:rsidR="00E8544B">
        <w:rPr>
          <w:rFonts w:ascii="Times New Roman" w:hAnsi="Times New Roman"/>
          <w:sz w:val="24"/>
          <w:szCs w:val="24"/>
        </w:rPr>
        <w:t xml:space="preserve">o. Cabe ainda </w:t>
      </w:r>
      <w:r>
        <w:rPr>
          <w:rFonts w:ascii="Times New Roman" w:hAnsi="Times New Roman"/>
          <w:sz w:val="24"/>
          <w:szCs w:val="24"/>
        </w:rPr>
        <w:t xml:space="preserve">frisar que essas sanções são restritivas de direito, </w:t>
      </w:r>
      <w:r w:rsidR="00E8544B">
        <w:rPr>
          <w:rFonts w:ascii="Times New Roman" w:hAnsi="Times New Roman"/>
          <w:sz w:val="24"/>
          <w:szCs w:val="24"/>
        </w:rPr>
        <w:t xml:space="preserve">e não restritivas de liberdade. (RAMOS, Patrícia </w:t>
      </w:r>
      <w:r w:rsidR="00E8544B" w:rsidRPr="00E8544B">
        <w:rPr>
          <w:rFonts w:ascii="Times New Roman" w:hAnsi="Times New Roman"/>
          <w:i/>
          <w:sz w:val="24"/>
          <w:szCs w:val="24"/>
        </w:rPr>
        <w:t>apud</w:t>
      </w:r>
      <w:r w:rsidR="00E8544B">
        <w:rPr>
          <w:rFonts w:ascii="Times New Roman" w:hAnsi="Times New Roman"/>
          <w:sz w:val="24"/>
          <w:szCs w:val="24"/>
        </w:rPr>
        <w:t xml:space="preserve"> ANDRADE, Kátia.)</w:t>
      </w:r>
    </w:p>
    <w:p w:rsidR="00753D6D" w:rsidRPr="00753D6D" w:rsidRDefault="00271966" w:rsidP="00753D6D">
      <w:pPr>
        <w:spacing w:after="120" w:line="360" w:lineRule="auto"/>
        <w:ind w:firstLine="851"/>
        <w:jc w:val="both"/>
        <w:rPr>
          <w:rFonts w:ascii="Times New Roman" w:hAnsi="Times New Roman"/>
          <w:sz w:val="24"/>
          <w:szCs w:val="24"/>
        </w:rPr>
      </w:pPr>
      <w:r>
        <w:rPr>
          <w:rFonts w:ascii="Times New Roman" w:hAnsi="Times New Roman"/>
          <w:sz w:val="24"/>
          <w:szCs w:val="24"/>
        </w:rPr>
        <w:t>Além disso, também é importante conceituar despenalização e descriminalização, pois, esses conceitos serão utilizados com o objetivo de clas</w:t>
      </w:r>
      <w:r w:rsidR="00753D6D">
        <w:rPr>
          <w:rFonts w:ascii="Times New Roman" w:hAnsi="Times New Roman"/>
          <w:sz w:val="24"/>
          <w:szCs w:val="24"/>
        </w:rPr>
        <w:t>sificação da conduta mencionada, e t</w:t>
      </w:r>
      <w:r w:rsidR="00356BAF">
        <w:rPr>
          <w:rFonts w:ascii="Times New Roman" w:hAnsi="Times New Roman"/>
          <w:sz w:val="24"/>
          <w:szCs w:val="24"/>
        </w:rPr>
        <w:t xml:space="preserve">em sido, muitas vezes, utilizadas de forma equivocada, </w:t>
      </w:r>
      <w:r w:rsidR="00753D6D">
        <w:rPr>
          <w:rFonts w:ascii="Times New Roman" w:hAnsi="Times New Roman"/>
          <w:sz w:val="24"/>
          <w:szCs w:val="24"/>
        </w:rPr>
        <w:t xml:space="preserve">como </w:t>
      </w:r>
      <w:r w:rsidR="00356BAF">
        <w:rPr>
          <w:rFonts w:ascii="Times New Roman" w:hAnsi="Times New Roman"/>
          <w:sz w:val="24"/>
          <w:szCs w:val="24"/>
        </w:rPr>
        <w:t>sinônimos, o que</w:t>
      </w:r>
      <w:r w:rsidR="00753D6D">
        <w:rPr>
          <w:rFonts w:ascii="Times New Roman" w:hAnsi="Times New Roman"/>
          <w:sz w:val="24"/>
          <w:szCs w:val="24"/>
        </w:rPr>
        <w:t xml:space="preserve"> alerta o jurista Carlos Pinto de Abreu ao TSF. </w:t>
      </w:r>
      <w:r w:rsidR="00356BAF">
        <w:rPr>
          <w:rFonts w:ascii="Times New Roman" w:hAnsi="Times New Roman"/>
          <w:sz w:val="24"/>
          <w:szCs w:val="24"/>
        </w:rPr>
        <w:t xml:space="preserve">Enquanto a descriminalização </w:t>
      </w:r>
      <w:r w:rsidR="00753D6D">
        <w:rPr>
          <w:rFonts w:ascii="Times New Roman" w:hAnsi="Times New Roman"/>
          <w:sz w:val="24"/>
          <w:szCs w:val="24"/>
        </w:rPr>
        <w:t>consiste na retirada de determinado comportamento do rol dos crimes tipif</w:t>
      </w:r>
      <w:r w:rsidR="00356BAF">
        <w:rPr>
          <w:rFonts w:ascii="Times New Roman" w:hAnsi="Times New Roman"/>
          <w:sz w:val="24"/>
          <w:szCs w:val="24"/>
        </w:rPr>
        <w:t>icados no Código Penal, a</w:t>
      </w:r>
      <w:r w:rsidR="00753D6D">
        <w:rPr>
          <w:rFonts w:ascii="Times New Roman" w:hAnsi="Times New Roman"/>
          <w:sz w:val="24"/>
          <w:szCs w:val="24"/>
        </w:rPr>
        <w:t xml:space="preserve"> despenalização seria a transformação daquela conduta </w:t>
      </w:r>
      <w:r w:rsidR="00753D6D">
        <w:rPr>
          <w:rFonts w:ascii="Times New Roman" w:hAnsi="Times New Roman"/>
          <w:sz w:val="24"/>
          <w:szCs w:val="24"/>
        </w:rPr>
        <w:lastRenderedPageBreak/>
        <w:t>ilícita em lícita, ou seja, esta seria muito mais abrangente,</w:t>
      </w:r>
      <w:r w:rsidR="00356BAF">
        <w:rPr>
          <w:rFonts w:ascii="Times New Roman" w:hAnsi="Times New Roman"/>
          <w:sz w:val="24"/>
          <w:szCs w:val="24"/>
        </w:rPr>
        <w:t xml:space="preserve"> e, não necessariamente, trataria</w:t>
      </w:r>
      <w:r w:rsidR="00753D6D">
        <w:rPr>
          <w:rFonts w:ascii="Times New Roman" w:hAnsi="Times New Roman"/>
          <w:sz w:val="24"/>
          <w:szCs w:val="24"/>
        </w:rPr>
        <w:t xml:space="preserve"> de uma situação tipificada como crime.</w:t>
      </w:r>
    </w:p>
    <w:p w:rsidR="00753D6D" w:rsidRPr="005F16E7" w:rsidRDefault="00753D6D" w:rsidP="007C1A45">
      <w:pPr>
        <w:spacing w:after="120" w:line="360" w:lineRule="auto"/>
        <w:ind w:firstLine="851"/>
        <w:jc w:val="both"/>
        <w:rPr>
          <w:rFonts w:ascii="Times New Roman" w:hAnsi="Times New Roman"/>
          <w:color w:val="FF0000"/>
          <w:sz w:val="24"/>
          <w:szCs w:val="24"/>
        </w:rPr>
      </w:pPr>
    </w:p>
    <w:p w:rsidR="005D5D8B" w:rsidRDefault="00046B92" w:rsidP="005D5D8B">
      <w:pPr>
        <w:pStyle w:val="PargrafodaLista"/>
        <w:numPr>
          <w:ilvl w:val="0"/>
          <w:numId w:val="2"/>
        </w:numPr>
        <w:spacing w:line="240" w:lineRule="auto"/>
        <w:jc w:val="both"/>
        <w:rPr>
          <w:rFonts w:ascii="Times New Roman" w:hAnsi="Times New Roman"/>
          <w:b/>
          <w:sz w:val="24"/>
          <w:szCs w:val="24"/>
        </w:rPr>
      </w:pPr>
      <w:r w:rsidRPr="005D5D8B">
        <w:rPr>
          <w:rFonts w:ascii="Times New Roman" w:hAnsi="Times New Roman"/>
          <w:b/>
          <w:sz w:val="24"/>
          <w:szCs w:val="24"/>
        </w:rPr>
        <w:t>Análise do art. 1º do DL 3.914/41</w:t>
      </w:r>
    </w:p>
    <w:p w:rsidR="005D5D8B" w:rsidRPr="005D5D8B" w:rsidRDefault="005D5D8B" w:rsidP="005D5D8B">
      <w:pPr>
        <w:pStyle w:val="PargrafodaLista"/>
        <w:spacing w:line="240" w:lineRule="auto"/>
        <w:jc w:val="both"/>
        <w:rPr>
          <w:rFonts w:ascii="Times New Roman" w:hAnsi="Times New Roman"/>
          <w:b/>
          <w:sz w:val="24"/>
          <w:szCs w:val="24"/>
        </w:rPr>
      </w:pPr>
    </w:p>
    <w:p w:rsidR="00AC5A49" w:rsidRDefault="00356BAF" w:rsidP="005D5D8B">
      <w:pPr>
        <w:spacing w:line="360" w:lineRule="auto"/>
        <w:ind w:firstLine="851"/>
        <w:jc w:val="both"/>
        <w:rPr>
          <w:rFonts w:ascii="Times New Roman" w:hAnsi="Times New Roman"/>
          <w:sz w:val="24"/>
          <w:szCs w:val="24"/>
        </w:rPr>
      </w:pPr>
      <w:r>
        <w:rPr>
          <w:rFonts w:ascii="Times New Roman" w:hAnsi="Times New Roman"/>
          <w:sz w:val="24"/>
          <w:szCs w:val="24"/>
        </w:rPr>
        <w:t xml:space="preserve">Como mencionado anteriormente, o </w:t>
      </w:r>
      <w:r w:rsidRPr="00356BAF">
        <w:rPr>
          <w:rFonts w:ascii="Times New Roman" w:hAnsi="Times New Roman"/>
          <w:sz w:val="24"/>
          <w:szCs w:val="24"/>
        </w:rPr>
        <w:t xml:space="preserve">art. 1º da Lei de Introdução ao Código Penal (Decreto-Lei 3.914, de 9 de dezembro de </w:t>
      </w:r>
      <w:r>
        <w:rPr>
          <w:rFonts w:ascii="Times New Roman" w:hAnsi="Times New Roman"/>
          <w:sz w:val="24"/>
          <w:szCs w:val="24"/>
        </w:rPr>
        <w:t>1941),</w:t>
      </w:r>
      <w:r w:rsidR="005D5D8B">
        <w:rPr>
          <w:rFonts w:ascii="Times New Roman" w:hAnsi="Times New Roman"/>
          <w:sz w:val="24"/>
          <w:szCs w:val="24"/>
        </w:rPr>
        <w:t xml:space="preserve"> que versa sobre matéria penal e foi </w:t>
      </w:r>
      <w:proofErr w:type="spellStart"/>
      <w:r w:rsidR="005D5D8B">
        <w:rPr>
          <w:rFonts w:ascii="Times New Roman" w:hAnsi="Times New Roman"/>
          <w:sz w:val="24"/>
          <w:szCs w:val="24"/>
        </w:rPr>
        <w:t>recepcionadana</w:t>
      </w:r>
      <w:proofErr w:type="spellEnd"/>
      <w:r w:rsidR="005D5D8B">
        <w:rPr>
          <w:rFonts w:ascii="Times New Roman" w:hAnsi="Times New Roman"/>
          <w:sz w:val="24"/>
          <w:szCs w:val="24"/>
        </w:rPr>
        <w:t xml:space="preserve"> Constituição Federal de 1988, </w:t>
      </w:r>
      <w:r>
        <w:rPr>
          <w:rFonts w:ascii="Times New Roman" w:hAnsi="Times New Roman"/>
          <w:sz w:val="24"/>
          <w:szCs w:val="24"/>
        </w:rPr>
        <w:t xml:space="preserve">traz </w:t>
      </w:r>
      <w:r w:rsidR="005D5D8B">
        <w:rPr>
          <w:rFonts w:ascii="Times New Roman" w:hAnsi="Times New Roman"/>
          <w:sz w:val="24"/>
          <w:szCs w:val="24"/>
        </w:rPr>
        <w:t>a distinção entre crime e contravenção penal. Assim, cabe a discussão</w:t>
      </w:r>
      <w:r w:rsidR="008B5637">
        <w:rPr>
          <w:rFonts w:ascii="Times New Roman" w:hAnsi="Times New Roman"/>
          <w:sz w:val="24"/>
          <w:szCs w:val="24"/>
        </w:rPr>
        <w:t xml:space="preserve"> sobre se </w:t>
      </w:r>
      <w:r w:rsidR="005D5D8B">
        <w:rPr>
          <w:rFonts w:ascii="Times New Roman" w:hAnsi="Times New Roman"/>
          <w:sz w:val="24"/>
          <w:szCs w:val="24"/>
        </w:rPr>
        <w:t>esse art.1º da LICP seria óbice à estipulação de crime sem aplicação de penas de detenção e reclusão,</w:t>
      </w:r>
      <w:r w:rsidR="008B5637">
        <w:rPr>
          <w:rFonts w:ascii="Times New Roman" w:hAnsi="Times New Roman"/>
          <w:sz w:val="24"/>
          <w:szCs w:val="24"/>
        </w:rPr>
        <w:t xml:space="preserve"> como acontece na Lei de Drogas, conforme voto do Mini</w:t>
      </w:r>
      <w:r w:rsidR="00BF45FA">
        <w:rPr>
          <w:rFonts w:ascii="Times New Roman" w:hAnsi="Times New Roman"/>
          <w:sz w:val="24"/>
          <w:szCs w:val="24"/>
        </w:rPr>
        <w:t>stro relator Sepúlveda Pertence, tendo em vista que o conceito de crime</w:t>
      </w:r>
      <w:r w:rsidR="00F1390F">
        <w:rPr>
          <w:rFonts w:ascii="Times New Roman" w:hAnsi="Times New Roman"/>
          <w:sz w:val="24"/>
          <w:szCs w:val="24"/>
        </w:rPr>
        <w:t xml:space="preserve"> pressupõe que haja ou reclusão ou detenção</w:t>
      </w:r>
      <w:r w:rsidR="00BF45FA">
        <w:rPr>
          <w:rFonts w:ascii="Times New Roman" w:hAnsi="Times New Roman"/>
          <w:sz w:val="24"/>
          <w:szCs w:val="24"/>
        </w:rPr>
        <w:t>.</w:t>
      </w:r>
    </w:p>
    <w:p w:rsidR="005F16E7" w:rsidRDefault="00D53BAE" w:rsidP="00BF45FA">
      <w:pPr>
        <w:spacing w:line="360" w:lineRule="auto"/>
        <w:ind w:firstLine="851"/>
        <w:jc w:val="both"/>
        <w:rPr>
          <w:rFonts w:ascii="Times New Roman" w:eastAsia="Batang" w:hAnsi="Times New Roman" w:cs="Times New Roman"/>
          <w:color w:val="000000" w:themeColor="text1"/>
          <w:sz w:val="24"/>
          <w:szCs w:val="24"/>
        </w:rPr>
      </w:pPr>
      <w:r>
        <w:rPr>
          <w:rFonts w:ascii="Times New Roman" w:hAnsi="Times New Roman"/>
          <w:sz w:val="24"/>
          <w:szCs w:val="24"/>
        </w:rPr>
        <w:t xml:space="preserve">É oportuno levantar que </w:t>
      </w:r>
      <w:r w:rsidR="005F16E7" w:rsidRPr="00D53BAE">
        <w:rPr>
          <w:rFonts w:ascii="Times New Roman" w:eastAsia="Batang" w:hAnsi="Times New Roman" w:cs="Times New Roman"/>
          <w:color w:val="000000" w:themeColor="text1"/>
          <w:sz w:val="24"/>
          <w:szCs w:val="24"/>
        </w:rPr>
        <w:t xml:space="preserve">a Lei de Introdução do Código Penal (LICP) </w:t>
      </w:r>
      <w:r w:rsidR="00230D38">
        <w:rPr>
          <w:rFonts w:ascii="Times New Roman" w:eastAsia="Batang" w:hAnsi="Times New Roman" w:cs="Times New Roman"/>
          <w:color w:val="000000" w:themeColor="text1"/>
          <w:sz w:val="24"/>
          <w:szCs w:val="24"/>
        </w:rPr>
        <w:t>passou a vig</w:t>
      </w:r>
      <w:r w:rsidRPr="00D53BAE">
        <w:rPr>
          <w:rFonts w:ascii="Times New Roman" w:eastAsia="Batang" w:hAnsi="Times New Roman" w:cs="Times New Roman"/>
          <w:color w:val="000000" w:themeColor="text1"/>
          <w:sz w:val="24"/>
          <w:szCs w:val="24"/>
        </w:rPr>
        <w:t>er em 1</w:t>
      </w:r>
      <w:r>
        <w:rPr>
          <w:rFonts w:ascii="Times New Roman" w:eastAsia="Batang" w:hAnsi="Times New Roman" w:cs="Times New Roman"/>
          <w:color w:val="000000" w:themeColor="text1"/>
          <w:sz w:val="24"/>
          <w:szCs w:val="24"/>
        </w:rPr>
        <w:t>º de janeiro de 1942, época de período autoritário no Brasil, do Estado Novo, compreendido dos anos de 19</w:t>
      </w:r>
      <w:r w:rsidR="00230D38">
        <w:rPr>
          <w:rFonts w:ascii="Times New Roman" w:eastAsia="Batang" w:hAnsi="Times New Roman" w:cs="Times New Roman"/>
          <w:color w:val="000000" w:themeColor="text1"/>
          <w:sz w:val="24"/>
          <w:szCs w:val="24"/>
        </w:rPr>
        <w:t>37 a 1945.</w:t>
      </w:r>
      <w:r w:rsidR="00BF45FA" w:rsidRPr="00BF45FA">
        <w:rPr>
          <w:rFonts w:ascii="Times New Roman" w:eastAsia="Batang" w:hAnsi="Times New Roman" w:cs="Times New Roman"/>
          <w:color w:val="000000" w:themeColor="text1"/>
          <w:sz w:val="24"/>
          <w:szCs w:val="24"/>
        </w:rPr>
        <w:t>A nova Lei de Drogas, no entanto, se confronta com a LICP, pois, por não prever pena de reclusão nem detenção, não seria, portanto, considerada crime. O §6º do artigo 28, por outro lado, prevê aplicação de multa como forma de se cumprir medidas educativas. O artigo 28, assim, poderia ser</w:t>
      </w:r>
      <w:r w:rsidR="00BF45FA">
        <w:rPr>
          <w:rFonts w:ascii="Times New Roman" w:eastAsia="Batang" w:hAnsi="Times New Roman" w:cs="Times New Roman"/>
          <w:color w:val="000000" w:themeColor="text1"/>
          <w:sz w:val="24"/>
          <w:szCs w:val="24"/>
        </w:rPr>
        <w:t xml:space="preserve"> considerado contravenção penal, e a discussão será justamente a respeito de ser contravenção penal, crime, ou haver descriminalização ou despenalização da conduta.</w:t>
      </w:r>
    </w:p>
    <w:p w:rsidR="00F1390F" w:rsidRDefault="00F1390F" w:rsidP="00BF45FA">
      <w:pPr>
        <w:spacing w:line="360" w:lineRule="auto"/>
        <w:ind w:firstLine="851"/>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Em comparação às penas previstas na LICP, importante destacar as penas previstas pelo Código Penal. O artigo 32 classifica as penas em três formas: privativas de liberdade, restritivas de direitos e multa. No artigo 43 do CP, encontra-se a previsão das penas restritivas de direitos, podendo ser, inclusive, a prestação de serviços à comunidade ou a entidades públicas.</w:t>
      </w:r>
    </w:p>
    <w:p w:rsidR="00F1390F" w:rsidRDefault="00F1390F" w:rsidP="00BF45FA">
      <w:pPr>
        <w:spacing w:line="360" w:lineRule="auto"/>
        <w:ind w:firstLine="851"/>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No artigo 28 da Lei 11.343/06 é possível visualizar que, dentre as medidas educativas presentes no dispositivo, encontram-se as penas restritivas de direitos, qual seja, a prestação de serviços à comunidade, como consta no inciso II. </w:t>
      </w:r>
      <w:r w:rsidR="00027A5F">
        <w:rPr>
          <w:rFonts w:ascii="Times New Roman" w:eastAsia="Batang" w:hAnsi="Times New Roman" w:cs="Times New Roman"/>
          <w:color w:val="000000" w:themeColor="text1"/>
          <w:sz w:val="24"/>
          <w:szCs w:val="24"/>
        </w:rPr>
        <w:t>Nesse sentido, a Nova Lei de Drogas estaria em</w:t>
      </w:r>
      <w:r w:rsidR="001D121B">
        <w:rPr>
          <w:rFonts w:ascii="Times New Roman" w:eastAsia="Batang" w:hAnsi="Times New Roman" w:cs="Times New Roman"/>
          <w:color w:val="000000" w:themeColor="text1"/>
          <w:sz w:val="24"/>
          <w:szCs w:val="24"/>
        </w:rPr>
        <w:t xml:space="preserve"> consonância com o Código Penal, e, ainda, pode-se afirmar que a LICP encontra-se em conformidade com os princípios constitucionais.</w:t>
      </w:r>
    </w:p>
    <w:p w:rsidR="000A0000" w:rsidRDefault="001D121B" w:rsidP="000A0000">
      <w:pPr>
        <w:spacing w:line="360" w:lineRule="auto"/>
        <w:ind w:firstLine="851"/>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lastRenderedPageBreak/>
        <w:t>É possível fazer tal afirmação, pois, o artigo 5º, inciso XLVI, da CF/88 apresenta penas que se aplicam ao princípio da individualização da pena, qual seja, privação ou restrição de liberdade, perda de bens, multa, prestação social alternativa e suspensão ou interdição de direitos aos infratores da lei penal. O artigo 28 da Lei de Drogas, como já sustentado anteriormente, prevê, dentre as penas, a prestação de serviços à comunidade. Assim, segundo esse ponto de vista, a posse de drogas prevista no artigo 28 seria considerada crime.</w:t>
      </w:r>
    </w:p>
    <w:p w:rsidR="00AC5A49" w:rsidRDefault="000A0000" w:rsidP="00FC6B1C">
      <w:pPr>
        <w:spacing w:line="360" w:lineRule="auto"/>
        <w:ind w:firstLine="851"/>
        <w:jc w:val="both"/>
        <w:rPr>
          <w:rFonts w:ascii="Times New Roman" w:hAnsi="Times New Roman"/>
          <w:sz w:val="24"/>
          <w:szCs w:val="24"/>
        </w:rPr>
      </w:pPr>
      <w:r w:rsidRPr="000A0000">
        <w:rPr>
          <w:rFonts w:ascii="Times New Roman" w:eastAsia="Batang" w:hAnsi="Times New Roman" w:cs="Times New Roman"/>
          <w:color w:val="000000" w:themeColor="text1"/>
          <w:sz w:val="24"/>
          <w:szCs w:val="24"/>
        </w:rPr>
        <w:t>Além dessa previsão constitucional, cabe destacar que no artigo 5°, XLVI, a CF/88</w:t>
      </w:r>
      <w:r w:rsidR="005F16E7" w:rsidRPr="000A0000">
        <w:rPr>
          <w:rFonts w:ascii="Times New Roman" w:eastAsia="Batang" w:hAnsi="Times New Roman" w:cs="Times New Roman"/>
          <w:color w:val="000000" w:themeColor="text1"/>
          <w:sz w:val="24"/>
          <w:szCs w:val="24"/>
        </w:rPr>
        <w:t xml:space="preserve"> adotou a expressão "adotará </w:t>
      </w:r>
      <w:r>
        <w:rPr>
          <w:rFonts w:ascii="Times New Roman" w:eastAsia="Batang" w:hAnsi="Times New Roman" w:cs="Times New Roman"/>
          <w:color w:val="000000" w:themeColor="text1"/>
          <w:sz w:val="24"/>
          <w:szCs w:val="24"/>
        </w:rPr>
        <w:t>entre outras</w:t>
      </w:r>
      <w:r w:rsidR="005F16E7" w:rsidRPr="000A0000">
        <w:rPr>
          <w:rFonts w:ascii="Times New Roman" w:eastAsia="Batang" w:hAnsi="Times New Roman" w:cs="Times New Roman"/>
          <w:color w:val="000000" w:themeColor="text1"/>
          <w:sz w:val="24"/>
          <w:szCs w:val="24"/>
        </w:rPr>
        <w:t xml:space="preserve"> as seguintes penas". </w:t>
      </w:r>
      <w:r w:rsidRPr="000A0000">
        <w:rPr>
          <w:rFonts w:ascii="Times New Roman" w:eastAsia="Batang" w:hAnsi="Times New Roman" w:cs="Times New Roman"/>
          <w:color w:val="000000" w:themeColor="text1"/>
          <w:sz w:val="24"/>
          <w:szCs w:val="24"/>
        </w:rPr>
        <w:t>Nesse sentido, a Constituição permitia que o legislador pudesse prever outras formas de penas, obedecidos os limites presentes no artigo 5</w:t>
      </w:r>
      <w:r>
        <w:rPr>
          <w:rFonts w:ascii="Times New Roman" w:eastAsia="Batang" w:hAnsi="Times New Roman" w:cs="Times New Roman"/>
          <w:color w:val="000000" w:themeColor="text1"/>
          <w:sz w:val="24"/>
          <w:szCs w:val="24"/>
        </w:rPr>
        <w:t>º</w:t>
      </w:r>
      <w:r w:rsidRPr="000A0000">
        <w:rPr>
          <w:rFonts w:ascii="Times New Roman" w:eastAsia="Batang" w:hAnsi="Times New Roman" w:cs="Times New Roman"/>
          <w:color w:val="000000" w:themeColor="text1"/>
          <w:sz w:val="24"/>
          <w:szCs w:val="24"/>
        </w:rPr>
        <w:t xml:space="preserve"> da CF, inciso XLVII, que trata das hipóteses</w:t>
      </w:r>
      <w:r>
        <w:rPr>
          <w:rFonts w:ascii="Times New Roman" w:eastAsia="Batang" w:hAnsi="Times New Roman" w:cs="Times New Roman"/>
          <w:color w:val="000000" w:themeColor="text1"/>
          <w:sz w:val="24"/>
          <w:szCs w:val="24"/>
        </w:rPr>
        <w:t xml:space="preserve"> de morte, com algumas exceções; de caráter perpétuo;</w:t>
      </w:r>
      <w:r w:rsidRPr="000A0000">
        <w:rPr>
          <w:rFonts w:ascii="Times New Roman" w:eastAsia="Batang" w:hAnsi="Times New Roman" w:cs="Times New Roman"/>
          <w:color w:val="000000" w:themeColor="text1"/>
          <w:sz w:val="24"/>
          <w:szCs w:val="24"/>
        </w:rPr>
        <w:t xml:space="preserve"> de tra</w:t>
      </w:r>
      <w:r>
        <w:rPr>
          <w:rFonts w:ascii="Times New Roman" w:eastAsia="Batang" w:hAnsi="Times New Roman" w:cs="Times New Roman"/>
          <w:color w:val="000000" w:themeColor="text1"/>
          <w:sz w:val="24"/>
          <w:szCs w:val="24"/>
        </w:rPr>
        <w:t xml:space="preserve">balhos forçados; </w:t>
      </w:r>
      <w:r w:rsidRPr="000A0000">
        <w:rPr>
          <w:rFonts w:ascii="Times New Roman" w:eastAsia="Batang" w:hAnsi="Times New Roman" w:cs="Times New Roman"/>
          <w:color w:val="000000" w:themeColor="text1"/>
          <w:sz w:val="24"/>
          <w:szCs w:val="24"/>
        </w:rPr>
        <w:t>de banimento</w:t>
      </w:r>
      <w:r>
        <w:rPr>
          <w:rFonts w:ascii="Times New Roman" w:eastAsia="Batang" w:hAnsi="Times New Roman" w:cs="Times New Roman"/>
          <w:color w:val="000000" w:themeColor="text1"/>
          <w:sz w:val="24"/>
          <w:szCs w:val="24"/>
        </w:rPr>
        <w:t>;</w:t>
      </w:r>
      <w:r w:rsidRPr="000A0000">
        <w:rPr>
          <w:rFonts w:ascii="Times New Roman" w:eastAsia="Batang" w:hAnsi="Times New Roman" w:cs="Times New Roman"/>
          <w:color w:val="000000" w:themeColor="text1"/>
          <w:sz w:val="24"/>
          <w:szCs w:val="24"/>
        </w:rPr>
        <w:t xml:space="preserve"> e </w:t>
      </w:r>
      <w:proofErr w:type="spellStart"/>
      <w:r w:rsidRPr="000A0000">
        <w:rPr>
          <w:rFonts w:ascii="Times New Roman" w:eastAsia="Batang" w:hAnsi="Times New Roman" w:cs="Times New Roman"/>
          <w:color w:val="000000" w:themeColor="text1"/>
          <w:sz w:val="24"/>
          <w:szCs w:val="24"/>
        </w:rPr>
        <w:t>cruéis.</w:t>
      </w:r>
      <w:r>
        <w:rPr>
          <w:rFonts w:ascii="Times New Roman" w:eastAsia="Batang" w:hAnsi="Times New Roman" w:cs="Times New Roman"/>
          <w:color w:val="000000" w:themeColor="text1"/>
          <w:sz w:val="24"/>
          <w:szCs w:val="24"/>
        </w:rPr>
        <w:t>A</w:t>
      </w:r>
      <w:proofErr w:type="spellEnd"/>
      <w:r>
        <w:rPr>
          <w:rFonts w:ascii="Times New Roman" w:eastAsia="Batang" w:hAnsi="Times New Roman" w:cs="Times New Roman"/>
          <w:color w:val="000000" w:themeColor="text1"/>
          <w:sz w:val="24"/>
          <w:szCs w:val="24"/>
        </w:rPr>
        <w:t xml:space="preserve"> partir dessa faculdade concedida ao legislador, a Lei 11.343/06 adotou, além da pena já mencionada, também, duas outras, as quais denominou de “medidas educativas” por ter como objetivo a prevenção, com caráter educacional.</w:t>
      </w:r>
    </w:p>
    <w:p w:rsidR="00AC5A49" w:rsidRDefault="00AC5A49" w:rsidP="00046B92">
      <w:pPr>
        <w:spacing w:line="240" w:lineRule="auto"/>
        <w:jc w:val="both"/>
        <w:rPr>
          <w:rFonts w:ascii="Times New Roman" w:hAnsi="Times New Roman"/>
          <w:sz w:val="24"/>
          <w:szCs w:val="24"/>
        </w:rPr>
      </w:pPr>
    </w:p>
    <w:p w:rsidR="00046B92" w:rsidRPr="003E672F" w:rsidRDefault="00046B92" w:rsidP="003E672F">
      <w:pPr>
        <w:pStyle w:val="PargrafodaLista"/>
        <w:numPr>
          <w:ilvl w:val="0"/>
          <w:numId w:val="2"/>
        </w:numPr>
        <w:spacing w:line="240" w:lineRule="auto"/>
        <w:jc w:val="both"/>
        <w:rPr>
          <w:rFonts w:ascii="Times New Roman" w:hAnsi="Times New Roman"/>
          <w:b/>
          <w:sz w:val="24"/>
          <w:szCs w:val="24"/>
        </w:rPr>
      </w:pPr>
      <w:r w:rsidRPr="003E672F">
        <w:rPr>
          <w:rFonts w:ascii="Times New Roman" w:hAnsi="Times New Roman"/>
          <w:b/>
          <w:sz w:val="24"/>
          <w:szCs w:val="24"/>
        </w:rPr>
        <w:t xml:space="preserve"> Distinção entre os artigos 28 e o artigo 33 da Lei 11.343/2006.</w:t>
      </w:r>
    </w:p>
    <w:p w:rsidR="00AC5A49" w:rsidRDefault="00AC5A49" w:rsidP="00046B92">
      <w:pPr>
        <w:spacing w:line="240" w:lineRule="auto"/>
        <w:jc w:val="both"/>
        <w:rPr>
          <w:rFonts w:ascii="Times New Roman" w:hAnsi="Times New Roman"/>
          <w:sz w:val="24"/>
          <w:szCs w:val="24"/>
        </w:rPr>
      </w:pPr>
    </w:p>
    <w:p w:rsidR="00AC5A49" w:rsidRDefault="00F66054" w:rsidP="00F66054">
      <w:pPr>
        <w:spacing w:line="360" w:lineRule="auto"/>
        <w:ind w:firstLine="851"/>
        <w:jc w:val="both"/>
        <w:rPr>
          <w:rFonts w:ascii="Times New Roman" w:hAnsi="Times New Roman"/>
          <w:sz w:val="24"/>
          <w:szCs w:val="24"/>
        </w:rPr>
      </w:pPr>
      <w:r>
        <w:rPr>
          <w:rFonts w:ascii="Times New Roman" w:hAnsi="Times New Roman"/>
          <w:sz w:val="24"/>
          <w:szCs w:val="24"/>
        </w:rPr>
        <w:t xml:space="preserve">A temática da natureza jurídica do art.28 da Lei de Drogas é importante, pois, esse artigo recebe por título </w:t>
      </w:r>
      <w:r w:rsidR="00AE6CC1" w:rsidRPr="00AE6CC1">
        <w:rPr>
          <w:rFonts w:ascii="Times New Roman" w:hAnsi="Times New Roman"/>
          <w:sz w:val="24"/>
          <w:szCs w:val="24"/>
        </w:rPr>
        <w:t>‘D</w:t>
      </w:r>
      <w:r>
        <w:rPr>
          <w:rFonts w:ascii="Times New Roman" w:hAnsi="Times New Roman"/>
          <w:sz w:val="24"/>
          <w:szCs w:val="24"/>
        </w:rPr>
        <w:t>os Crimes e das Penas’, e prevê</w:t>
      </w:r>
      <w:r w:rsidR="00AE6CC1" w:rsidRPr="00AE6CC1">
        <w:rPr>
          <w:rFonts w:ascii="Times New Roman" w:hAnsi="Times New Roman"/>
          <w:sz w:val="24"/>
          <w:szCs w:val="24"/>
        </w:rPr>
        <w:t xml:space="preserve"> somente penas-alternativas para o agente que porta drogas para consumo pessoal. No artigo 33, por sua vez, </w:t>
      </w:r>
      <w:r>
        <w:rPr>
          <w:rFonts w:ascii="Times New Roman" w:hAnsi="Times New Roman"/>
          <w:sz w:val="24"/>
          <w:szCs w:val="24"/>
        </w:rPr>
        <w:t>que vem sob título</w:t>
      </w:r>
      <w:r w:rsidR="00AE6CC1" w:rsidRPr="00AE6CC1">
        <w:rPr>
          <w:rFonts w:ascii="Times New Roman" w:hAnsi="Times New Roman"/>
          <w:sz w:val="24"/>
          <w:szCs w:val="24"/>
        </w:rPr>
        <w:t xml:space="preserve"> ‘Dos crimes’, há previsão de pena de reclusão de cinco a quinze anos e pagamento de 500 (quinhentos) a 1.500 (mil e quinhentos dias-m</w:t>
      </w:r>
      <w:r>
        <w:rPr>
          <w:rFonts w:ascii="Times New Roman" w:hAnsi="Times New Roman"/>
          <w:sz w:val="24"/>
          <w:szCs w:val="24"/>
        </w:rPr>
        <w:t xml:space="preserve">ulta). Nesse sentido, pretende-se diferenciar as </w:t>
      </w:r>
      <w:r w:rsidR="00AE6CC1" w:rsidRPr="00AE6CC1">
        <w:rPr>
          <w:rFonts w:ascii="Times New Roman" w:hAnsi="Times New Roman"/>
          <w:sz w:val="24"/>
          <w:szCs w:val="24"/>
        </w:rPr>
        <w:t xml:space="preserve">condutas </w:t>
      </w:r>
      <w:r w:rsidR="005522E6">
        <w:rPr>
          <w:rFonts w:ascii="Times New Roman" w:hAnsi="Times New Roman"/>
          <w:sz w:val="24"/>
          <w:szCs w:val="24"/>
        </w:rPr>
        <w:t>previstas nos artigos 28 e 33, caput</w:t>
      </w:r>
      <w:r w:rsidR="00AE6CC1" w:rsidRPr="00AE6CC1">
        <w:rPr>
          <w:rFonts w:ascii="Times New Roman" w:hAnsi="Times New Roman"/>
          <w:sz w:val="24"/>
          <w:szCs w:val="24"/>
        </w:rPr>
        <w:t>, para verificar se a não previsão de p</w:t>
      </w:r>
      <w:r>
        <w:rPr>
          <w:rFonts w:ascii="Times New Roman" w:hAnsi="Times New Roman"/>
          <w:sz w:val="24"/>
          <w:szCs w:val="24"/>
        </w:rPr>
        <w:t>ena de reclusão e detenção n</w:t>
      </w:r>
      <w:r w:rsidR="00AE6CC1" w:rsidRPr="00AE6CC1">
        <w:rPr>
          <w:rFonts w:ascii="Times New Roman" w:hAnsi="Times New Roman"/>
          <w:sz w:val="24"/>
          <w:szCs w:val="24"/>
        </w:rPr>
        <w:t>o artigo 28 da Lei 11.343/2006 implica na sua descriminalização e despenalização.</w:t>
      </w:r>
    </w:p>
    <w:p w:rsidR="006A43F3" w:rsidRDefault="006A43F3" w:rsidP="006A43F3">
      <w:pPr>
        <w:spacing w:line="360" w:lineRule="auto"/>
        <w:ind w:firstLine="851"/>
        <w:jc w:val="both"/>
        <w:rPr>
          <w:rFonts w:ascii="Times New Roman" w:hAnsi="Times New Roman"/>
          <w:sz w:val="24"/>
          <w:szCs w:val="24"/>
        </w:rPr>
      </w:pPr>
      <w:r>
        <w:rPr>
          <w:rFonts w:ascii="Times New Roman" w:hAnsi="Times New Roman"/>
          <w:sz w:val="24"/>
          <w:szCs w:val="24"/>
        </w:rPr>
        <w:t xml:space="preserve">O artigo 28 da Lei de Drogas diz respeito ao crime de porte de drogas para uso próprio. Ele prevê que haverá punição para aquele que, a título de dolo, adquirir, guardar, tiver em depósito, transportar ou trouxer consigo a droga. Caso ela já tenha sido usada, não será hipótese de nenhum desses núcleos do tipo, mas sim, fato atípico, por desaparecer a materialidade delitiva. Nesse artigo, as penas restritivas de direitos </w:t>
      </w:r>
      <w:r>
        <w:rPr>
          <w:rFonts w:ascii="Times New Roman" w:hAnsi="Times New Roman"/>
          <w:sz w:val="24"/>
          <w:szCs w:val="24"/>
        </w:rPr>
        <w:lastRenderedPageBreak/>
        <w:t>são as principais, e, haverá prescrição do crime em dois anos, tanto em caso de ser punitiva quanto executória, o que vem previsto no artigo 30 da Lei de Drogas.</w:t>
      </w:r>
    </w:p>
    <w:p w:rsidR="00D43B29" w:rsidRDefault="006A43F3" w:rsidP="00D43B29">
      <w:pPr>
        <w:spacing w:line="360" w:lineRule="auto"/>
        <w:ind w:firstLine="851"/>
        <w:jc w:val="both"/>
        <w:rPr>
          <w:rFonts w:ascii="Times New Roman" w:hAnsi="Times New Roman"/>
          <w:sz w:val="24"/>
          <w:szCs w:val="24"/>
        </w:rPr>
      </w:pPr>
      <w:r>
        <w:rPr>
          <w:rFonts w:ascii="Times New Roman" w:hAnsi="Times New Roman"/>
          <w:sz w:val="24"/>
          <w:szCs w:val="24"/>
        </w:rPr>
        <w:t>O crime de tráfico de drogas, por sua vez, que vem expresso no arti</w:t>
      </w:r>
      <w:r w:rsidR="007E4A6C">
        <w:rPr>
          <w:rFonts w:ascii="Times New Roman" w:hAnsi="Times New Roman"/>
          <w:sz w:val="24"/>
          <w:szCs w:val="24"/>
        </w:rPr>
        <w:t>go 33 da Lei, possui 18 núcleos do tipo, sendo crime de ação múl</w:t>
      </w:r>
      <w:r w:rsidR="00C33918">
        <w:rPr>
          <w:rFonts w:ascii="Times New Roman" w:hAnsi="Times New Roman"/>
          <w:sz w:val="24"/>
          <w:szCs w:val="24"/>
        </w:rPr>
        <w:t xml:space="preserve">tipla ou de conteúdo variado. </w:t>
      </w:r>
      <w:r w:rsidR="00D43B29" w:rsidRPr="00D43B29">
        <w:rPr>
          <w:rFonts w:ascii="Times New Roman" w:hAnsi="Times New Roman"/>
          <w:sz w:val="24"/>
          <w:szCs w:val="24"/>
        </w:rPr>
        <w:t>Se o sujeito ativo praticar mais de um núcleo no mesmo contexto fático, o crime continua sendo único. O juiz é que vai considerar a pluralidade de núcleos na fixação da pena. Todav</w:t>
      </w:r>
      <w:r w:rsidR="00DC2794">
        <w:rPr>
          <w:rFonts w:ascii="Times New Roman" w:hAnsi="Times New Roman"/>
          <w:sz w:val="24"/>
          <w:szCs w:val="24"/>
        </w:rPr>
        <w:t xml:space="preserve">ia, faltando proximidade entre as </w:t>
      </w:r>
      <w:r w:rsidR="00D43B29" w:rsidRPr="00D43B29">
        <w:rPr>
          <w:rFonts w:ascii="Times New Roman" w:hAnsi="Times New Roman"/>
          <w:sz w:val="24"/>
          <w:szCs w:val="24"/>
        </w:rPr>
        <w:t>condutas, haverá concurso de crimes.</w:t>
      </w:r>
    </w:p>
    <w:p w:rsidR="00D43B29" w:rsidRDefault="00DC2794" w:rsidP="00025ABB">
      <w:pPr>
        <w:spacing w:line="360" w:lineRule="auto"/>
        <w:ind w:firstLine="851"/>
        <w:jc w:val="both"/>
        <w:rPr>
          <w:rFonts w:ascii="Times New Roman" w:hAnsi="Times New Roman"/>
          <w:sz w:val="24"/>
          <w:szCs w:val="24"/>
        </w:rPr>
      </w:pPr>
      <w:r>
        <w:rPr>
          <w:rFonts w:ascii="Times New Roman" w:hAnsi="Times New Roman"/>
          <w:sz w:val="24"/>
          <w:szCs w:val="24"/>
        </w:rPr>
        <w:t xml:space="preserve">O agente deve praticar as condutas, necessariamente, com a ausência de autorização ou com desvio de autorização, mesmo que </w:t>
      </w:r>
      <w:r w:rsidR="00C33918">
        <w:rPr>
          <w:rFonts w:ascii="Times New Roman" w:hAnsi="Times New Roman"/>
          <w:sz w:val="24"/>
          <w:szCs w:val="24"/>
        </w:rPr>
        <w:t>esta tenha</w:t>
      </w:r>
      <w:r w:rsidR="00025ABB">
        <w:rPr>
          <w:rFonts w:ascii="Times New Roman" w:hAnsi="Times New Roman"/>
          <w:sz w:val="24"/>
          <w:szCs w:val="24"/>
        </w:rPr>
        <w:t xml:space="preserve"> sido concedida de modo regular</w:t>
      </w:r>
      <w:r>
        <w:rPr>
          <w:rFonts w:ascii="Times New Roman" w:hAnsi="Times New Roman"/>
          <w:sz w:val="24"/>
          <w:szCs w:val="24"/>
        </w:rPr>
        <w:t>, sendo esses os elementos normativos que caracterizam a ilicitude da conduta. A quantidade de droga não é condição para diferenciar o crime do porte para uso próprio, art. 28, do cri</w:t>
      </w:r>
      <w:r w:rsidR="00025ABB">
        <w:rPr>
          <w:rFonts w:ascii="Times New Roman" w:hAnsi="Times New Roman"/>
          <w:sz w:val="24"/>
          <w:szCs w:val="24"/>
        </w:rPr>
        <w:t>me de tráfico de drogas, art.33, mas sim, os requisitos da quantidade e natureza da substância ou do produto apreendido, o local e as condições em que se desenvolveu a ação criminosa, as circunstâncias da prisão, a conduta, a qualificação e os antecedentes do agente.</w:t>
      </w:r>
    </w:p>
    <w:p w:rsidR="00D43B29" w:rsidRDefault="00025ABB" w:rsidP="00025ABB">
      <w:pPr>
        <w:spacing w:line="36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Esse crime do artigo 33 requer que o agente tenha agido com dolo, ou seja, que tenha conhecimento de que a substância que mantêm em depósito se trata de uma droga proibida, sendo, também, caracterizado como crime formal, pois, para que se consume, independe da obtenção dos lucros, bastando a prática de qualquer um dos núcleos, havendo crimes que são permanentes, ou seja, se prolongam no tempo, como o de </w:t>
      </w:r>
      <w:r w:rsidR="00D43B29" w:rsidRPr="00025ABB">
        <w:rPr>
          <w:rFonts w:ascii="Times New Roman" w:hAnsi="Times New Roman"/>
          <w:color w:val="000000" w:themeColor="text1"/>
          <w:sz w:val="24"/>
          <w:szCs w:val="24"/>
        </w:rPr>
        <w:t>guardar, manter em depósito e trazer consigo.</w:t>
      </w:r>
      <w:r>
        <w:rPr>
          <w:rFonts w:ascii="Times New Roman" w:hAnsi="Times New Roman"/>
          <w:color w:val="000000" w:themeColor="text1"/>
          <w:sz w:val="24"/>
          <w:szCs w:val="24"/>
        </w:rPr>
        <w:t xml:space="preserve"> Nestes casos, a qualquer momento cabe flagrante, pois, a prescrição só começa a ser contada depois de cessada a permanência.</w:t>
      </w:r>
    </w:p>
    <w:p w:rsidR="00D43B29" w:rsidRDefault="00681994" w:rsidP="00681994">
      <w:pPr>
        <w:spacing w:line="36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Dentre os bens jurídicos tutelados, o primário é a saúde pública, e o secundário, a saúde individual de pessoas que integram a sociedade. Como sujeito ativo do tráfico, trata-se de crime comum, podendo ser praticado por qualquer pessoa, porém, no núcleo prescrever, trata-se de crime próprio, só podendo ser praticado por médico ou dentista. Os sujeitos passivos são, primeiramente, a sociedade, e de forma secundária, alguém prejudicado com a ação do agente.</w:t>
      </w:r>
    </w:p>
    <w:p w:rsidR="00D43B29" w:rsidRPr="00D43B29" w:rsidRDefault="00681994" w:rsidP="00D43B29">
      <w:pPr>
        <w:spacing w:line="360" w:lineRule="auto"/>
        <w:ind w:firstLine="851"/>
        <w:jc w:val="both"/>
        <w:rPr>
          <w:rFonts w:ascii="Times New Roman" w:hAnsi="Times New Roman"/>
          <w:color w:val="FF0000"/>
          <w:sz w:val="24"/>
          <w:szCs w:val="24"/>
        </w:rPr>
      </w:pPr>
      <w:r>
        <w:rPr>
          <w:rFonts w:ascii="Times New Roman" w:hAnsi="Times New Roman"/>
          <w:color w:val="000000" w:themeColor="text1"/>
          <w:sz w:val="24"/>
          <w:szCs w:val="24"/>
        </w:rPr>
        <w:t xml:space="preserve">O objeto material no crime previsto no artigo 33 é a própria droga, e prevalece entendimento de que o tráfico é crime de perigo abstrato, ou seja, o perigo que decorre desse tipo de comportamento é presumido em lei. Em comparação ao crime de porte de </w:t>
      </w:r>
      <w:r>
        <w:rPr>
          <w:rFonts w:ascii="Times New Roman" w:hAnsi="Times New Roman"/>
          <w:color w:val="000000" w:themeColor="text1"/>
          <w:sz w:val="24"/>
          <w:szCs w:val="24"/>
        </w:rPr>
        <w:lastRenderedPageBreak/>
        <w:t>drogas para consumo pessoal, o STF admitiu o princípio da insignificância, porém, no de tráfico de drogas, não, pois não se trataria apenas do usuári</w:t>
      </w:r>
      <w:r w:rsidR="005522E6">
        <w:rPr>
          <w:rFonts w:ascii="Times New Roman" w:hAnsi="Times New Roman"/>
          <w:color w:val="000000" w:themeColor="text1"/>
          <w:sz w:val="24"/>
          <w:szCs w:val="24"/>
        </w:rPr>
        <w:t xml:space="preserve">o. </w:t>
      </w:r>
    </w:p>
    <w:p w:rsidR="003E672F" w:rsidRDefault="003E672F" w:rsidP="003E672F">
      <w:pPr>
        <w:spacing w:line="360" w:lineRule="auto"/>
        <w:jc w:val="both"/>
        <w:rPr>
          <w:rFonts w:ascii="Times New Roman" w:hAnsi="Times New Roman"/>
          <w:b/>
          <w:sz w:val="24"/>
          <w:szCs w:val="24"/>
        </w:rPr>
      </w:pPr>
    </w:p>
    <w:p w:rsidR="00D43B29" w:rsidRPr="003E672F" w:rsidRDefault="005522E6" w:rsidP="003E672F">
      <w:pPr>
        <w:pStyle w:val="PargrafodaLista"/>
        <w:numPr>
          <w:ilvl w:val="0"/>
          <w:numId w:val="5"/>
        </w:numPr>
        <w:spacing w:line="360" w:lineRule="auto"/>
        <w:jc w:val="both"/>
        <w:rPr>
          <w:rFonts w:ascii="Times New Roman" w:hAnsi="Times New Roman"/>
          <w:b/>
          <w:sz w:val="24"/>
          <w:szCs w:val="24"/>
        </w:rPr>
      </w:pPr>
      <w:r w:rsidRPr="003E672F">
        <w:rPr>
          <w:rFonts w:ascii="Times New Roman" w:hAnsi="Times New Roman"/>
          <w:b/>
          <w:sz w:val="24"/>
          <w:szCs w:val="24"/>
        </w:rPr>
        <w:t>Natureza jurídica do artigo 28 da Lei de Drogas:</w:t>
      </w:r>
    </w:p>
    <w:p w:rsidR="003E672F" w:rsidRDefault="003E672F" w:rsidP="003E672F">
      <w:pPr>
        <w:spacing w:line="360" w:lineRule="auto"/>
        <w:ind w:firstLine="851"/>
        <w:jc w:val="both"/>
        <w:rPr>
          <w:rFonts w:ascii="Times New Roman" w:hAnsi="Times New Roman"/>
          <w:sz w:val="24"/>
          <w:szCs w:val="24"/>
        </w:rPr>
      </w:pPr>
      <w:r>
        <w:rPr>
          <w:rFonts w:ascii="Times New Roman" w:hAnsi="Times New Roman"/>
          <w:sz w:val="24"/>
          <w:szCs w:val="24"/>
        </w:rPr>
        <w:t>Em relação à natureza jurídica do artigo 28 da Lei de Drogas, cabe apresent</w:t>
      </w:r>
      <w:r w:rsidR="00D85213">
        <w:rPr>
          <w:rFonts w:ascii="Times New Roman" w:hAnsi="Times New Roman"/>
          <w:sz w:val="24"/>
          <w:szCs w:val="24"/>
        </w:rPr>
        <w:t>ar as suas três principais correntes</w:t>
      </w:r>
      <w:r w:rsidR="00C51F53">
        <w:rPr>
          <w:rFonts w:ascii="Times New Roman" w:hAnsi="Times New Roman"/>
          <w:sz w:val="24"/>
          <w:szCs w:val="24"/>
        </w:rPr>
        <w:t>, tendo em vista que ainda não há um resultado preciso para o tema</w:t>
      </w:r>
      <w:r w:rsidR="00D85213">
        <w:rPr>
          <w:rFonts w:ascii="Times New Roman" w:hAnsi="Times New Roman"/>
          <w:sz w:val="24"/>
          <w:szCs w:val="24"/>
        </w:rPr>
        <w:t xml:space="preserve">. </w:t>
      </w:r>
      <w:r w:rsidRPr="003E672F">
        <w:rPr>
          <w:rFonts w:ascii="Times New Roman" w:hAnsi="Times New Roman"/>
          <w:sz w:val="24"/>
          <w:szCs w:val="24"/>
        </w:rPr>
        <w:t>Enquanto para duas delas não se classifica a conduta do porte de drogas para uso próprio como crime, mas sim, como fato atípico ou infração penal sui generis, para outra corrente, tal conduta é classificada como crime. Assim, serão analisados os argumentos para cada um desses posicionamentos, princípios que possam sustentar, assim como qual a posição adotada pelo STF</w:t>
      </w:r>
      <w:r w:rsidR="00395CF5">
        <w:rPr>
          <w:rFonts w:ascii="Times New Roman" w:hAnsi="Times New Roman"/>
          <w:sz w:val="24"/>
          <w:szCs w:val="24"/>
        </w:rPr>
        <w:t xml:space="preserve"> e qual posicionamento tem prevalecido.</w:t>
      </w:r>
    </w:p>
    <w:p w:rsidR="00183407" w:rsidRDefault="00D85213" w:rsidP="003E672F">
      <w:pPr>
        <w:spacing w:line="360" w:lineRule="auto"/>
        <w:ind w:firstLine="851"/>
        <w:jc w:val="both"/>
        <w:rPr>
          <w:rFonts w:ascii="Times New Roman" w:hAnsi="Times New Roman"/>
          <w:sz w:val="24"/>
          <w:szCs w:val="24"/>
        </w:rPr>
      </w:pPr>
      <w:r>
        <w:rPr>
          <w:rFonts w:ascii="Times New Roman" w:hAnsi="Times New Roman"/>
          <w:sz w:val="24"/>
          <w:szCs w:val="24"/>
        </w:rPr>
        <w:t xml:space="preserve">Primeiramente, será tratado sobre a corrente que classifica a natureza jurídica do artigo 28 da Lei de Drogas como crime. </w:t>
      </w:r>
      <w:r w:rsidR="00395CF5" w:rsidRPr="00395CF5">
        <w:rPr>
          <w:rFonts w:ascii="Times New Roman" w:hAnsi="Times New Roman"/>
          <w:sz w:val="24"/>
          <w:szCs w:val="24"/>
        </w:rPr>
        <w:t>Para o Ministro Sepúlveda Pertence, esse artigo faz part</w:t>
      </w:r>
      <w:r w:rsidR="00395CF5">
        <w:rPr>
          <w:rFonts w:ascii="Times New Roman" w:hAnsi="Times New Roman"/>
          <w:sz w:val="24"/>
          <w:szCs w:val="24"/>
        </w:rPr>
        <w:t>e do Direito Penal e é “crime”, o que também sustentam Vicente Greco</w:t>
      </w:r>
      <w:r w:rsidR="00183407">
        <w:rPr>
          <w:rFonts w:ascii="Times New Roman" w:hAnsi="Times New Roman"/>
          <w:sz w:val="24"/>
          <w:szCs w:val="24"/>
        </w:rPr>
        <w:t xml:space="preserve"> Filho e João Daniel </w:t>
      </w:r>
      <w:proofErr w:type="spellStart"/>
      <w:r w:rsidR="00183407">
        <w:rPr>
          <w:rFonts w:ascii="Times New Roman" w:hAnsi="Times New Roman"/>
          <w:sz w:val="24"/>
          <w:szCs w:val="24"/>
        </w:rPr>
        <w:t>Rassi</w:t>
      </w:r>
      <w:proofErr w:type="spellEnd"/>
      <w:r w:rsidR="00183407">
        <w:rPr>
          <w:rFonts w:ascii="Times New Roman" w:hAnsi="Times New Roman"/>
          <w:sz w:val="24"/>
          <w:szCs w:val="24"/>
        </w:rPr>
        <w:t xml:space="preserve">. (GRECO, Vicente; RASSI, João, 2007, p.43). </w:t>
      </w:r>
      <w:r w:rsidR="00FA3072">
        <w:rPr>
          <w:rFonts w:ascii="Times New Roman" w:hAnsi="Times New Roman"/>
          <w:sz w:val="24"/>
          <w:szCs w:val="24"/>
        </w:rPr>
        <w:t xml:space="preserve">Além disso, esta é a posição amplamente dominante, e a qual Cleber </w:t>
      </w:r>
      <w:proofErr w:type="spellStart"/>
      <w:r w:rsidR="00FA3072">
        <w:rPr>
          <w:rFonts w:ascii="Times New Roman" w:hAnsi="Times New Roman"/>
          <w:sz w:val="24"/>
          <w:szCs w:val="24"/>
        </w:rPr>
        <w:t>Masson</w:t>
      </w:r>
      <w:proofErr w:type="spellEnd"/>
      <w:r w:rsidR="00FA3072">
        <w:rPr>
          <w:rFonts w:ascii="Times New Roman" w:hAnsi="Times New Roman"/>
          <w:sz w:val="24"/>
          <w:szCs w:val="24"/>
        </w:rPr>
        <w:t xml:space="preserve"> também se filia. (MASSON, 2012, p.173).</w:t>
      </w:r>
    </w:p>
    <w:p w:rsidR="00D85213" w:rsidRDefault="00D85213" w:rsidP="003E672F">
      <w:pPr>
        <w:spacing w:line="360" w:lineRule="auto"/>
        <w:ind w:firstLine="851"/>
        <w:jc w:val="both"/>
        <w:rPr>
          <w:rFonts w:ascii="Times New Roman" w:hAnsi="Times New Roman"/>
          <w:sz w:val="24"/>
          <w:szCs w:val="24"/>
        </w:rPr>
      </w:pPr>
      <w:r>
        <w:rPr>
          <w:rFonts w:ascii="Times New Roman" w:hAnsi="Times New Roman"/>
          <w:sz w:val="24"/>
          <w:szCs w:val="24"/>
        </w:rPr>
        <w:t xml:space="preserve">Os fundamentos para isso seriam de que o capítulo que se refere ao art. 28 é intitulado como “Dos Crimes”; o § 4º desse artigo trata sobre reincidência, o que já remete ao fato da conduta tipificada ser crime; </w:t>
      </w:r>
      <w:r w:rsidR="009F2761">
        <w:rPr>
          <w:rFonts w:ascii="Times New Roman" w:hAnsi="Times New Roman"/>
          <w:sz w:val="24"/>
          <w:szCs w:val="24"/>
        </w:rPr>
        <w:t>o artigo 30 da Lei de Drogas traz que “p</w:t>
      </w:r>
      <w:r w:rsidR="009F2761" w:rsidRPr="009F2761">
        <w:rPr>
          <w:rFonts w:ascii="Times New Roman" w:hAnsi="Times New Roman"/>
          <w:sz w:val="24"/>
          <w:szCs w:val="24"/>
        </w:rPr>
        <w:t xml:space="preserve">rescrevem em 2 (dois) anos a imposição e a execução das penas, observado, no tocante à interrupção do prazo, o disposto nos </w:t>
      </w:r>
      <w:proofErr w:type="spellStart"/>
      <w:r w:rsidR="009F2761" w:rsidRPr="009F2761">
        <w:rPr>
          <w:rFonts w:ascii="Times New Roman" w:hAnsi="Times New Roman"/>
          <w:sz w:val="24"/>
          <w:szCs w:val="24"/>
        </w:rPr>
        <w:t>arts</w:t>
      </w:r>
      <w:proofErr w:type="spellEnd"/>
      <w:r w:rsidR="009F2761" w:rsidRPr="009F2761">
        <w:rPr>
          <w:rFonts w:ascii="Times New Roman" w:hAnsi="Times New Roman"/>
          <w:sz w:val="24"/>
          <w:szCs w:val="24"/>
        </w:rPr>
        <w:t>. 107 e seguintes do Código Penal</w:t>
      </w:r>
      <w:r w:rsidR="009F2761">
        <w:rPr>
          <w:rFonts w:ascii="Times New Roman" w:hAnsi="Times New Roman"/>
          <w:sz w:val="24"/>
          <w:szCs w:val="24"/>
        </w:rPr>
        <w:t>”, ou seja, fala em prescrição</w:t>
      </w:r>
      <w:r w:rsidR="00C965DF">
        <w:rPr>
          <w:rFonts w:ascii="Times New Roman" w:hAnsi="Times New Roman"/>
          <w:sz w:val="24"/>
          <w:szCs w:val="24"/>
        </w:rPr>
        <w:t>, o que só poderia ser previsto por crimes ou contravenções penais</w:t>
      </w:r>
      <w:r w:rsidR="009F2761">
        <w:rPr>
          <w:rFonts w:ascii="Times New Roman" w:hAnsi="Times New Roman"/>
          <w:sz w:val="24"/>
          <w:szCs w:val="24"/>
        </w:rPr>
        <w:t>; e, al</w:t>
      </w:r>
      <w:r w:rsidR="00C42508">
        <w:rPr>
          <w:rFonts w:ascii="Times New Roman" w:hAnsi="Times New Roman"/>
          <w:sz w:val="24"/>
          <w:szCs w:val="24"/>
        </w:rPr>
        <w:t xml:space="preserve">ém disso, o artigo 5º, inciso XLVI admite outras penas, além das de reclusão ou detenção. </w:t>
      </w:r>
    </w:p>
    <w:p w:rsidR="00104A93" w:rsidRPr="00104A93" w:rsidRDefault="00104A93" w:rsidP="00104A93">
      <w:pPr>
        <w:spacing w:line="360" w:lineRule="auto"/>
        <w:ind w:firstLine="851"/>
        <w:jc w:val="both"/>
        <w:rPr>
          <w:rFonts w:ascii="Times New Roman" w:hAnsi="Times New Roman"/>
          <w:sz w:val="24"/>
          <w:szCs w:val="24"/>
        </w:rPr>
      </w:pPr>
      <w:r w:rsidRPr="00104A93">
        <w:rPr>
          <w:rFonts w:ascii="Times New Roman" w:hAnsi="Times New Roman"/>
          <w:sz w:val="24"/>
          <w:szCs w:val="24"/>
        </w:rPr>
        <w:t xml:space="preserve">Segundo decisão do Supremo Tribunal Federal, ao analisar a natureza jurídica do art.28 da Lei 11.343/2006 (posse de drogas para consumo pessoal), a conduta deve ser enquadrada como crime, justificando-se pelos argumentos já apresentados anteriormente, quando se tratou da primeira corrente. Além desses, cumpre apresentar, também, como fundamentação, como vem na Lei 11.343/06, Título III, Capítulo III, </w:t>
      </w:r>
      <w:proofErr w:type="spellStart"/>
      <w:r w:rsidRPr="00104A93">
        <w:rPr>
          <w:rFonts w:ascii="Times New Roman" w:hAnsi="Times New Roman"/>
          <w:sz w:val="24"/>
          <w:szCs w:val="24"/>
        </w:rPr>
        <w:t>arts</w:t>
      </w:r>
      <w:proofErr w:type="spellEnd"/>
      <w:r w:rsidRPr="00104A93">
        <w:rPr>
          <w:rFonts w:ascii="Times New Roman" w:hAnsi="Times New Roman"/>
          <w:sz w:val="24"/>
          <w:szCs w:val="24"/>
        </w:rPr>
        <w:t>. 27 e 30, que:</w:t>
      </w:r>
    </w:p>
    <w:p w:rsidR="00104A93" w:rsidRDefault="00104A93" w:rsidP="00104A93">
      <w:pPr>
        <w:spacing w:line="240" w:lineRule="auto"/>
        <w:ind w:left="2268"/>
        <w:jc w:val="both"/>
        <w:rPr>
          <w:rFonts w:ascii="Times New Roman" w:hAnsi="Times New Roman"/>
          <w:sz w:val="20"/>
          <w:szCs w:val="20"/>
        </w:rPr>
      </w:pPr>
      <w:r w:rsidRPr="00104A93">
        <w:rPr>
          <w:rFonts w:ascii="Times New Roman" w:hAnsi="Times New Roman"/>
          <w:sz w:val="20"/>
          <w:szCs w:val="20"/>
        </w:rPr>
        <w:lastRenderedPageBreak/>
        <w:t>O art. 1º da LICP - que se limita a estabelecer um critério que permite distinguir quando se está diante de um crime ou de uma contravenção - não obsta a que lei ordinária superveniente adote outros critérios gerais de distinção, ou estabeleça para determinado crime - como o fez o art. 28 da L. 11.343/06 - pena diversa da privação ou restrição da liberdade, a qual constitui somente uma das opções constitucionais passíveis de adoção pela lei incriminadora (CF/88, ar</w:t>
      </w:r>
      <w:r>
        <w:rPr>
          <w:rFonts w:ascii="Times New Roman" w:hAnsi="Times New Roman"/>
          <w:sz w:val="20"/>
          <w:szCs w:val="20"/>
        </w:rPr>
        <w:t>t. 5º, XLVI e XLVII).</w:t>
      </w:r>
    </w:p>
    <w:p w:rsidR="009F2761" w:rsidRDefault="00C42508" w:rsidP="00104A93">
      <w:pPr>
        <w:spacing w:line="360" w:lineRule="auto"/>
        <w:ind w:firstLine="851"/>
        <w:jc w:val="both"/>
        <w:rPr>
          <w:rFonts w:ascii="Times New Roman" w:hAnsi="Times New Roman"/>
          <w:sz w:val="24"/>
          <w:szCs w:val="24"/>
        </w:rPr>
      </w:pPr>
      <w:r>
        <w:rPr>
          <w:rFonts w:ascii="Times New Roman" w:hAnsi="Times New Roman"/>
          <w:sz w:val="24"/>
          <w:szCs w:val="24"/>
        </w:rPr>
        <w:t xml:space="preserve">Para a segunda corrente, não seria crime, mas sim, infração penal </w:t>
      </w:r>
      <w:r w:rsidR="00B243F8">
        <w:rPr>
          <w:rFonts w:ascii="Times New Roman" w:hAnsi="Times New Roman"/>
          <w:i/>
          <w:sz w:val="24"/>
          <w:szCs w:val="24"/>
        </w:rPr>
        <w:t xml:space="preserve">sui </w:t>
      </w:r>
      <w:proofErr w:type="spellStart"/>
      <w:r w:rsidR="00B243F8">
        <w:rPr>
          <w:rFonts w:ascii="Times New Roman" w:hAnsi="Times New Roman"/>
          <w:i/>
          <w:sz w:val="24"/>
          <w:szCs w:val="24"/>
        </w:rPr>
        <w:t>generi</w:t>
      </w:r>
      <w:proofErr w:type="spellEnd"/>
      <w:r w:rsidR="00B243F8">
        <w:rPr>
          <w:rFonts w:ascii="Times New Roman" w:hAnsi="Times New Roman"/>
          <w:i/>
          <w:sz w:val="24"/>
          <w:szCs w:val="24"/>
        </w:rPr>
        <w:t xml:space="preserve">, </w:t>
      </w:r>
      <w:r w:rsidR="00B243F8">
        <w:rPr>
          <w:rFonts w:ascii="Times New Roman" w:hAnsi="Times New Roman"/>
          <w:sz w:val="24"/>
          <w:szCs w:val="24"/>
        </w:rPr>
        <w:t xml:space="preserve">como sustentam </w:t>
      </w:r>
      <w:r w:rsidR="00183407">
        <w:rPr>
          <w:rFonts w:ascii="Times New Roman" w:hAnsi="Times New Roman"/>
          <w:sz w:val="24"/>
          <w:szCs w:val="24"/>
        </w:rPr>
        <w:t>Luiz Flávio Gomes, Alice Bianchini, Rogério Sanches Cunha e Wil</w:t>
      </w:r>
      <w:r w:rsidR="00B243F8">
        <w:rPr>
          <w:rFonts w:ascii="Times New Roman" w:hAnsi="Times New Roman"/>
          <w:sz w:val="24"/>
          <w:szCs w:val="24"/>
        </w:rPr>
        <w:t xml:space="preserve">liam Terra de Oliveira </w:t>
      </w:r>
      <w:r w:rsidR="00B243F8" w:rsidRPr="00B243F8">
        <w:rPr>
          <w:rFonts w:ascii="Times New Roman" w:hAnsi="Times New Roman"/>
          <w:sz w:val="24"/>
          <w:szCs w:val="24"/>
        </w:rPr>
        <w:t>(GOMES, Luís Flávio; BIANCHINI, Alice; CUNHA, Rogério Sanches; O</w:t>
      </w:r>
      <w:r w:rsidR="00B243F8">
        <w:rPr>
          <w:rFonts w:ascii="Times New Roman" w:hAnsi="Times New Roman"/>
          <w:sz w:val="24"/>
          <w:szCs w:val="24"/>
        </w:rPr>
        <w:t xml:space="preserve">LIVEIRA, William, p.126, 2006). </w:t>
      </w:r>
      <w:r>
        <w:rPr>
          <w:rFonts w:ascii="Times New Roman" w:hAnsi="Times New Roman"/>
          <w:sz w:val="24"/>
          <w:szCs w:val="24"/>
        </w:rPr>
        <w:t>Os fundamentos são os de que o nome do capítulo nem sempre equivale ao conteúdo</w:t>
      </w:r>
      <w:r w:rsidR="009F2761">
        <w:rPr>
          <w:rFonts w:ascii="Times New Roman" w:hAnsi="Times New Roman"/>
          <w:sz w:val="24"/>
          <w:szCs w:val="24"/>
        </w:rPr>
        <w:t xml:space="preserve"> de que trata; reincidência estaria sendo apresentado enquanto uma repetição de fato; ilícitos civis, administrativos e atos infracionais</w:t>
      </w:r>
      <w:r w:rsidR="00B243F8">
        <w:rPr>
          <w:rFonts w:ascii="Times New Roman" w:hAnsi="Times New Roman"/>
          <w:sz w:val="24"/>
          <w:szCs w:val="24"/>
        </w:rPr>
        <w:t xml:space="preserve"> também</w:t>
      </w:r>
      <w:r w:rsidR="009F2761">
        <w:rPr>
          <w:rFonts w:ascii="Times New Roman" w:hAnsi="Times New Roman"/>
          <w:sz w:val="24"/>
          <w:szCs w:val="24"/>
        </w:rPr>
        <w:t xml:space="preserve"> prescrevem; e, </w:t>
      </w:r>
      <w:r w:rsidR="00B243F8">
        <w:rPr>
          <w:rFonts w:ascii="Times New Roman" w:hAnsi="Times New Roman"/>
          <w:sz w:val="24"/>
          <w:szCs w:val="24"/>
        </w:rPr>
        <w:t xml:space="preserve">por se </w:t>
      </w:r>
      <w:r w:rsidR="009F2761">
        <w:rPr>
          <w:rFonts w:ascii="Times New Roman" w:hAnsi="Times New Roman"/>
          <w:sz w:val="24"/>
          <w:szCs w:val="24"/>
        </w:rPr>
        <w:t>diferenciar as penas previstas para crime e contravenção penal, pois, enquanto para a primeira haveria pena de reclusão e detenção, na segunda, é previsto prisão simples, como traz o artigo 48, §2º, no Capítulo III da Lei de Drogas, tratando sobre Procedimento Penal:</w:t>
      </w:r>
    </w:p>
    <w:p w:rsidR="00C42508" w:rsidRDefault="00701CE4" w:rsidP="00701CE4">
      <w:pPr>
        <w:spacing w:line="360" w:lineRule="auto"/>
        <w:ind w:left="2268"/>
        <w:jc w:val="both"/>
        <w:rPr>
          <w:rFonts w:ascii="Times New Roman" w:hAnsi="Times New Roman"/>
          <w:sz w:val="20"/>
          <w:szCs w:val="20"/>
        </w:rPr>
      </w:pPr>
      <w:r>
        <w:rPr>
          <w:rFonts w:ascii="Times New Roman" w:hAnsi="Times New Roman"/>
          <w:sz w:val="20"/>
          <w:szCs w:val="20"/>
        </w:rPr>
        <w:t xml:space="preserve">§ 2o </w:t>
      </w:r>
      <w:r w:rsidR="009F2761" w:rsidRPr="009F2761">
        <w:rPr>
          <w:rFonts w:ascii="Times New Roman" w:hAnsi="Times New Roman"/>
          <w:sz w:val="20"/>
          <w:szCs w:val="20"/>
        </w:rPr>
        <w:t>Tratando-se da conduta prevista no art. 28 desta Lei, não se imporá prisão em flagrante, devendo o autor do fato ser imediatamente encaminhado ao juízo competente ou, na falta deste, assumir o compromisso de a ele comparecer, lavrando-se termo circunstanciado e providenciando-se as requisições dos exames e perícias necessários.</w:t>
      </w:r>
    </w:p>
    <w:p w:rsidR="00C51F53" w:rsidRDefault="00B01E8A" w:rsidP="00B01E8A">
      <w:pPr>
        <w:spacing w:line="360" w:lineRule="auto"/>
        <w:ind w:firstLine="851"/>
        <w:jc w:val="both"/>
        <w:rPr>
          <w:rFonts w:ascii="Times New Roman" w:hAnsi="Times New Roman"/>
          <w:sz w:val="24"/>
          <w:szCs w:val="24"/>
        </w:rPr>
      </w:pPr>
      <w:r>
        <w:rPr>
          <w:rFonts w:ascii="Times New Roman" w:hAnsi="Times New Roman"/>
          <w:sz w:val="24"/>
          <w:szCs w:val="24"/>
        </w:rPr>
        <w:t>Por fim, para a terceira corrente, a conduta prevista no artigo 28 da Lei de Drogas, não seria considerada crime, mas sim, fato atípico. Isso se justifica, pois, a Lei 11.343/06 trata sobre medida educativa, e não sobre medidas punitivas; a desobediência da “pena” não acarreta em nenhuma consequência penal; segundo princípio da intervenção mínima, Direito Penal só deve ser aplicado como último recurso, tendo em vista que o que se pretende punir é a conduta e não o indivíduo, quando se tratar de resoluções que afetem os bens jurídicos mais importantes; e, no caso do porte de drogas para consumo pessoal, a saúde individual é um bem jurídico disponível, logo, a conduta não deve ser tida como crime.</w:t>
      </w:r>
    </w:p>
    <w:p w:rsidR="00FA3072" w:rsidRDefault="00FA3072" w:rsidP="00FA3072">
      <w:pPr>
        <w:spacing w:line="360" w:lineRule="auto"/>
        <w:jc w:val="both"/>
        <w:rPr>
          <w:rFonts w:ascii="Times New Roman" w:hAnsi="Times New Roman"/>
          <w:sz w:val="24"/>
          <w:szCs w:val="24"/>
        </w:rPr>
      </w:pPr>
    </w:p>
    <w:p w:rsidR="00FA3072" w:rsidRPr="00FA3072" w:rsidRDefault="00FA3072" w:rsidP="00FA3072">
      <w:pPr>
        <w:spacing w:line="360" w:lineRule="auto"/>
        <w:jc w:val="both"/>
        <w:rPr>
          <w:rFonts w:ascii="Times New Roman" w:hAnsi="Times New Roman"/>
          <w:b/>
          <w:sz w:val="24"/>
          <w:szCs w:val="24"/>
        </w:rPr>
      </w:pPr>
      <w:r w:rsidRPr="00FA3072">
        <w:rPr>
          <w:rFonts w:ascii="Times New Roman" w:hAnsi="Times New Roman"/>
          <w:b/>
          <w:sz w:val="24"/>
          <w:szCs w:val="24"/>
        </w:rPr>
        <w:t>4.1.</w:t>
      </w:r>
      <w:r w:rsidRPr="00FA3072">
        <w:rPr>
          <w:rFonts w:ascii="Times New Roman" w:hAnsi="Times New Roman"/>
          <w:b/>
          <w:sz w:val="24"/>
          <w:szCs w:val="24"/>
        </w:rPr>
        <w:tab/>
        <w:t>Discussão acerca da (</w:t>
      </w:r>
      <w:proofErr w:type="spellStart"/>
      <w:r w:rsidRPr="00FA3072">
        <w:rPr>
          <w:rFonts w:ascii="Times New Roman" w:hAnsi="Times New Roman"/>
          <w:b/>
          <w:sz w:val="24"/>
          <w:szCs w:val="24"/>
        </w:rPr>
        <w:t>des</w:t>
      </w:r>
      <w:proofErr w:type="spellEnd"/>
      <w:r w:rsidRPr="00FA3072">
        <w:rPr>
          <w:rFonts w:ascii="Times New Roman" w:hAnsi="Times New Roman"/>
          <w:b/>
          <w:sz w:val="24"/>
          <w:szCs w:val="24"/>
        </w:rPr>
        <w:t>) criminalização e da (</w:t>
      </w:r>
      <w:proofErr w:type="spellStart"/>
      <w:r w:rsidRPr="00FA3072">
        <w:rPr>
          <w:rFonts w:ascii="Times New Roman" w:hAnsi="Times New Roman"/>
          <w:b/>
          <w:sz w:val="24"/>
          <w:szCs w:val="24"/>
        </w:rPr>
        <w:t>des</w:t>
      </w:r>
      <w:proofErr w:type="spellEnd"/>
      <w:r w:rsidRPr="00FA3072">
        <w:rPr>
          <w:rFonts w:ascii="Times New Roman" w:hAnsi="Times New Roman"/>
          <w:b/>
          <w:sz w:val="24"/>
          <w:szCs w:val="24"/>
        </w:rPr>
        <w:t>) penalização da conduta inserta no art. 28 da Lei 11.343/2006</w:t>
      </w:r>
    </w:p>
    <w:p w:rsidR="00FA3072" w:rsidRPr="00FA3072" w:rsidRDefault="00FA3072" w:rsidP="00FA3072">
      <w:pPr>
        <w:spacing w:line="360" w:lineRule="auto"/>
        <w:jc w:val="both"/>
        <w:rPr>
          <w:rFonts w:ascii="Times New Roman" w:hAnsi="Times New Roman"/>
          <w:sz w:val="24"/>
          <w:szCs w:val="24"/>
        </w:rPr>
      </w:pPr>
    </w:p>
    <w:p w:rsidR="00FA3072" w:rsidRPr="00FA3072" w:rsidRDefault="00FA3072" w:rsidP="00866E40">
      <w:pPr>
        <w:spacing w:line="360" w:lineRule="auto"/>
        <w:ind w:firstLine="851"/>
        <w:jc w:val="both"/>
        <w:rPr>
          <w:rFonts w:ascii="Times New Roman" w:hAnsi="Times New Roman"/>
          <w:sz w:val="24"/>
          <w:szCs w:val="24"/>
        </w:rPr>
      </w:pPr>
      <w:r w:rsidRPr="00FA3072">
        <w:rPr>
          <w:rFonts w:ascii="Times New Roman" w:hAnsi="Times New Roman"/>
          <w:sz w:val="24"/>
          <w:szCs w:val="24"/>
        </w:rPr>
        <w:lastRenderedPageBreak/>
        <w:t>Em relação à natureza jurídica do artigo 28 da Lei de Drogas foram defendidas diferentes correntes. Para o Ministro Sepúlveda Pertence, esse artigo faz parte do Direito Penal e é “crime”; para Luiz Flávio Gomes, pertence ao Direito Penal, mas não é “crime”, e sim, uma infração penal sui generis; e, para Alice Bianchini, não faz parte do Direito Penal, mas sim, uma infração do Direito judicial sancionador, tanto quando a sanção alternativa é fixada em transação penal quanto quando imposta em sentença final. Daí podem ser feitas algumas conclusões acerca da (</w:t>
      </w:r>
      <w:proofErr w:type="spellStart"/>
      <w:r w:rsidRPr="00FA3072">
        <w:rPr>
          <w:rFonts w:ascii="Times New Roman" w:hAnsi="Times New Roman"/>
          <w:sz w:val="24"/>
          <w:szCs w:val="24"/>
        </w:rPr>
        <w:t>des</w:t>
      </w:r>
      <w:proofErr w:type="spellEnd"/>
      <w:r w:rsidRPr="00FA3072">
        <w:rPr>
          <w:rFonts w:ascii="Times New Roman" w:hAnsi="Times New Roman"/>
          <w:sz w:val="24"/>
          <w:szCs w:val="24"/>
        </w:rPr>
        <w:t>) criminalização e da (</w:t>
      </w:r>
      <w:proofErr w:type="spellStart"/>
      <w:r w:rsidRPr="00FA3072">
        <w:rPr>
          <w:rFonts w:ascii="Times New Roman" w:hAnsi="Times New Roman"/>
          <w:sz w:val="24"/>
          <w:szCs w:val="24"/>
        </w:rPr>
        <w:t>des</w:t>
      </w:r>
      <w:proofErr w:type="spellEnd"/>
      <w:r w:rsidRPr="00FA3072">
        <w:rPr>
          <w:rFonts w:ascii="Times New Roman" w:hAnsi="Times New Roman"/>
          <w:sz w:val="24"/>
          <w:szCs w:val="24"/>
        </w:rPr>
        <w:t>) penalização da conduta inserta no art. 28 da Lei 11.343/2006.</w:t>
      </w:r>
    </w:p>
    <w:p w:rsidR="00D86692" w:rsidRDefault="00FA3072" w:rsidP="00866E40">
      <w:pPr>
        <w:spacing w:line="360" w:lineRule="auto"/>
        <w:ind w:firstLine="851"/>
        <w:jc w:val="both"/>
        <w:rPr>
          <w:rFonts w:ascii="Times New Roman" w:hAnsi="Times New Roman"/>
          <w:sz w:val="24"/>
          <w:szCs w:val="24"/>
        </w:rPr>
      </w:pPr>
      <w:r w:rsidRPr="00FA3072">
        <w:rPr>
          <w:rFonts w:ascii="Times New Roman" w:hAnsi="Times New Roman"/>
          <w:sz w:val="24"/>
          <w:szCs w:val="24"/>
        </w:rPr>
        <w:t>Para o Ministro Sepúlveda Pertence, houve mera despenalização, não se podendo falar em abolitio criminis</w:t>
      </w:r>
      <w:r w:rsidR="00D86692">
        <w:rPr>
          <w:rFonts w:ascii="Times New Roman" w:hAnsi="Times New Roman"/>
          <w:sz w:val="24"/>
          <w:szCs w:val="24"/>
        </w:rPr>
        <w:t>. A 1ª Turma do Supremo Tribunal Federal, no Recurso Extraordinário 430.105 QO/RJ, em 13.02.2007, com argumentos apresentados pelo relator Ministro Sepúlveda Pertence, trouxe que</w:t>
      </w:r>
      <w:r w:rsidR="007A06F5">
        <w:rPr>
          <w:rFonts w:ascii="Times New Roman" w:hAnsi="Times New Roman"/>
          <w:sz w:val="24"/>
          <w:szCs w:val="24"/>
        </w:rPr>
        <w:t>:</w:t>
      </w:r>
    </w:p>
    <w:p w:rsidR="007A06F5" w:rsidRDefault="007A06F5" w:rsidP="00A60FB0">
      <w:pPr>
        <w:spacing w:line="240" w:lineRule="auto"/>
        <w:ind w:left="2268"/>
        <w:jc w:val="both"/>
        <w:rPr>
          <w:rFonts w:ascii="Times New Roman" w:hAnsi="Times New Roman"/>
          <w:sz w:val="20"/>
          <w:szCs w:val="20"/>
        </w:rPr>
      </w:pPr>
      <w:r w:rsidRPr="00A60FB0">
        <w:rPr>
          <w:rFonts w:ascii="Times New Roman" w:hAnsi="Times New Roman"/>
          <w:sz w:val="20"/>
          <w:szCs w:val="20"/>
        </w:rPr>
        <w:t xml:space="preserve">Considerou-se que a conduta antes descrita neste artigo continua sendo crime sob a égide da lei nova, tendo ocorrido, isto sim, uma despenalização, cuja característica marcante seria a exclusão de penas privativas de liberdade como sanção principal ou substitutiva da infração penal. Afastou-se, também, o entendimento de parte da doutrina de que o fato, agora, constituir-se-ia infração penal sui generis, pois esta posição acarretaria sérias consequências, tais como a impossibilidade de a conduta ser enquadrada como ato infracional, já que não seria nem crime nem contravenção penal, e a dificuldade na definição do seu regime jurídico. Ademais, rejeitou-se o argumento de que o art.1º do DL 3.914/41 (Lei de Introdução ao Código Penal e à Lei de </w:t>
      </w:r>
      <w:r w:rsidR="00A60FB0" w:rsidRPr="00A60FB0">
        <w:rPr>
          <w:rFonts w:ascii="Times New Roman" w:hAnsi="Times New Roman"/>
          <w:sz w:val="20"/>
          <w:szCs w:val="20"/>
        </w:rPr>
        <w:t>Contravenções Penais) seria óbice a que a nova lei criasse crime sem a imposição de pe</w:t>
      </w:r>
      <w:r w:rsidR="00A60FB0">
        <w:rPr>
          <w:rFonts w:ascii="Times New Roman" w:hAnsi="Times New Roman"/>
          <w:sz w:val="20"/>
          <w:szCs w:val="20"/>
        </w:rPr>
        <w:t xml:space="preserve">na de reclusão </w:t>
      </w:r>
      <w:r w:rsidR="00A60FB0" w:rsidRPr="00A60FB0">
        <w:rPr>
          <w:rFonts w:ascii="Times New Roman" w:hAnsi="Times New Roman"/>
          <w:sz w:val="20"/>
          <w:szCs w:val="20"/>
        </w:rPr>
        <w:t xml:space="preserve">ou de detenção, uma vez que essa disposição apenas estabelece critério para a distinção entre crime e contravenção, o que não impediria que lei ordinária superveniente adotasse requisitos gerais da diferenciação ou escolhesse para determinado delito pena diversa da privação ou restrição de liberdade. Aduziu-se ainda, que, embora os termos da Nova Lei de Tóxicos não sejam inequívocos, não se poderia partir da premissa de mero equívoco na colocação das infrações relativas ao usuário em capítulo chamado “Dos Crimes e das Penas”. Por outro lado, salientou-se a previsão, como regra geral, do rito processual estabelecido pela Lei 0.099/95. </w:t>
      </w:r>
    </w:p>
    <w:p w:rsidR="00A37350" w:rsidRDefault="00B154F9" w:rsidP="00866E40">
      <w:pPr>
        <w:spacing w:line="360" w:lineRule="auto"/>
        <w:ind w:firstLine="851"/>
        <w:jc w:val="both"/>
        <w:rPr>
          <w:rFonts w:ascii="Times New Roman" w:hAnsi="Times New Roman"/>
          <w:i/>
          <w:color w:val="FF0000"/>
          <w:sz w:val="24"/>
          <w:szCs w:val="24"/>
        </w:rPr>
      </w:pPr>
      <w:r w:rsidRPr="00A37350">
        <w:rPr>
          <w:rFonts w:ascii="Times New Roman" w:hAnsi="Times New Roman"/>
          <w:color w:val="000000" w:themeColor="text1"/>
          <w:sz w:val="24"/>
          <w:szCs w:val="24"/>
        </w:rPr>
        <w:t>P</w:t>
      </w:r>
      <w:r w:rsidR="00D86692" w:rsidRPr="00A37350">
        <w:rPr>
          <w:rFonts w:ascii="Times New Roman" w:hAnsi="Times New Roman"/>
          <w:color w:val="000000" w:themeColor="text1"/>
          <w:sz w:val="24"/>
          <w:szCs w:val="24"/>
        </w:rPr>
        <w:t>ara Luiz Flavio Gomes houve descriminalização formal e ao mesmo tempo despenalização, mas não abolitio criminis</w:t>
      </w:r>
      <w:r w:rsidR="00A37350">
        <w:rPr>
          <w:rFonts w:ascii="Times New Roman" w:hAnsi="Times New Roman"/>
          <w:color w:val="000000" w:themeColor="text1"/>
          <w:sz w:val="24"/>
          <w:szCs w:val="24"/>
        </w:rPr>
        <w:t>. Assim, acabou tanto o caráter da posse de droga para consumo pessoal como conduta criminosa, como a pena de prisão imposta ao usuário de droga, não sendo mais o fato punido com reclusão ou detenção, como previsto no artigo 1º da LICP, nem como infração administrativa, tendo em vista que as sanções cominadas devem ser aplicadas pelo juiz dos juizados criminais. Nesse sentido, resta afirmar que, por a conduta de portar drogas para uso próprio continuar sendo penalmente punível, se encontraria diante de uma infração penal</w:t>
      </w:r>
      <w:r w:rsidR="00A37350" w:rsidRPr="00A37350">
        <w:rPr>
          <w:rFonts w:ascii="Times New Roman" w:hAnsi="Times New Roman"/>
          <w:i/>
          <w:color w:val="000000" w:themeColor="text1"/>
          <w:sz w:val="24"/>
          <w:szCs w:val="24"/>
        </w:rPr>
        <w:t xml:space="preserve"> sui generis.</w:t>
      </w:r>
    </w:p>
    <w:p w:rsidR="00AC5A49" w:rsidRDefault="00A37350" w:rsidP="00FF4CB2">
      <w:pPr>
        <w:spacing w:line="360" w:lineRule="auto"/>
        <w:ind w:firstLine="851"/>
        <w:jc w:val="both"/>
        <w:rPr>
          <w:rFonts w:ascii="Times New Roman" w:hAnsi="Times New Roman" w:cs="Times New Roman"/>
          <w:color w:val="000000" w:themeColor="text1"/>
          <w:sz w:val="24"/>
          <w:szCs w:val="24"/>
        </w:rPr>
      </w:pPr>
      <w:r w:rsidRPr="00A37350">
        <w:rPr>
          <w:rFonts w:ascii="Times New Roman" w:hAnsi="Times New Roman"/>
          <w:color w:val="000000" w:themeColor="text1"/>
          <w:sz w:val="24"/>
          <w:szCs w:val="24"/>
        </w:rPr>
        <w:lastRenderedPageBreak/>
        <w:t xml:space="preserve">Por fim, </w:t>
      </w:r>
      <w:r w:rsidR="00D86692" w:rsidRPr="00A37350">
        <w:rPr>
          <w:rFonts w:ascii="Times New Roman" w:hAnsi="Times New Roman"/>
          <w:color w:val="000000" w:themeColor="text1"/>
          <w:sz w:val="24"/>
          <w:szCs w:val="24"/>
        </w:rPr>
        <w:t>Alice Bianchini</w:t>
      </w:r>
      <w:r w:rsidRPr="00A37350">
        <w:rPr>
          <w:rFonts w:ascii="Times New Roman" w:hAnsi="Times New Roman"/>
          <w:color w:val="000000" w:themeColor="text1"/>
          <w:sz w:val="24"/>
          <w:szCs w:val="24"/>
        </w:rPr>
        <w:t xml:space="preserve"> entende que </w:t>
      </w:r>
      <w:r w:rsidR="00D86692" w:rsidRPr="00A37350">
        <w:rPr>
          <w:rFonts w:ascii="Times New Roman" w:hAnsi="Times New Roman"/>
          <w:color w:val="000000" w:themeColor="text1"/>
          <w:sz w:val="24"/>
          <w:szCs w:val="24"/>
        </w:rPr>
        <w:t>teria ocorrido descriminalização substancial, ou seja, abolitio criminis</w:t>
      </w:r>
      <w:r w:rsidR="00D86692" w:rsidRPr="008C56FD">
        <w:rPr>
          <w:rFonts w:ascii="Times New Roman" w:hAnsi="Times New Roman" w:cs="Times New Roman"/>
          <w:color w:val="000000" w:themeColor="text1"/>
          <w:sz w:val="24"/>
          <w:szCs w:val="24"/>
        </w:rPr>
        <w:t>.</w:t>
      </w:r>
      <w:r w:rsidR="00FF4CB2" w:rsidRPr="008C56FD">
        <w:rPr>
          <w:rFonts w:ascii="Times New Roman" w:hAnsi="Times New Roman" w:cs="Times New Roman"/>
          <w:color w:val="000000" w:themeColor="text1"/>
          <w:sz w:val="24"/>
          <w:szCs w:val="24"/>
        </w:rPr>
        <w:t xml:space="preserve"> Os argumentos para sustentar essa posição são os de que</w:t>
      </w:r>
      <w:r w:rsidR="008C56FD" w:rsidRPr="008C56FD">
        <w:rPr>
          <w:rFonts w:ascii="Times New Roman" w:hAnsi="Times New Roman" w:cs="Times New Roman"/>
          <w:color w:val="000000" w:themeColor="text1"/>
          <w:sz w:val="24"/>
          <w:szCs w:val="24"/>
        </w:rPr>
        <w:t xml:space="preserve">, embora o artigo 28 da Lei de Drogas encontrar-se inserido no capítulo “Dos crimes e das penas”, </w:t>
      </w:r>
      <w:r w:rsidR="008C56FD">
        <w:rPr>
          <w:rFonts w:ascii="Times New Roman" w:hAnsi="Times New Roman" w:cs="Times New Roman"/>
          <w:color w:val="000000" w:themeColor="text1"/>
          <w:sz w:val="24"/>
          <w:szCs w:val="24"/>
        </w:rPr>
        <w:t xml:space="preserve">na mesma Lei, há dispositivos que se referem a medidas educativas; duas das consequências previstas no artigo 28 têm natureza meramente educativa, ou, educativa e repressiva; </w:t>
      </w:r>
      <w:r w:rsidR="00F62393">
        <w:rPr>
          <w:rFonts w:ascii="Times New Roman" w:hAnsi="Times New Roman" w:cs="Times New Roman"/>
          <w:color w:val="000000" w:themeColor="text1"/>
          <w:sz w:val="24"/>
          <w:szCs w:val="24"/>
        </w:rPr>
        <w:t>nenhuma das consequências, quando em razão de transação penal, gera consequência relacionada com Direito penal; a realização de uma transação penal, ao se tratar da conduta do artigo 28 da Lei de Drogas não impede que outra seja realizada dentro do lapso de cinco anos; as medidas impostas não se enquadram na estrutura e sistematização do Direito penal; ouvidos o Ministério Público e o defensor, essas medidas podem ser, a qualquer momento, substituídas; a natureza jurídica da sentença condenatória produz efeitos típicos do Direito judicial sancionador, e não consequências penais, entre outros argumentos.</w:t>
      </w:r>
    </w:p>
    <w:p w:rsidR="00AC5A49" w:rsidRDefault="00AC5A49" w:rsidP="00046B92">
      <w:pPr>
        <w:spacing w:line="240" w:lineRule="auto"/>
        <w:jc w:val="both"/>
        <w:rPr>
          <w:rFonts w:ascii="Times New Roman" w:hAnsi="Times New Roman"/>
          <w:sz w:val="24"/>
          <w:szCs w:val="24"/>
        </w:rPr>
      </w:pPr>
    </w:p>
    <w:p w:rsidR="007C1A45" w:rsidRDefault="007C1A45" w:rsidP="00046B92">
      <w:pPr>
        <w:spacing w:line="240" w:lineRule="auto"/>
        <w:jc w:val="both"/>
        <w:rPr>
          <w:rFonts w:ascii="Times New Roman" w:hAnsi="Times New Roman"/>
          <w:b/>
          <w:sz w:val="24"/>
          <w:szCs w:val="24"/>
        </w:rPr>
      </w:pPr>
      <w:r w:rsidRPr="00143E2D">
        <w:rPr>
          <w:rFonts w:ascii="Times New Roman" w:hAnsi="Times New Roman"/>
          <w:b/>
          <w:sz w:val="24"/>
          <w:szCs w:val="24"/>
        </w:rPr>
        <w:t>CONCLUSÃO</w:t>
      </w:r>
    </w:p>
    <w:p w:rsidR="00143E2D" w:rsidRDefault="00143E2D" w:rsidP="00143E2D">
      <w:pPr>
        <w:spacing w:line="360" w:lineRule="auto"/>
        <w:ind w:firstLine="851"/>
        <w:jc w:val="both"/>
        <w:rPr>
          <w:rFonts w:ascii="Times New Roman" w:hAnsi="Times New Roman"/>
          <w:sz w:val="24"/>
          <w:szCs w:val="24"/>
        </w:rPr>
      </w:pPr>
      <w:r w:rsidRPr="00143E2D">
        <w:rPr>
          <w:rFonts w:ascii="Times New Roman" w:hAnsi="Times New Roman"/>
          <w:sz w:val="24"/>
          <w:szCs w:val="24"/>
        </w:rPr>
        <w:t>Embora</w:t>
      </w:r>
      <w:r>
        <w:rPr>
          <w:rFonts w:ascii="Times New Roman" w:hAnsi="Times New Roman"/>
          <w:sz w:val="24"/>
          <w:szCs w:val="24"/>
        </w:rPr>
        <w:t xml:space="preserve"> haja uma corrente doutrinária que sustente haver a descriminalização na conduta prevista no artigo 28 da Lei 11.343/06</w:t>
      </w:r>
      <w:r w:rsidR="00811276">
        <w:rPr>
          <w:rFonts w:ascii="Times New Roman" w:hAnsi="Times New Roman"/>
          <w:sz w:val="24"/>
          <w:szCs w:val="24"/>
        </w:rPr>
        <w:t>, capitaneada por Luiz Flávio Gomes, o entendimento que prevalece acerca da natureza jurídica do artigo 28, da posse de drogas para consumo próprio, é de ser crime. Assim, não haveria descriminalização, sendo esse argumento refutado pelo fato de o artigo 1º da LICP ser de frágil sustentação, pois, este artigo apresenta a diferença entre as penas de crimes e contravenções penais como único critério diferenciador.</w:t>
      </w:r>
    </w:p>
    <w:p w:rsidR="00B343B2" w:rsidRDefault="00811276" w:rsidP="00B343B2">
      <w:pPr>
        <w:spacing w:line="360" w:lineRule="auto"/>
        <w:ind w:firstLine="851"/>
        <w:jc w:val="both"/>
        <w:rPr>
          <w:rFonts w:ascii="Times New Roman" w:eastAsia="Batang" w:hAnsi="Times New Roman" w:cs="Times New Roman"/>
          <w:color w:val="000000" w:themeColor="text1"/>
          <w:sz w:val="24"/>
          <w:szCs w:val="24"/>
        </w:rPr>
      </w:pPr>
      <w:r>
        <w:rPr>
          <w:rFonts w:ascii="Times New Roman" w:hAnsi="Times New Roman"/>
          <w:sz w:val="24"/>
          <w:szCs w:val="24"/>
        </w:rPr>
        <w:t xml:space="preserve">No entanto, além da LICP, o próprio Código Penal, em sua parte geral, reformada em 1984, apresentou outras penas, além das de reclusão, detenção, prisão simples e multa, pois, considerou que além das penas privativas de liberdade, haviam também as penas restritivas de direitos, incluindo-se nelas a prestação de serviços à comunidade, pena esta, </w:t>
      </w:r>
      <w:r w:rsidRPr="00811276">
        <w:rPr>
          <w:rFonts w:ascii="Times New Roman" w:hAnsi="Times New Roman"/>
          <w:color w:val="000000" w:themeColor="text1"/>
          <w:sz w:val="24"/>
          <w:szCs w:val="24"/>
        </w:rPr>
        <w:t xml:space="preserve">também </w:t>
      </w:r>
      <w:r w:rsidR="005F16E7" w:rsidRPr="00811276">
        <w:rPr>
          <w:rFonts w:ascii="Times New Roman" w:eastAsia="Batang" w:hAnsi="Times New Roman" w:cs="Times New Roman"/>
          <w:color w:val="000000" w:themeColor="text1"/>
          <w:sz w:val="24"/>
          <w:szCs w:val="24"/>
        </w:rPr>
        <w:t xml:space="preserve">cominada para </w:t>
      </w:r>
      <w:r w:rsidRPr="00811276">
        <w:rPr>
          <w:rFonts w:ascii="Times New Roman" w:eastAsia="Batang" w:hAnsi="Times New Roman" w:cs="Times New Roman"/>
          <w:color w:val="000000" w:themeColor="text1"/>
          <w:sz w:val="24"/>
          <w:szCs w:val="24"/>
        </w:rPr>
        <w:t>aqueles que portam drogas para consumo pessoal, previsto no art</w:t>
      </w:r>
      <w:r w:rsidR="005F16E7" w:rsidRPr="00811276">
        <w:rPr>
          <w:rFonts w:ascii="Times New Roman" w:eastAsia="Batang" w:hAnsi="Times New Roman" w:cs="Times New Roman"/>
          <w:color w:val="000000" w:themeColor="text1"/>
          <w:sz w:val="24"/>
          <w:szCs w:val="24"/>
        </w:rPr>
        <w:t>. 28, II,</w:t>
      </w:r>
      <w:r w:rsidRPr="00811276">
        <w:rPr>
          <w:rFonts w:ascii="Times New Roman" w:eastAsia="Batang" w:hAnsi="Times New Roman" w:cs="Times New Roman"/>
          <w:color w:val="000000" w:themeColor="text1"/>
          <w:sz w:val="24"/>
          <w:szCs w:val="24"/>
        </w:rPr>
        <w:t xml:space="preserve"> e § 6º, II, da Lei 11.343/06.</w:t>
      </w:r>
      <w:r w:rsidRPr="00B343B2">
        <w:rPr>
          <w:rFonts w:ascii="Times New Roman" w:eastAsia="Batang" w:hAnsi="Times New Roman" w:cs="Times New Roman"/>
          <w:color w:val="000000" w:themeColor="text1"/>
          <w:sz w:val="24"/>
          <w:szCs w:val="24"/>
        </w:rPr>
        <w:t xml:space="preserve">Além disso, a Constituição da República autoriza o legislador infraconstitucional à criação de outras penas, conforme previsto </w:t>
      </w:r>
      <w:r w:rsidR="005F16E7" w:rsidRPr="00B343B2">
        <w:rPr>
          <w:rFonts w:ascii="Times New Roman" w:eastAsia="Batang" w:hAnsi="Times New Roman" w:cs="Times New Roman"/>
          <w:color w:val="000000" w:themeColor="text1"/>
          <w:sz w:val="24"/>
          <w:szCs w:val="24"/>
        </w:rPr>
        <w:t xml:space="preserve">no art. 5º, inc. XLVI, a expressão "adotará </w:t>
      </w:r>
      <w:r w:rsidR="005F16E7" w:rsidRPr="00B343B2">
        <w:rPr>
          <w:rFonts w:ascii="Times New Roman" w:eastAsia="Batang" w:hAnsi="Times New Roman" w:cs="Times New Roman"/>
          <w:b/>
          <w:color w:val="000000" w:themeColor="text1"/>
          <w:sz w:val="24"/>
          <w:szCs w:val="24"/>
          <w:u w:val="single"/>
        </w:rPr>
        <w:t>entre outras</w:t>
      </w:r>
      <w:r w:rsidR="00B343B2" w:rsidRPr="00B343B2">
        <w:rPr>
          <w:rFonts w:ascii="Times New Roman" w:eastAsia="Batang" w:hAnsi="Times New Roman" w:cs="Times New Roman"/>
          <w:color w:val="000000" w:themeColor="text1"/>
          <w:sz w:val="24"/>
          <w:szCs w:val="24"/>
        </w:rPr>
        <w:t xml:space="preserve"> as seguintes penas", e, também, pelo procedimento que recebe e </w:t>
      </w:r>
      <w:proofErr w:type="spellStart"/>
      <w:r w:rsidR="00B343B2" w:rsidRPr="00B343B2">
        <w:rPr>
          <w:rFonts w:ascii="Times New Roman" w:eastAsia="Batang" w:hAnsi="Times New Roman" w:cs="Times New Roman"/>
          <w:color w:val="000000" w:themeColor="text1"/>
          <w:sz w:val="24"/>
          <w:szCs w:val="24"/>
        </w:rPr>
        <w:t>por</w:t>
      </w:r>
      <w:proofErr w:type="spellEnd"/>
      <w:r w:rsidR="00B343B2" w:rsidRPr="00B343B2">
        <w:rPr>
          <w:rFonts w:ascii="Times New Roman" w:eastAsia="Batang" w:hAnsi="Times New Roman" w:cs="Times New Roman"/>
          <w:color w:val="000000" w:themeColor="text1"/>
          <w:sz w:val="24"/>
          <w:szCs w:val="24"/>
        </w:rPr>
        <w:t xml:space="preserve"> o legislador ter optado dar penas mais brandas, por se referir a medidas educativas.</w:t>
      </w:r>
    </w:p>
    <w:p w:rsidR="007C1A45" w:rsidRPr="00B343B2" w:rsidRDefault="007C1A45" w:rsidP="00B343B2">
      <w:pPr>
        <w:spacing w:line="360" w:lineRule="auto"/>
        <w:jc w:val="both"/>
        <w:rPr>
          <w:rFonts w:ascii="Times New Roman" w:eastAsia="Batang" w:hAnsi="Times New Roman" w:cs="Times New Roman"/>
          <w:color w:val="000000" w:themeColor="text1"/>
          <w:sz w:val="24"/>
          <w:szCs w:val="24"/>
        </w:rPr>
      </w:pPr>
      <w:r w:rsidRPr="00551B91">
        <w:rPr>
          <w:rFonts w:ascii="Times New Roman" w:hAnsi="Times New Roman" w:cs="Times New Roman"/>
          <w:b/>
          <w:sz w:val="24"/>
          <w:szCs w:val="24"/>
        </w:rPr>
        <w:lastRenderedPageBreak/>
        <w:t>REFERÊNCIAS</w:t>
      </w:r>
    </w:p>
    <w:p w:rsidR="00E8544B" w:rsidRPr="00E8544B" w:rsidRDefault="007C1A45" w:rsidP="00E8544B">
      <w:pPr>
        <w:spacing w:after="120" w:line="360" w:lineRule="auto"/>
        <w:jc w:val="both"/>
        <w:rPr>
          <w:rFonts w:ascii="Times New Roman" w:hAnsi="Times New Roman" w:cs="Times New Roman"/>
          <w:sz w:val="24"/>
          <w:szCs w:val="24"/>
        </w:rPr>
      </w:pPr>
      <w:proofErr w:type="spellStart"/>
      <w:r w:rsidRPr="00C8008A">
        <w:rPr>
          <w:rFonts w:ascii="Times New Roman" w:hAnsi="Times New Roman" w:cs="Times New Roman"/>
          <w:sz w:val="24"/>
          <w:szCs w:val="24"/>
        </w:rPr>
        <w:t>VadeMecum</w:t>
      </w:r>
      <w:proofErr w:type="spellEnd"/>
      <w:r w:rsidRPr="00C8008A">
        <w:rPr>
          <w:rFonts w:ascii="Times New Roman" w:hAnsi="Times New Roman" w:cs="Times New Roman"/>
          <w:sz w:val="24"/>
          <w:szCs w:val="24"/>
        </w:rPr>
        <w:t xml:space="preserve"> Compacto/ obra coletiva </w:t>
      </w:r>
      <w:r>
        <w:rPr>
          <w:rFonts w:ascii="Times New Roman" w:hAnsi="Times New Roman" w:cs="Times New Roman"/>
          <w:sz w:val="24"/>
          <w:szCs w:val="24"/>
        </w:rPr>
        <w:t xml:space="preserve">de autoria da Editora Saraiva com a colaboração de Luiz Roberto </w:t>
      </w:r>
      <w:proofErr w:type="spellStart"/>
      <w:r>
        <w:rPr>
          <w:rFonts w:ascii="Times New Roman" w:hAnsi="Times New Roman" w:cs="Times New Roman"/>
          <w:sz w:val="24"/>
          <w:szCs w:val="24"/>
        </w:rPr>
        <w:t>Curia</w:t>
      </w:r>
      <w:proofErr w:type="spellEnd"/>
      <w:r>
        <w:rPr>
          <w:rFonts w:ascii="Times New Roman" w:hAnsi="Times New Roman" w:cs="Times New Roman"/>
          <w:sz w:val="24"/>
          <w:szCs w:val="24"/>
        </w:rPr>
        <w:t xml:space="preserve">, Lívia Céspedes e Juliana </w:t>
      </w:r>
      <w:proofErr w:type="gramStart"/>
      <w:r>
        <w:rPr>
          <w:rFonts w:ascii="Times New Roman" w:hAnsi="Times New Roman" w:cs="Times New Roman"/>
          <w:sz w:val="24"/>
          <w:szCs w:val="24"/>
        </w:rPr>
        <w:t>Nicoletti.-</w:t>
      </w:r>
      <w:proofErr w:type="gramEnd"/>
      <w:r>
        <w:rPr>
          <w:rFonts w:ascii="Times New Roman" w:hAnsi="Times New Roman" w:cs="Times New Roman"/>
          <w:sz w:val="24"/>
          <w:szCs w:val="24"/>
        </w:rPr>
        <w:t xml:space="preserve"> 9.ed. atual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São Paulo: Saraiva, 2013.</w:t>
      </w:r>
    </w:p>
    <w:p w:rsidR="00E8544B" w:rsidRDefault="00E8544B" w:rsidP="00E8544B">
      <w:pPr>
        <w:spacing w:after="120" w:line="360" w:lineRule="auto"/>
        <w:jc w:val="both"/>
        <w:rPr>
          <w:rFonts w:ascii="Times New Roman" w:hAnsi="Times New Roman" w:cs="Times New Roman"/>
          <w:sz w:val="24"/>
          <w:szCs w:val="24"/>
        </w:rPr>
      </w:pPr>
      <w:r w:rsidRPr="00E8544B">
        <w:rPr>
          <w:rFonts w:ascii="Times New Roman" w:hAnsi="Times New Roman" w:cs="Times New Roman"/>
          <w:sz w:val="24"/>
          <w:szCs w:val="24"/>
        </w:rPr>
        <w:t xml:space="preserve">ABREU, Carlos Pinto de. </w:t>
      </w:r>
      <w:r w:rsidRPr="00753D6D">
        <w:rPr>
          <w:rFonts w:ascii="Times New Roman" w:hAnsi="Times New Roman" w:cs="Times New Roman"/>
          <w:b/>
          <w:sz w:val="24"/>
          <w:szCs w:val="24"/>
        </w:rPr>
        <w:t xml:space="preserve">Diferença entre despenalizar e descriminalizar. </w:t>
      </w:r>
      <w:r w:rsidRPr="00E8544B">
        <w:rPr>
          <w:rFonts w:ascii="Times New Roman" w:hAnsi="Times New Roman" w:cs="Times New Roman"/>
          <w:sz w:val="24"/>
          <w:szCs w:val="24"/>
        </w:rPr>
        <w:t>Disponível em: &lt;http://www.tsf.pt/PaginaInicial/Interior.aspx?content_id=767124&gt;.</w:t>
      </w:r>
    </w:p>
    <w:p w:rsidR="00E8544B" w:rsidRPr="00C8008A" w:rsidRDefault="00E8544B" w:rsidP="007C1A45">
      <w:pPr>
        <w:spacing w:after="120" w:line="360" w:lineRule="auto"/>
        <w:jc w:val="both"/>
        <w:rPr>
          <w:rFonts w:ascii="Times New Roman" w:hAnsi="Times New Roman" w:cs="Times New Roman"/>
          <w:sz w:val="24"/>
          <w:szCs w:val="24"/>
        </w:rPr>
      </w:pPr>
      <w:r w:rsidRPr="00E8544B">
        <w:rPr>
          <w:rFonts w:ascii="Times New Roman" w:hAnsi="Times New Roman" w:cs="Times New Roman"/>
          <w:sz w:val="24"/>
          <w:szCs w:val="24"/>
        </w:rPr>
        <w:t xml:space="preserve">ANDRADE, Kátia Regina Ferreira Lobo. (Org.) et al. Curso de Direito da Criança e do Adolescente – Aspectos Teóricos e Práticos. 2a.ed. Rio de Janeiro: Editora </w:t>
      </w:r>
      <w:proofErr w:type="spellStart"/>
      <w:r w:rsidRPr="00E8544B">
        <w:rPr>
          <w:rFonts w:ascii="Times New Roman" w:hAnsi="Times New Roman" w:cs="Times New Roman"/>
          <w:sz w:val="24"/>
          <w:szCs w:val="24"/>
        </w:rPr>
        <w:t>Lumen</w:t>
      </w:r>
      <w:proofErr w:type="spellEnd"/>
      <w:r w:rsidRPr="00E8544B">
        <w:rPr>
          <w:rFonts w:ascii="Times New Roman" w:hAnsi="Times New Roman" w:cs="Times New Roman"/>
          <w:sz w:val="24"/>
          <w:szCs w:val="24"/>
        </w:rPr>
        <w:t>, 2007, p. 393 a 396.</w:t>
      </w:r>
    </w:p>
    <w:p w:rsidR="007C1A45" w:rsidRPr="004D26BC" w:rsidRDefault="007C1A45" w:rsidP="007C1A45">
      <w:pPr>
        <w:spacing w:before="75" w:after="75" w:line="264" w:lineRule="auto"/>
        <w:jc w:val="both"/>
        <w:textAlignment w:val="top"/>
        <w:rPr>
          <w:rFonts w:ascii="Times New Roman" w:eastAsia="Times New Roman" w:hAnsi="Times New Roman"/>
          <w:color w:val="000000"/>
          <w:sz w:val="24"/>
          <w:szCs w:val="24"/>
        </w:rPr>
      </w:pPr>
      <w:r w:rsidRPr="004D26BC">
        <w:rPr>
          <w:rFonts w:ascii="Times New Roman" w:eastAsia="Times New Roman" w:hAnsi="Times New Roman"/>
          <w:color w:val="000000"/>
          <w:sz w:val="24"/>
          <w:szCs w:val="24"/>
        </w:rPr>
        <w:t xml:space="preserve">GOMES, Luiz Flávio; BIANCHINI, Alice; CUNHA, Rogério Sanches; OLIVEIRA, William Terra de. </w:t>
      </w:r>
      <w:r w:rsidRPr="004D26BC">
        <w:rPr>
          <w:rFonts w:ascii="Times New Roman" w:eastAsia="Times New Roman" w:hAnsi="Times New Roman"/>
          <w:b/>
          <w:color w:val="000000"/>
          <w:sz w:val="24"/>
          <w:szCs w:val="24"/>
        </w:rPr>
        <w:t xml:space="preserve">Nova Lei de Drogas Comentada. </w:t>
      </w:r>
      <w:r w:rsidRPr="004D26BC">
        <w:rPr>
          <w:rFonts w:ascii="Times New Roman" w:eastAsia="Times New Roman" w:hAnsi="Times New Roman"/>
          <w:color w:val="000000"/>
          <w:sz w:val="24"/>
          <w:szCs w:val="24"/>
        </w:rPr>
        <w:t>Lei 11.343, de 23.08.2006. São Paulo: Revista dos Tribunais, 2006.</w:t>
      </w:r>
    </w:p>
    <w:p w:rsidR="00E8544B" w:rsidRDefault="007C1A45" w:rsidP="007C1A45">
      <w:pPr>
        <w:spacing w:before="100" w:beforeAutospacing="1" w:after="100" w:afterAutospacing="1" w:line="240" w:lineRule="auto"/>
        <w:jc w:val="both"/>
        <w:rPr>
          <w:rFonts w:ascii="Times New Roman" w:eastAsia="Times New Roman" w:hAnsi="Times New Roman"/>
          <w:color w:val="000000"/>
          <w:sz w:val="24"/>
          <w:szCs w:val="24"/>
        </w:rPr>
      </w:pPr>
      <w:r w:rsidRPr="004D26BC">
        <w:rPr>
          <w:rFonts w:ascii="Times New Roman" w:eastAsia="Times New Roman" w:hAnsi="Times New Roman"/>
          <w:color w:val="000000"/>
          <w:sz w:val="24"/>
          <w:szCs w:val="24"/>
        </w:rPr>
        <w:t xml:space="preserve">GOMES, Luiz Flávio; BIANCHINI, Alice. </w:t>
      </w:r>
      <w:r w:rsidRPr="004D26BC">
        <w:rPr>
          <w:rFonts w:ascii="Times New Roman" w:eastAsia="Times New Roman" w:hAnsi="Times New Roman"/>
          <w:b/>
          <w:iCs/>
          <w:color w:val="000000"/>
          <w:sz w:val="24"/>
          <w:szCs w:val="24"/>
        </w:rPr>
        <w:t xml:space="preserve">Usuário de drogas: a polêmica sobre a natureza jurídica do art. 28 da Lei 11.343/06. </w:t>
      </w:r>
      <w:r w:rsidRPr="004D26BC">
        <w:rPr>
          <w:rFonts w:ascii="Times New Roman" w:eastAsia="Times New Roman" w:hAnsi="Times New Roman"/>
          <w:color w:val="000000"/>
          <w:sz w:val="24"/>
          <w:szCs w:val="24"/>
        </w:rPr>
        <w:t xml:space="preserve">Disponível em: http://www.lfg.blog.br. 12 mar. 2007. </w:t>
      </w:r>
    </w:p>
    <w:p w:rsidR="00183407" w:rsidRPr="004D26BC" w:rsidRDefault="00183407" w:rsidP="007C1A45">
      <w:p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GRECO FILHO, Vicente; RASSI, João Daniel. </w:t>
      </w:r>
      <w:r w:rsidRPr="00183407">
        <w:rPr>
          <w:rFonts w:ascii="Times New Roman" w:eastAsia="Times New Roman" w:hAnsi="Times New Roman"/>
          <w:b/>
          <w:color w:val="000000"/>
          <w:sz w:val="24"/>
          <w:szCs w:val="24"/>
        </w:rPr>
        <w:t>Lei de Drogas anotada</w:t>
      </w:r>
      <w:r>
        <w:rPr>
          <w:rFonts w:ascii="Times New Roman" w:eastAsia="Times New Roman" w:hAnsi="Times New Roman"/>
          <w:color w:val="000000"/>
          <w:sz w:val="24"/>
          <w:szCs w:val="24"/>
        </w:rPr>
        <w:t>. São Paulo: Saraiva, 2007, p.43.</w:t>
      </w:r>
    </w:p>
    <w:p w:rsidR="007C1A45" w:rsidRDefault="007C1A45" w:rsidP="007C1A45">
      <w:pPr>
        <w:spacing w:before="100" w:beforeAutospacing="1" w:after="100" w:afterAutospacing="1" w:line="240" w:lineRule="auto"/>
        <w:jc w:val="both"/>
        <w:rPr>
          <w:rFonts w:ascii="Times New Roman" w:eastAsia="Times New Roman" w:hAnsi="Times New Roman"/>
          <w:color w:val="000000"/>
          <w:sz w:val="24"/>
          <w:szCs w:val="24"/>
        </w:rPr>
      </w:pPr>
      <w:r w:rsidRPr="004D26BC">
        <w:rPr>
          <w:rFonts w:ascii="Times New Roman" w:eastAsia="Times New Roman" w:hAnsi="Times New Roman"/>
          <w:color w:val="000000"/>
          <w:sz w:val="24"/>
          <w:szCs w:val="24"/>
        </w:rPr>
        <w:t xml:space="preserve">MALULY, Jorge Assaf. </w:t>
      </w:r>
      <w:r w:rsidRPr="004D26BC">
        <w:rPr>
          <w:rFonts w:ascii="Times New Roman" w:eastAsia="Times New Roman" w:hAnsi="Times New Roman"/>
          <w:b/>
          <w:color w:val="000000"/>
          <w:sz w:val="24"/>
          <w:szCs w:val="24"/>
        </w:rPr>
        <w:t xml:space="preserve">Lei 11.343/06. A despenalização da posse de drogas para o consumo </w:t>
      </w:r>
      <w:proofErr w:type="spellStart"/>
      <w:r w:rsidRPr="004D26BC">
        <w:rPr>
          <w:rFonts w:ascii="Times New Roman" w:eastAsia="Times New Roman" w:hAnsi="Times New Roman"/>
          <w:b/>
          <w:color w:val="000000"/>
          <w:sz w:val="24"/>
          <w:szCs w:val="24"/>
        </w:rPr>
        <w:t>pessoal.</w:t>
      </w:r>
      <w:r w:rsidRPr="004D26BC">
        <w:rPr>
          <w:rFonts w:ascii="Times New Roman" w:eastAsia="Times New Roman" w:hAnsi="Times New Roman"/>
          <w:color w:val="000000"/>
          <w:sz w:val="24"/>
          <w:szCs w:val="24"/>
        </w:rPr>
        <w:t>Conamp</w:t>
      </w:r>
      <w:proofErr w:type="spellEnd"/>
      <w:r w:rsidRPr="004D26BC">
        <w:rPr>
          <w:rFonts w:ascii="Times New Roman" w:eastAsia="Times New Roman" w:hAnsi="Times New Roman"/>
          <w:color w:val="000000"/>
          <w:sz w:val="24"/>
          <w:szCs w:val="24"/>
        </w:rPr>
        <w:t xml:space="preserve">. Disponível em: </w:t>
      </w:r>
      <w:r w:rsidRPr="004F5A38">
        <w:rPr>
          <w:rFonts w:ascii="Times New Roman" w:eastAsia="Times New Roman" w:hAnsi="Times New Roman"/>
          <w:color w:val="000000"/>
          <w:sz w:val="24"/>
          <w:szCs w:val="24"/>
        </w:rPr>
        <w:t>http://www.conamp.org.br/Lists/artigos/DispForm.aspx?ID:65</w:t>
      </w:r>
      <w:r w:rsidRPr="004D26BC">
        <w:rPr>
          <w:rFonts w:ascii="Times New Roman" w:eastAsia="Times New Roman" w:hAnsi="Times New Roman"/>
          <w:color w:val="000000"/>
          <w:sz w:val="24"/>
          <w:szCs w:val="24"/>
        </w:rPr>
        <w:t>.</w:t>
      </w:r>
    </w:p>
    <w:p w:rsidR="007C1A45" w:rsidRPr="004D26BC" w:rsidRDefault="007C1A45" w:rsidP="007C1A45">
      <w:p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MASSON, Cleber. Direito penal esquematizado. Parte geral.vol.1. 6.ed. rev., atual. </w:t>
      </w:r>
      <w:proofErr w:type="spellStart"/>
      <w:proofErr w:type="gramStart"/>
      <w:r>
        <w:rPr>
          <w:rFonts w:ascii="Times New Roman" w:eastAsia="Times New Roman" w:hAnsi="Times New Roman"/>
          <w:color w:val="000000"/>
          <w:sz w:val="24"/>
          <w:szCs w:val="24"/>
        </w:rPr>
        <w:t>eampl</w:t>
      </w:r>
      <w:proofErr w:type="spellEnd"/>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Rio de Janeiro: Forense,; São Paulo: Método, 2012.</w:t>
      </w:r>
    </w:p>
    <w:p w:rsidR="007C1A45" w:rsidRPr="004D26BC" w:rsidRDefault="007C1A45" w:rsidP="007C1A45">
      <w:pPr>
        <w:spacing w:before="100" w:beforeAutospacing="1" w:after="100" w:afterAutospacing="1" w:line="240" w:lineRule="auto"/>
        <w:jc w:val="both"/>
        <w:rPr>
          <w:rFonts w:ascii="Times New Roman" w:eastAsia="Times New Roman" w:hAnsi="Times New Roman"/>
          <w:b/>
          <w:sz w:val="24"/>
          <w:szCs w:val="24"/>
        </w:rPr>
      </w:pPr>
      <w:r w:rsidRPr="004D26BC">
        <w:rPr>
          <w:rFonts w:ascii="Times New Roman" w:eastAsia="Times New Roman" w:hAnsi="Times New Roman"/>
          <w:color w:val="000000"/>
          <w:sz w:val="24"/>
          <w:szCs w:val="24"/>
        </w:rPr>
        <w:t>NEVES</w:t>
      </w:r>
      <w:r w:rsidRPr="004D26BC">
        <w:rPr>
          <w:rFonts w:ascii="Times New Roman" w:eastAsia="Times New Roman" w:hAnsi="Times New Roman"/>
          <w:b/>
          <w:color w:val="000000"/>
          <w:sz w:val="24"/>
          <w:szCs w:val="24"/>
        </w:rPr>
        <w:t xml:space="preserve">, </w:t>
      </w:r>
      <w:r w:rsidRPr="004D26BC">
        <w:rPr>
          <w:rStyle w:val="Forte"/>
          <w:rFonts w:ascii="Times New Roman" w:hAnsi="Times New Roman"/>
          <w:color w:val="000000"/>
          <w:sz w:val="24"/>
          <w:szCs w:val="24"/>
          <w:lang w:val="pt-PT"/>
        </w:rPr>
        <w:t xml:space="preserve">Eduardo Viana Portela. </w:t>
      </w:r>
      <w:r w:rsidRPr="004D26BC">
        <w:rPr>
          <w:rFonts w:ascii="Times New Roman" w:hAnsi="Times New Roman"/>
          <w:b/>
          <w:spacing w:val="-15"/>
          <w:kern w:val="36"/>
          <w:sz w:val="24"/>
          <w:szCs w:val="24"/>
          <w:lang w:val="pt-PT"/>
        </w:rPr>
        <w:t>A Lei de Drogas:</w:t>
      </w:r>
      <w:r w:rsidRPr="004D26BC">
        <w:rPr>
          <w:rFonts w:ascii="Times New Roman" w:hAnsi="Times New Roman"/>
          <w:spacing w:val="-15"/>
          <w:kern w:val="36"/>
          <w:sz w:val="24"/>
          <w:szCs w:val="24"/>
          <w:lang w:val="pt-PT"/>
        </w:rPr>
        <w:t xml:space="preserve"> primeiras reflexões críticas sobre art. 28. Disponível em: http://br.monografias.com/trabalhos911/a-lei-drogas/a-lei-drogas.shtml. </w:t>
      </w:r>
    </w:p>
    <w:p w:rsidR="007C1A45" w:rsidRDefault="007C1A45" w:rsidP="007C1A45">
      <w:pPr>
        <w:jc w:val="both"/>
        <w:rPr>
          <w:rFonts w:ascii="Times New Roman" w:eastAsia="Batang" w:hAnsi="Times New Roman"/>
          <w:sz w:val="24"/>
          <w:szCs w:val="24"/>
        </w:rPr>
      </w:pPr>
      <w:r w:rsidRPr="004D26BC">
        <w:rPr>
          <w:rFonts w:ascii="Times New Roman" w:eastAsia="Batang" w:hAnsi="Times New Roman"/>
          <w:sz w:val="24"/>
          <w:szCs w:val="24"/>
        </w:rPr>
        <w:t xml:space="preserve">SILVA, Davi André Costa. Art. 28 da Lei nº 11.343/06. </w:t>
      </w:r>
      <w:r w:rsidRPr="004D26BC">
        <w:rPr>
          <w:rFonts w:ascii="Times New Roman" w:eastAsia="Batang" w:hAnsi="Times New Roman"/>
          <w:b/>
          <w:sz w:val="24"/>
          <w:szCs w:val="24"/>
        </w:rPr>
        <w:t>Do tratamento diferenciado dado ao usuário de drogas:</w:t>
      </w:r>
      <w:r w:rsidRPr="004D26BC">
        <w:rPr>
          <w:rFonts w:ascii="Times New Roman" w:eastAsia="Batang" w:hAnsi="Times New Roman"/>
          <w:sz w:val="24"/>
          <w:szCs w:val="24"/>
        </w:rPr>
        <w:t xml:space="preserve"> medida </w:t>
      </w:r>
      <w:proofErr w:type="spellStart"/>
      <w:r w:rsidRPr="004D26BC">
        <w:rPr>
          <w:rFonts w:ascii="Times New Roman" w:eastAsia="Batang" w:hAnsi="Times New Roman"/>
          <w:sz w:val="24"/>
          <w:szCs w:val="24"/>
        </w:rPr>
        <w:t>despenalizadora</w:t>
      </w:r>
      <w:proofErr w:type="spellEnd"/>
      <w:r w:rsidRPr="004D26BC">
        <w:rPr>
          <w:rFonts w:ascii="Times New Roman" w:eastAsia="Batang" w:hAnsi="Times New Roman"/>
          <w:sz w:val="24"/>
          <w:szCs w:val="24"/>
        </w:rPr>
        <w:t xml:space="preserve"> mista. Jus </w:t>
      </w:r>
      <w:proofErr w:type="spellStart"/>
      <w:r w:rsidRPr="004D26BC">
        <w:rPr>
          <w:rFonts w:ascii="Times New Roman" w:eastAsia="Batang" w:hAnsi="Times New Roman"/>
          <w:sz w:val="24"/>
          <w:szCs w:val="24"/>
        </w:rPr>
        <w:t>Navigandi</w:t>
      </w:r>
      <w:proofErr w:type="spellEnd"/>
      <w:r w:rsidRPr="004D26BC">
        <w:rPr>
          <w:rFonts w:ascii="Times New Roman" w:eastAsia="Batang" w:hAnsi="Times New Roman"/>
          <w:sz w:val="24"/>
          <w:szCs w:val="24"/>
        </w:rPr>
        <w:t>, Teresina, ano 10, n. 1175, 19 set. 2006. Disponível em: &lt;http://jus2.uol.com.br/doutrina/texto.asp?id=8949&gt;. Acesso em: 26 mar. 2007.</w:t>
      </w:r>
    </w:p>
    <w:bookmarkEnd w:id="0"/>
    <w:p w:rsidR="00046B92" w:rsidRPr="00046B92" w:rsidRDefault="00046B92">
      <w:pPr>
        <w:rPr>
          <w:rFonts w:ascii="Times New Roman" w:hAnsi="Times New Roman" w:cs="Times New Roman"/>
          <w:sz w:val="24"/>
          <w:szCs w:val="24"/>
        </w:rPr>
      </w:pPr>
    </w:p>
    <w:sectPr w:rsidR="00046B92" w:rsidRPr="00046B92" w:rsidSect="005443FB">
      <w:footerReference w:type="default" r:id="rId7"/>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63" w:rsidRDefault="00050663" w:rsidP="005443FB">
      <w:pPr>
        <w:spacing w:after="0" w:line="240" w:lineRule="auto"/>
      </w:pPr>
      <w:r>
        <w:separator/>
      </w:r>
    </w:p>
  </w:endnote>
  <w:endnote w:type="continuationSeparator" w:id="0">
    <w:p w:rsidR="00050663" w:rsidRDefault="00050663" w:rsidP="0054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FB" w:rsidRDefault="005443FB">
    <w:pPr>
      <w:pStyle w:val="Rodap"/>
    </w:pPr>
  </w:p>
  <w:p w:rsidR="005443FB" w:rsidRDefault="005443F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FB" w:rsidRPr="005443FB" w:rsidRDefault="005443FB" w:rsidP="005443FB">
    <w:pPr>
      <w:pStyle w:val="Rodap"/>
      <w:rPr>
        <w:rFonts w:ascii="Times New Roman" w:hAnsi="Times New Roman" w:cs="Times New Roman"/>
        <w:sz w:val="20"/>
        <w:szCs w:val="20"/>
      </w:rPr>
    </w:pPr>
    <w:r w:rsidRPr="005443FB">
      <w:rPr>
        <w:rFonts w:ascii="Times New Roman" w:hAnsi="Times New Roman" w:cs="Times New Roman"/>
        <w:sz w:val="20"/>
        <w:szCs w:val="20"/>
      </w:rPr>
      <w:t>¹Paper apresentado à disciplina de Direito Penal Especial III do 6º período do Curso de Direito da Unidade de Ensino Superior Dom Bosco – UNDB.</w:t>
    </w:r>
  </w:p>
  <w:p w:rsidR="005443FB" w:rsidRPr="005443FB" w:rsidRDefault="005443FB" w:rsidP="005443FB">
    <w:pPr>
      <w:pStyle w:val="Rodap"/>
      <w:rPr>
        <w:rFonts w:ascii="Times New Roman" w:hAnsi="Times New Roman" w:cs="Times New Roman"/>
        <w:sz w:val="20"/>
        <w:szCs w:val="20"/>
      </w:rPr>
    </w:pPr>
    <w:r w:rsidRPr="005443FB">
      <w:rPr>
        <w:rFonts w:ascii="Times New Roman" w:hAnsi="Times New Roman" w:cs="Times New Roman"/>
        <w:sz w:val="20"/>
        <w:szCs w:val="20"/>
      </w:rPr>
      <w:t>²</w:t>
    </w:r>
    <w:r w:rsidR="00B70143">
      <w:rPr>
        <w:rFonts w:ascii="Times New Roman" w:hAnsi="Times New Roman" w:cs="Times New Roman"/>
        <w:sz w:val="20"/>
        <w:szCs w:val="20"/>
      </w:rPr>
      <w:t xml:space="preserve"> Aluna</w:t>
    </w:r>
    <w:r w:rsidRPr="005443FB">
      <w:rPr>
        <w:rFonts w:ascii="Times New Roman" w:hAnsi="Times New Roman" w:cs="Times New Roman"/>
        <w:sz w:val="20"/>
        <w:szCs w:val="20"/>
      </w:rPr>
      <w:t xml:space="preserve"> do 6º período do Curso de Direito da UNDB.</w:t>
    </w:r>
  </w:p>
  <w:p w:rsidR="005443FB" w:rsidRPr="005443FB" w:rsidRDefault="005443FB" w:rsidP="005443FB">
    <w:pPr>
      <w:pStyle w:val="Rodap"/>
      <w:rPr>
        <w:rFonts w:ascii="Times New Roman" w:hAnsi="Times New Roman" w:cs="Times New Roman"/>
        <w:sz w:val="20"/>
        <w:szCs w:val="20"/>
      </w:rPr>
    </w:pPr>
    <w:r w:rsidRPr="005443FB">
      <w:rPr>
        <w:rFonts w:ascii="Times New Roman" w:hAnsi="Times New Roman" w:cs="Times New Roman"/>
        <w:sz w:val="20"/>
        <w:szCs w:val="20"/>
      </w:rPr>
      <w:t>³ Professora e Orientadora da disciplina de Direito Penal Especial III do Curso de Direito da UNDB.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63" w:rsidRDefault="00050663" w:rsidP="005443FB">
      <w:pPr>
        <w:spacing w:after="0" w:line="240" w:lineRule="auto"/>
      </w:pPr>
      <w:r>
        <w:separator/>
      </w:r>
    </w:p>
  </w:footnote>
  <w:footnote w:type="continuationSeparator" w:id="0">
    <w:p w:rsidR="00050663" w:rsidRDefault="00050663" w:rsidP="00544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035CA"/>
    <w:multiLevelType w:val="hybridMultilevel"/>
    <w:tmpl w:val="9B6852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312976"/>
    <w:multiLevelType w:val="multilevel"/>
    <w:tmpl w:val="B94C0784"/>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6470B63"/>
    <w:multiLevelType w:val="hybridMultilevel"/>
    <w:tmpl w:val="FECA28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120A7A"/>
    <w:multiLevelType w:val="hybridMultilevel"/>
    <w:tmpl w:val="790A119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7A5751"/>
    <w:multiLevelType w:val="multilevel"/>
    <w:tmpl w:val="221A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92"/>
    <w:rsid w:val="00025ABB"/>
    <w:rsid w:val="00027A5F"/>
    <w:rsid w:val="00046B92"/>
    <w:rsid w:val="00050663"/>
    <w:rsid w:val="00085F5B"/>
    <w:rsid w:val="000A0000"/>
    <w:rsid w:val="000B4732"/>
    <w:rsid w:val="00104A93"/>
    <w:rsid w:val="00143E2D"/>
    <w:rsid w:val="00183407"/>
    <w:rsid w:val="001D121B"/>
    <w:rsid w:val="00230D38"/>
    <w:rsid w:val="00271966"/>
    <w:rsid w:val="002D7F9B"/>
    <w:rsid w:val="002E6373"/>
    <w:rsid w:val="00356BAF"/>
    <w:rsid w:val="00395CF5"/>
    <w:rsid w:val="003E672F"/>
    <w:rsid w:val="00481418"/>
    <w:rsid w:val="004E0BB7"/>
    <w:rsid w:val="005443FB"/>
    <w:rsid w:val="005522E6"/>
    <w:rsid w:val="005D5D8B"/>
    <w:rsid w:val="005F16E7"/>
    <w:rsid w:val="00681994"/>
    <w:rsid w:val="006A43F3"/>
    <w:rsid w:val="006D2110"/>
    <w:rsid w:val="00701CE4"/>
    <w:rsid w:val="007319C7"/>
    <w:rsid w:val="00753D6D"/>
    <w:rsid w:val="007554BB"/>
    <w:rsid w:val="00755C87"/>
    <w:rsid w:val="007A06F5"/>
    <w:rsid w:val="007C1A45"/>
    <w:rsid w:val="007E4A6C"/>
    <w:rsid w:val="00811276"/>
    <w:rsid w:val="00866E40"/>
    <w:rsid w:val="008B5637"/>
    <w:rsid w:val="008C56FD"/>
    <w:rsid w:val="008C5FA2"/>
    <w:rsid w:val="008D2758"/>
    <w:rsid w:val="009334CA"/>
    <w:rsid w:val="00952BB9"/>
    <w:rsid w:val="0098689D"/>
    <w:rsid w:val="009F2761"/>
    <w:rsid w:val="00A36AE2"/>
    <w:rsid w:val="00A37350"/>
    <w:rsid w:val="00A47E70"/>
    <w:rsid w:val="00A60FB0"/>
    <w:rsid w:val="00A919C8"/>
    <w:rsid w:val="00AC5A49"/>
    <w:rsid w:val="00AE6CC1"/>
    <w:rsid w:val="00B01E8A"/>
    <w:rsid w:val="00B154F9"/>
    <w:rsid w:val="00B243F8"/>
    <w:rsid w:val="00B343B2"/>
    <w:rsid w:val="00B52294"/>
    <w:rsid w:val="00B70143"/>
    <w:rsid w:val="00BF45FA"/>
    <w:rsid w:val="00C25592"/>
    <w:rsid w:val="00C33918"/>
    <w:rsid w:val="00C42508"/>
    <w:rsid w:val="00C51F53"/>
    <w:rsid w:val="00C62BDF"/>
    <w:rsid w:val="00C965DF"/>
    <w:rsid w:val="00CC531B"/>
    <w:rsid w:val="00D25D49"/>
    <w:rsid w:val="00D43B29"/>
    <w:rsid w:val="00D51F25"/>
    <w:rsid w:val="00D53BAE"/>
    <w:rsid w:val="00D85213"/>
    <w:rsid w:val="00D86692"/>
    <w:rsid w:val="00DB08CD"/>
    <w:rsid w:val="00DC2794"/>
    <w:rsid w:val="00DF0A82"/>
    <w:rsid w:val="00E25234"/>
    <w:rsid w:val="00E8544B"/>
    <w:rsid w:val="00F00C4B"/>
    <w:rsid w:val="00F1390F"/>
    <w:rsid w:val="00F23C24"/>
    <w:rsid w:val="00F62393"/>
    <w:rsid w:val="00F66054"/>
    <w:rsid w:val="00FA3072"/>
    <w:rsid w:val="00FC6B1C"/>
    <w:rsid w:val="00FF4C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B59CE-9205-48C8-AC2D-B5D561C5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AC5A49"/>
    <w:pPr>
      <w:spacing w:after="0" w:line="240" w:lineRule="auto"/>
      <w:outlineLvl w:val="1"/>
    </w:pPr>
    <w:rPr>
      <w:rFonts w:ascii="Arial" w:eastAsia="Times New Roman" w:hAnsi="Arial" w:cs="Arial"/>
      <w:b/>
      <w:bCs/>
      <w:color w:val="444444"/>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6B92"/>
    <w:pPr>
      <w:ind w:left="720"/>
      <w:contextualSpacing/>
    </w:pPr>
  </w:style>
  <w:style w:type="character" w:styleId="Forte">
    <w:name w:val="Strong"/>
    <w:basedOn w:val="Fontepargpadro"/>
    <w:uiPriority w:val="22"/>
    <w:qFormat/>
    <w:rsid w:val="007C1A45"/>
    <w:rPr>
      <w:b/>
      <w:bCs/>
    </w:rPr>
  </w:style>
  <w:style w:type="character" w:customStyle="1" w:styleId="Ttulo2Char">
    <w:name w:val="Título 2 Char"/>
    <w:basedOn w:val="Fontepargpadro"/>
    <w:link w:val="Ttulo2"/>
    <w:uiPriority w:val="9"/>
    <w:rsid w:val="00AC5A49"/>
    <w:rPr>
      <w:rFonts w:ascii="Arial" w:eastAsia="Times New Roman" w:hAnsi="Arial" w:cs="Arial"/>
      <w:b/>
      <w:bCs/>
      <w:color w:val="444444"/>
      <w:sz w:val="21"/>
      <w:szCs w:val="21"/>
      <w:lang w:eastAsia="pt-BR"/>
    </w:rPr>
  </w:style>
  <w:style w:type="paragraph" w:styleId="NormalWeb">
    <w:name w:val="Normal (Web)"/>
    <w:basedOn w:val="Normal"/>
    <w:uiPriority w:val="99"/>
    <w:unhideWhenUsed/>
    <w:rsid w:val="00AC5A4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AC5A49"/>
    <w:rPr>
      <w:i/>
      <w:iCs/>
    </w:rPr>
  </w:style>
  <w:style w:type="character" w:styleId="Hyperlink">
    <w:name w:val="Hyperlink"/>
    <w:basedOn w:val="Fontepargpadro"/>
    <w:uiPriority w:val="99"/>
    <w:unhideWhenUsed/>
    <w:rsid w:val="00AC5A49"/>
    <w:rPr>
      <w:color w:val="0000FF"/>
      <w:u w:val="single"/>
    </w:rPr>
  </w:style>
  <w:style w:type="paragraph" w:styleId="Cabealho">
    <w:name w:val="header"/>
    <w:basedOn w:val="Normal"/>
    <w:link w:val="CabealhoChar"/>
    <w:uiPriority w:val="99"/>
    <w:unhideWhenUsed/>
    <w:rsid w:val="005443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3FB"/>
  </w:style>
  <w:style w:type="paragraph" w:styleId="Rodap">
    <w:name w:val="footer"/>
    <w:basedOn w:val="Normal"/>
    <w:link w:val="RodapChar"/>
    <w:uiPriority w:val="99"/>
    <w:unhideWhenUsed/>
    <w:rsid w:val="005443FB"/>
    <w:pPr>
      <w:tabs>
        <w:tab w:val="center" w:pos="4252"/>
        <w:tab w:val="right" w:pos="8504"/>
      </w:tabs>
      <w:spacing w:after="0" w:line="240" w:lineRule="auto"/>
    </w:pPr>
  </w:style>
  <w:style w:type="character" w:customStyle="1" w:styleId="RodapChar">
    <w:name w:val="Rodapé Char"/>
    <w:basedOn w:val="Fontepargpadro"/>
    <w:link w:val="Rodap"/>
    <w:uiPriority w:val="99"/>
    <w:rsid w:val="005443FB"/>
  </w:style>
  <w:style w:type="paragraph" w:styleId="Textodebalo">
    <w:name w:val="Balloon Text"/>
    <w:basedOn w:val="Normal"/>
    <w:link w:val="TextodebaloChar"/>
    <w:uiPriority w:val="99"/>
    <w:semiHidden/>
    <w:unhideWhenUsed/>
    <w:rsid w:val="005443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4019</Words>
  <Characters>21707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Gonzaga</dc:creator>
  <cp:lastModifiedBy>Defensoria</cp:lastModifiedBy>
  <cp:revision>2</cp:revision>
  <dcterms:created xsi:type="dcterms:W3CDTF">2015-02-10T13:23:00Z</dcterms:created>
  <dcterms:modified xsi:type="dcterms:W3CDTF">2015-02-10T13:23:00Z</dcterms:modified>
</cp:coreProperties>
</file>