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A2" w:rsidRPr="0068253D" w:rsidRDefault="0068253D" w:rsidP="006825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8253D">
        <w:rPr>
          <w:rFonts w:ascii="Courier New" w:hAnsi="Courier New" w:cs="Courier New"/>
          <w:b/>
          <w:sz w:val="24"/>
          <w:szCs w:val="24"/>
        </w:rPr>
        <w:t xml:space="preserve">Cobrança do DPVAT </w:t>
      </w:r>
    </w:p>
    <w:p w:rsidR="0068253D" w:rsidRPr="0068253D" w:rsidRDefault="0068253D" w:rsidP="006825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8253D" w:rsidRDefault="0068253D" w:rsidP="0023627F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68253D">
        <w:rPr>
          <w:rFonts w:ascii="Courier New" w:hAnsi="Courier New" w:cs="Courier New"/>
          <w:sz w:val="24"/>
          <w:szCs w:val="24"/>
        </w:rPr>
        <w:t xml:space="preserve">O DPVAT é um seguro obrigatório de danos pessoais causados por veículos automotores de vias terrestres. </w:t>
      </w:r>
      <w:r>
        <w:rPr>
          <w:rFonts w:ascii="Courier New" w:hAnsi="Courier New" w:cs="Courier New"/>
          <w:sz w:val="24"/>
          <w:szCs w:val="24"/>
        </w:rPr>
        <w:t>O referido seguro não cobre acidentes de cunho material, quais seja, roubos, danos no veículo e outros.</w:t>
      </w:r>
    </w:p>
    <w:p w:rsidR="0068253D" w:rsidRDefault="0068253D" w:rsidP="0023627F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É pago para qualquer vítima de acidente de trânsito, sejam eles, motoristas, passageiros ou pedestres de forma individual, mesmo que o veículo não esteja em dia com o veículo ou este não seja identificado.</w:t>
      </w:r>
    </w:p>
    <w:p w:rsidR="0068253D" w:rsidRDefault="0068253D" w:rsidP="0023627F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 caso de morte da vítima, o capital será pago a metade para o cônjuge e os restantes para os herdeiros legais do falecido. Na falta destes, serão beneficiários aqueles que provarem que a morte da vítima lhes privou o meio de subsistência. Já no caso de invalidez permanente e reembolso de despesas médicas e hospitalares, o beneficiário será a própria vítima.</w:t>
      </w:r>
    </w:p>
    <w:p w:rsidR="0068253D" w:rsidRDefault="0068253D" w:rsidP="0023627F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Caso o beneficiário seja menor de 16 (dezesseis) anos de idade, o capital será pago ao seu representante legal. Entre 17 (dezessete) e 18 (dezoito) anos, a indenização será paga ao menor, assistido pelo representante legal ou munido de alvará judicial. </w:t>
      </w:r>
    </w:p>
    <w:p w:rsidR="0068253D" w:rsidRDefault="0068253D" w:rsidP="0023627F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ação judicial cabível para cobrar o seguro, como se trata de Ação de Cobrança, é de 03 (três) anos, conforme súmula 405 do STJ. </w:t>
      </w:r>
    </w:p>
    <w:p w:rsidR="00594407" w:rsidRDefault="00594407" w:rsidP="006825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94407" w:rsidRPr="00B30CE9" w:rsidRDefault="00594407" w:rsidP="00594407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 Rafael Camilo Ferreira Silva, OAB/MG 135.162, advogado na empresa Faria Junior Advogados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, Pós-Graduado em Ciências Penais na Universidade Anhanguera/SP (Rede LFG).</w:t>
      </w:r>
    </w:p>
    <w:p w:rsidR="00594407" w:rsidRPr="0068253D" w:rsidRDefault="00594407" w:rsidP="006825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594407" w:rsidRPr="0068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3D"/>
    <w:rsid w:val="001B09F9"/>
    <w:rsid w:val="0023627F"/>
    <w:rsid w:val="005432D2"/>
    <w:rsid w:val="00594407"/>
    <w:rsid w:val="0068253D"/>
    <w:rsid w:val="00B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4CC4C-F3ED-4A5F-B353-5974193B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8253D"/>
  </w:style>
  <w:style w:type="paragraph" w:styleId="NormalWeb">
    <w:name w:val="Normal (Web)"/>
    <w:basedOn w:val="Normal"/>
    <w:uiPriority w:val="99"/>
    <w:semiHidden/>
    <w:unhideWhenUsed/>
    <w:rsid w:val="0068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2014-07-23T18:28:00Z</dcterms:created>
  <dcterms:modified xsi:type="dcterms:W3CDTF">2014-07-23T18:47:00Z</dcterms:modified>
</cp:coreProperties>
</file>