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CF" w:rsidRPr="00467848" w:rsidRDefault="00467848" w:rsidP="00467848">
      <w:pPr>
        <w:pStyle w:val="Ttulo1"/>
        <w:spacing w:line="360" w:lineRule="auto"/>
        <w:jc w:val="both"/>
      </w:pPr>
      <w:bookmarkStart w:id="0" w:name="_Toc333015358"/>
      <w:bookmarkStart w:id="1" w:name="_Toc333362960"/>
      <w:bookmarkStart w:id="2" w:name="_Toc367691727"/>
      <w:bookmarkStart w:id="3" w:name="_GoBack"/>
      <w:r w:rsidRPr="00467848">
        <w:t xml:space="preserve">LOTEAMENTO </w:t>
      </w:r>
      <w:bookmarkEnd w:id="0"/>
      <w:bookmarkEnd w:id="1"/>
      <w:r w:rsidRPr="00467848">
        <w:t>FECHADO</w:t>
      </w:r>
      <w:bookmarkEnd w:id="2"/>
      <w:r w:rsidR="00437640">
        <w:t xml:space="preserve"> E AS ASSOCIAÇÕES DE MORADORES</w:t>
      </w:r>
    </w:p>
    <w:bookmarkEnd w:id="3"/>
    <w:p w:rsidR="004F57CB" w:rsidRDefault="004F57CB" w:rsidP="00A231CF">
      <w:pPr>
        <w:pStyle w:val="Ttulo1"/>
        <w:spacing w:before="0" w:beforeAutospacing="0" w:after="0" w:afterAutospacing="0" w:line="360" w:lineRule="auto"/>
        <w:jc w:val="both"/>
      </w:pPr>
    </w:p>
    <w:p w:rsidR="006364FA" w:rsidRPr="00292FDD" w:rsidRDefault="006364FA" w:rsidP="00A231CF">
      <w:pPr>
        <w:pStyle w:val="Ttulo1"/>
        <w:spacing w:before="0" w:beforeAutospacing="0" w:after="0" w:afterAutospacing="0" w:line="360" w:lineRule="auto"/>
        <w:jc w:val="both"/>
      </w:pPr>
    </w:p>
    <w:p w:rsidR="00F5033D" w:rsidRPr="00630EFB" w:rsidRDefault="006364FA" w:rsidP="00467848">
      <w:pPr>
        <w:pStyle w:val="Ttulo2"/>
        <w:spacing w:line="360" w:lineRule="auto"/>
        <w:jc w:val="both"/>
      </w:pPr>
      <w:bookmarkStart w:id="4" w:name="_Toc367691728"/>
      <w:r>
        <w:t>1.1</w:t>
      </w:r>
      <w:r w:rsidR="00467848">
        <w:tab/>
      </w:r>
      <w:r w:rsidR="00F5033D" w:rsidRPr="00630EFB">
        <w:t>Do parcelamento de solo urbano</w:t>
      </w:r>
      <w:bookmarkEnd w:id="4"/>
    </w:p>
    <w:p w:rsidR="006364FA" w:rsidRDefault="006364FA" w:rsidP="006364FA">
      <w:pPr>
        <w:pStyle w:val="Ttulo1"/>
        <w:spacing w:before="0" w:beforeAutospacing="0" w:after="0" w:afterAutospacing="0" w:line="360" w:lineRule="auto"/>
        <w:jc w:val="both"/>
      </w:pPr>
    </w:p>
    <w:p w:rsidR="006364FA" w:rsidRPr="00292FDD" w:rsidRDefault="006364FA" w:rsidP="006364FA">
      <w:pPr>
        <w:pStyle w:val="Ttulo1"/>
        <w:spacing w:before="0" w:beforeAutospacing="0" w:after="0" w:afterAutospacing="0" w:line="360" w:lineRule="auto"/>
        <w:jc w:val="both"/>
      </w:pP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Parte o presente estudo da definição oferecida por Sérgio A. Frazão do Couto quanto ao parcelamento do solo: </w:t>
      </w:r>
      <w:r w:rsidRPr="003676A6">
        <w:rPr>
          <w:rFonts w:ascii="Arial" w:hAnsi="Arial" w:cs="Arial"/>
          <w:i/>
          <w:sz w:val="24"/>
          <w:szCs w:val="20"/>
        </w:rPr>
        <w:t>“Parcelamento do solo é, pois, a divisão de uma grandeza territorial em número legalmente limitado de grandezas territoriais menores, re</w:t>
      </w:r>
      <w:r>
        <w:rPr>
          <w:rFonts w:ascii="Arial" w:hAnsi="Arial" w:cs="Arial"/>
          <w:i/>
          <w:sz w:val="24"/>
          <w:szCs w:val="20"/>
        </w:rPr>
        <w:t>gidas e protegidas pelo direito</w:t>
      </w:r>
      <w:proofErr w:type="gramStart"/>
      <w:r w:rsidRPr="003676A6">
        <w:rPr>
          <w:rFonts w:ascii="Arial" w:hAnsi="Arial" w:cs="Arial"/>
          <w:i/>
          <w:sz w:val="24"/>
          <w:szCs w:val="20"/>
        </w:rPr>
        <w:t>”</w:t>
      </w:r>
      <w:proofErr w:type="gramEnd"/>
      <w:r>
        <w:rPr>
          <w:rStyle w:val="Refdenotaderodap"/>
          <w:rFonts w:ascii="Arial" w:hAnsi="Arial" w:cs="Arial"/>
          <w:sz w:val="24"/>
          <w:szCs w:val="20"/>
        </w:rPr>
        <w:footnoteReference w:id="1"/>
      </w:r>
      <w:r>
        <w:rPr>
          <w:rFonts w:ascii="Arial" w:hAnsi="Arial" w:cs="Arial"/>
          <w:sz w:val="24"/>
          <w:szCs w:val="20"/>
        </w:rPr>
        <w:t xml:space="preserve"> Em sentido amplo, tem-se no parcelamento do solo uma forma de promover uma ocupação demograficamente mais proveitosa do solo, a medida que divide-se um espaço antes subutilizado por unidades menores e autônomas, de forma a acomodar o crescimento populacional, em especial em torno dos </w:t>
      </w:r>
      <w:proofErr w:type="gramStart"/>
      <w:r>
        <w:rPr>
          <w:rFonts w:ascii="Arial" w:hAnsi="Arial" w:cs="Arial"/>
          <w:sz w:val="24"/>
          <w:szCs w:val="20"/>
        </w:rPr>
        <w:t>núcleos</w:t>
      </w:r>
      <w:proofErr w:type="gramEnd"/>
      <w:r>
        <w:rPr>
          <w:rFonts w:ascii="Arial" w:hAnsi="Arial" w:cs="Arial"/>
          <w:sz w:val="24"/>
          <w:szCs w:val="20"/>
        </w:rPr>
        <w:t xml:space="preserve"> urbanos.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Fixado conceito e propósito do parcelamento de solo </w:t>
      </w:r>
      <w:r w:rsidR="004A1002">
        <w:rPr>
          <w:rFonts w:ascii="Arial" w:hAnsi="Arial" w:cs="Arial"/>
          <w:i/>
          <w:sz w:val="24"/>
          <w:szCs w:val="20"/>
        </w:rPr>
        <w:t>lacto sensu</w:t>
      </w:r>
      <w:r>
        <w:rPr>
          <w:rFonts w:ascii="Arial" w:hAnsi="Arial" w:cs="Arial"/>
          <w:sz w:val="24"/>
          <w:szCs w:val="20"/>
        </w:rPr>
        <w:t>, cumpre estudar as especificidades normativas do parcelamento de solo urbano, disciplinado pela Lei nº 6.766, de 19 de dezembro de 1979.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Estabelece a Lei nº 6.766</w:t>
      </w:r>
      <w:r w:rsidR="004A1002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 xml:space="preserve"> em seu artigo 3º que </w:t>
      </w:r>
      <w:r w:rsidRPr="003676A6">
        <w:rPr>
          <w:rFonts w:ascii="Arial" w:hAnsi="Arial" w:cs="Arial"/>
          <w:i/>
          <w:sz w:val="24"/>
          <w:szCs w:val="20"/>
        </w:rPr>
        <w:t xml:space="preserve">“somente será admitido o parcelamento do solo para fins urbanos em zonas urbanas, de expansão urbana ou de urbanização </w:t>
      </w:r>
      <w:proofErr w:type="gramStart"/>
      <w:r w:rsidRPr="003676A6">
        <w:rPr>
          <w:rFonts w:ascii="Arial" w:hAnsi="Arial" w:cs="Arial"/>
          <w:i/>
          <w:sz w:val="24"/>
          <w:szCs w:val="20"/>
        </w:rPr>
        <w:t>específica, assim definidas</w:t>
      </w:r>
      <w:proofErr w:type="gramEnd"/>
      <w:r w:rsidRPr="003676A6">
        <w:rPr>
          <w:rFonts w:ascii="Arial" w:hAnsi="Arial" w:cs="Arial"/>
          <w:i/>
          <w:sz w:val="24"/>
          <w:szCs w:val="20"/>
        </w:rPr>
        <w:t xml:space="preserve"> pelo plano diretor ou aprovadas por lei municipal.”</w:t>
      </w:r>
      <w:r>
        <w:rPr>
          <w:rFonts w:ascii="Arial" w:hAnsi="Arial" w:cs="Arial"/>
          <w:sz w:val="24"/>
          <w:szCs w:val="20"/>
        </w:rPr>
        <w:t>,.</w:t>
      </w:r>
      <w:r>
        <w:rPr>
          <w:rFonts w:ascii="Arial" w:hAnsi="Arial" w:cs="Arial"/>
          <w:i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Assim sendo, não </w:t>
      </w:r>
      <w:proofErr w:type="gramStart"/>
      <w:r>
        <w:rPr>
          <w:rFonts w:ascii="Arial" w:hAnsi="Arial" w:cs="Arial"/>
          <w:sz w:val="24"/>
          <w:szCs w:val="20"/>
        </w:rPr>
        <w:t>estão</w:t>
      </w:r>
      <w:proofErr w:type="gramEnd"/>
      <w:r>
        <w:rPr>
          <w:rFonts w:ascii="Arial" w:hAnsi="Arial" w:cs="Arial"/>
          <w:sz w:val="24"/>
          <w:szCs w:val="20"/>
        </w:rPr>
        <w:t xml:space="preserve"> abarcados por esta legislação o parcelamento com finalidade r</w:t>
      </w:r>
      <w:r w:rsidR="004A1002">
        <w:rPr>
          <w:rFonts w:ascii="Arial" w:hAnsi="Arial" w:cs="Arial"/>
          <w:sz w:val="24"/>
          <w:szCs w:val="20"/>
        </w:rPr>
        <w:t>ural, que continua a ser regido</w:t>
      </w:r>
      <w:r>
        <w:rPr>
          <w:rFonts w:ascii="Arial" w:hAnsi="Arial" w:cs="Arial"/>
          <w:sz w:val="24"/>
          <w:szCs w:val="20"/>
        </w:rPr>
        <w:t xml:space="preserve"> pelo Decreto-Lei nº 58, de 10 de dezembro de 1937, bem como o parcelamento de imóvel rural para finalidade urbana, que deve ser precedido da inclusão do respectivo imóvel como de zona urbana ou de expansão urbana pelo Município de forma a adequar-se ao artigo 3º supracitado. </w:t>
      </w:r>
    </w:p>
    <w:p w:rsidR="006364FA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No tocante à finalidade urbana do parcelamento de solo disciplinado pela Lei nº 6.766</w:t>
      </w:r>
      <w:r w:rsidR="004A1002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>, conceitua Diógenes Gasparini</w:t>
      </w:r>
      <w:proofErr w:type="gramStart"/>
      <w:r w:rsidRPr="003F7783">
        <w:rPr>
          <w:rStyle w:val="Refdenotaderodap"/>
          <w:rFonts w:ascii="Arial" w:hAnsi="Arial" w:cs="Arial"/>
          <w:i/>
          <w:szCs w:val="20"/>
        </w:rPr>
        <w:footnoteReference w:id="2"/>
      </w:r>
      <w:proofErr w:type="gramEnd"/>
    </w:p>
    <w:p w:rsidR="00F5033D" w:rsidRDefault="00F5033D" w:rsidP="006364F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: </w:t>
      </w:r>
    </w:p>
    <w:p w:rsidR="00F5033D" w:rsidRPr="005746C9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 w:val="24"/>
          <w:szCs w:val="20"/>
        </w:rPr>
      </w:pPr>
      <w:r w:rsidRPr="003F7783">
        <w:rPr>
          <w:rFonts w:ascii="Arial" w:hAnsi="Arial" w:cs="Arial"/>
          <w:i/>
          <w:szCs w:val="20"/>
        </w:rPr>
        <w:t>Fins urbanos são os que dão ao parcelamento características de bairros, vilas ou cidades. Implicam a implantação de lotes destinados à edificação (residencial, comercial ou industrial), dotados de equipamentos urbanos (rede de água, de esgoto, de iluminação pública, de telefonia, etc.) e comunitários (áreas de recreio, educação e cultura etc.). Em suma, fins urbanos são os que se obtêm por exclusão, já que o ordenamento jurídico só indica os rurais. São rurais os voltados às atividades extrativa, agrícola, pecuária e agroindustrial (art. 4º, I e II, da Lei federal n. 4.504/64 – Estatuto da Terra), sendo, portanto, urbano qualquer outro. Em outras palavras, preocupa-se a Lei com os parcelamentos destinados à implantação de novos núcleos populacionais (residenciais, comerciais, industriais e de recreio). Pode-se dizer, então, que não se tem parcelamento, nos termos da Lei em apreço, se de</w:t>
      </w:r>
      <w:r w:rsidR="00467848">
        <w:rPr>
          <w:rFonts w:ascii="Arial" w:hAnsi="Arial" w:cs="Arial"/>
          <w:i/>
          <w:szCs w:val="20"/>
        </w:rPr>
        <w:t>le não surgir um núcleo urbano.</w:t>
      </w:r>
    </w:p>
    <w:p w:rsidR="006364FA" w:rsidRDefault="006364FA" w:rsidP="00F5033D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F5033D" w:rsidRDefault="004A1002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Observa-se ainda que</w:t>
      </w:r>
      <w:r w:rsidR="00F5033D">
        <w:rPr>
          <w:rFonts w:ascii="Arial" w:hAnsi="Arial" w:cs="Arial"/>
          <w:sz w:val="24"/>
          <w:szCs w:val="20"/>
        </w:rPr>
        <w:t xml:space="preserve"> não </w:t>
      </w:r>
      <w:proofErr w:type="gramStart"/>
      <w:r w:rsidR="00F5033D">
        <w:rPr>
          <w:rFonts w:ascii="Arial" w:hAnsi="Arial" w:cs="Arial"/>
          <w:sz w:val="24"/>
          <w:szCs w:val="20"/>
        </w:rPr>
        <w:t>serão</w:t>
      </w:r>
      <w:proofErr w:type="gramEnd"/>
      <w:r w:rsidR="00F5033D">
        <w:rPr>
          <w:rFonts w:ascii="Arial" w:hAnsi="Arial" w:cs="Arial"/>
          <w:sz w:val="24"/>
          <w:szCs w:val="20"/>
        </w:rPr>
        <w:t xml:space="preserve"> passíveis de parcelamento de solo as áreas urbanas das seguintes espécies, conforme previsto no parágrafo único do artigo 3º</w:t>
      </w:r>
      <w:r>
        <w:rPr>
          <w:rFonts w:ascii="Arial" w:hAnsi="Arial" w:cs="Arial"/>
          <w:sz w:val="24"/>
          <w:szCs w:val="20"/>
        </w:rPr>
        <w:t xml:space="preserve"> da Lei nº 6.766/79</w:t>
      </w:r>
      <w:r w:rsidR="00F5033D">
        <w:rPr>
          <w:rFonts w:ascii="Arial" w:hAnsi="Arial" w:cs="Arial"/>
          <w:sz w:val="24"/>
          <w:szCs w:val="20"/>
        </w:rPr>
        <w:t>: (i)</w:t>
      </w:r>
      <w:r w:rsidR="00F5033D" w:rsidRPr="005876AB">
        <w:rPr>
          <w:rFonts w:ascii="Arial" w:hAnsi="Arial" w:cs="Arial"/>
          <w:sz w:val="24"/>
          <w:szCs w:val="20"/>
        </w:rPr>
        <w:t xml:space="preserve"> em terrenos alagadiços e sujeitos a inundações, antes de tomadas as providências para assegurar o escoamento das águas;</w:t>
      </w:r>
      <w:r w:rsidR="00F5033D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F5033D">
        <w:rPr>
          <w:rFonts w:ascii="Arial" w:hAnsi="Arial" w:cs="Arial"/>
          <w:sz w:val="24"/>
          <w:szCs w:val="20"/>
        </w:rPr>
        <w:t>ii</w:t>
      </w:r>
      <w:proofErr w:type="spellEnd"/>
      <w:r w:rsidR="00F5033D">
        <w:rPr>
          <w:rFonts w:ascii="Arial" w:hAnsi="Arial" w:cs="Arial"/>
          <w:sz w:val="24"/>
          <w:szCs w:val="20"/>
        </w:rPr>
        <w:t>)</w:t>
      </w:r>
      <w:r w:rsidR="00F5033D" w:rsidRPr="005876AB">
        <w:rPr>
          <w:rFonts w:ascii="Arial" w:hAnsi="Arial" w:cs="Arial"/>
          <w:sz w:val="24"/>
          <w:szCs w:val="20"/>
        </w:rPr>
        <w:t xml:space="preserve"> em terrenos que tenham sido aterrados com material nocivo à saúde pública, sem que sejam previamente saneados;</w:t>
      </w:r>
      <w:r w:rsidR="00F5033D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F5033D">
        <w:rPr>
          <w:rFonts w:ascii="Arial" w:hAnsi="Arial" w:cs="Arial"/>
          <w:sz w:val="24"/>
          <w:szCs w:val="20"/>
        </w:rPr>
        <w:t>iii</w:t>
      </w:r>
      <w:proofErr w:type="spellEnd"/>
      <w:r w:rsidR="00F5033D">
        <w:rPr>
          <w:rFonts w:ascii="Arial" w:hAnsi="Arial" w:cs="Arial"/>
          <w:sz w:val="24"/>
          <w:szCs w:val="20"/>
        </w:rPr>
        <w:t>)</w:t>
      </w:r>
      <w:r w:rsidR="00F5033D" w:rsidRPr="005876AB">
        <w:rPr>
          <w:rFonts w:ascii="Arial" w:hAnsi="Arial" w:cs="Arial"/>
          <w:sz w:val="24"/>
          <w:szCs w:val="20"/>
        </w:rPr>
        <w:t xml:space="preserve"> em terrenos com declividade igual ou superior a 30% (trinta por cento), salvo se atendidas exigências </w:t>
      </w:r>
      <w:r>
        <w:rPr>
          <w:rFonts w:ascii="Arial" w:hAnsi="Arial" w:cs="Arial"/>
          <w:sz w:val="24"/>
          <w:szCs w:val="20"/>
        </w:rPr>
        <w:t xml:space="preserve">em específico </w:t>
      </w:r>
      <w:r w:rsidR="00F5033D" w:rsidRPr="005876AB">
        <w:rPr>
          <w:rFonts w:ascii="Arial" w:hAnsi="Arial" w:cs="Arial"/>
          <w:sz w:val="24"/>
          <w:szCs w:val="20"/>
        </w:rPr>
        <w:t>das autoridades competentes;</w:t>
      </w:r>
      <w:r w:rsidR="00F5033D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F5033D">
        <w:rPr>
          <w:rFonts w:ascii="Arial" w:hAnsi="Arial" w:cs="Arial"/>
          <w:sz w:val="24"/>
          <w:szCs w:val="20"/>
        </w:rPr>
        <w:t>iv</w:t>
      </w:r>
      <w:proofErr w:type="spellEnd"/>
      <w:r w:rsidR="00F5033D">
        <w:rPr>
          <w:rFonts w:ascii="Arial" w:hAnsi="Arial" w:cs="Arial"/>
          <w:sz w:val="24"/>
          <w:szCs w:val="20"/>
        </w:rPr>
        <w:t>)</w:t>
      </w:r>
      <w:r w:rsidR="00F5033D" w:rsidRPr="005876AB">
        <w:rPr>
          <w:rFonts w:ascii="Arial" w:hAnsi="Arial" w:cs="Arial"/>
          <w:sz w:val="24"/>
          <w:szCs w:val="20"/>
        </w:rPr>
        <w:t xml:space="preserve"> em terrenos onde as condições geológicas não aconselham a edificação;</w:t>
      </w:r>
      <w:r w:rsidR="00F5033D">
        <w:rPr>
          <w:rFonts w:ascii="Arial" w:hAnsi="Arial" w:cs="Arial"/>
          <w:sz w:val="24"/>
          <w:szCs w:val="20"/>
        </w:rPr>
        <w:t xml:space="preserve"> (v)</w:t>
      </w:r>
      <w:r w:rsidR="00F5033D" w:rsidRPr="005876AB">
        <w:rPr>
          <w:rFonts w:ascii="Arial" w:hAnsi="Arial" w:cs="Arial"/>
          <w:sz w:val="24"/>
          <w:szCs w:val="20"/>
        </w:rPr>
        <w:t xml:space="preserve"> em áreas de preservação ecológica ou naquelas onde a poluição impeça condições sanitárias suportáveis, até a sua correção</w:t>
      </w:r>
      <w:r w:rsidR="00F5033D">
        <w:rPr>
          <w:rFonts w:ascii="Arial" w:hAnsi="Arial" w:cs="Arial"/>
          <w:sz w:val="24"/>
          <w:szCs w:val="20"/>
        </w:rPr>
        <w:t>.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Por fim, para que se cumpra a finalidade urbana dos parcelamentos de solo, especificamente dos loteamentos urbanos, são </w:t>
      </w:r>
      <w:r>
        <w:rPr>
          <w:rFonts w:ascii="Arial" w:hAnsi="Arial" w:cs="Arial"/>
          <w:sz w:val="24"/>
          <w:szCs w:val="20"/>
        </w:rPr>
        <w:lastRenderedPageBreak/>
        <w:t xml:space="preserve">estabelecidos requisitos urbanísticos específicos, conforme tratados mais adiante. </w:t>
      </w:r>
    </w:p>
    <w:p w:rsidR="006364FA" w:rsidRDefault="006364FA" w:rsidP="006364FA">
      <w:pPr>
        <w:spacing w:after="0" w:line="360" w:lineRule="auto"/>
        <w:rPr>
          <w:rFonts w:ascii="Arial" w:hAnsi="Arial" w:cs="Arial"/>
          <w:b/>
          <w:sz w:val="24"/>
          <w:szCs w:val="20"/>
        </w:rPr>
      </w:pPr>
    </w:p>
    <w:p w:rsidR="006364FA" w:rsidRDefault="006364FA" w:rsidP="006364FA">
      <w:pPr>
        <w:spacing w:after="0" w:line="360" w:lineRule="auto"/>
        <w:rPr>
          <w:rFonts w:ascii="Arial" w:hAnsi="Arial" w:cs="Arial"/>
          <w:b/>
          <w:sz w:val="24"/>
          <w:szCs w:val="20"/>
        </w:rPr>
      </w:pPr>
    </w:p>
    <w:p w:rsidR="00F5033D" w:rsidRDefault="006364FA" w:rsidP="00467848">
      <w:pPr>
        <w:pStyle w:val="Ttulo2"/>
        <w:spacing w:line="360" w:lineRule="auto"/>
      </w:pPr>
      <w:bookmarkStart w:id="5" w:name="_Toc367691729"/>
      <w:r>
        <w:t>1.2</w:t>
      </w:r>
      <w:r w:rsidR="00467848">
        <w:tab/>
      </w:r>
      <w:r w:rsidR="00F5033D" w:rsidRPr="00630EFB">
        <w:t xml:space="preserve">Loteamento </w:t>
      </w:r>
      <w:r w:rsidR="00F5033D">
        <w:t>Urbano</w:t>
      </w:r>
      <w:bookmarkEnd w:id="5"/>
    </w:p>
    <w:p w:rsidR="006364FA" w:rsidRPr="006364FA" w:rsidRDefault="006364FA" w:rsidP="006364FA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6364FA" w:rsidRPr="006364FA" w:rsidRDefault="006364FA" w:rsidP="006364FA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 legislação vigente prevê duas formas de promover o parcelamento de áreas urbanas: o loteamento e o desmembramento. Ambas se assemelham no propósito de originar terrenos da subdivisão de um imóvel, mas distinguem-se no quanto disposto no artigo 2º da Lei nº 6.766, conforme segue:</w:t>
      </w:r>
    </w:p>
    <w:p w:rsidR="006364FA" w:rsidRDefault="006364FA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Pr="007001A1" w:rsidRDefault="00F5033D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001A1">
        <w:rPr>
          <w:rFonts w:ascii="Arial" w:hAnsi="Arial" w:cs="Arial"/>
          <w:i/>
          <w:szCs w:val="20"/>
        </w:rPr>
        <w:t>Art. 2º. O parcelamento do solo urbano poderá ser feito mediante loteamento ou desmembramento, observadas as disposições desta Lei e as das legislações estaduais e municipais pertinentes.</w:t>
      </w:r>
    </w:p>
    <w:p w:rsidR="00F5033D" w:rsidRPr="007001A1" w:rsidRDefault="00F5033D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Pr="007001A1" w:rsidRDefault="00F5033D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001A1">
        <w:rPr>
          <w:rFonts w:ascii="Arial" w:hAnsi="Arial" w:cs="Arial"/>
          <w:i/>
          <w:szCs w:val="20"/>
        </w:rPr>
        <w:t>§ 1º - Considera-se loteamento a subdivisão de gleba em lotes destinados a edificação, com abertura de novas vias de circulação, de logradouros públicos ou prolongamento, modificação ou ampliação das vias existentes.</w:t>
      </w:r>
    </w:p>
    <w:p w:rsidR="00F5033D" w:rsidRPr="007001A1" w:rsidRDefault="00F5033D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Default="00F5033D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001A1">
        <w:rPr>
          <w:rFonts w:ascii="Arial" w:hAnsi="Arial" w:cs="Arial"/>
          <w:i/>
          <w:szCs w:val="20"/>
        </w:rPr>
        <w:t>§ 2º- considera-se desmembramento a subdivisão de gleba em lotes destinados a edificação, com aproveitamento do sistema viário existente, desde que não implique na abertura de novas vias e logradouros públicos, nem no prolongamento, modificação ou ampliação dos já existentes.</w:t>
      </w:r>
    </w:p>
    <w:p w:rsidR="006364FA" w:rsidRPr="007001A1" w:rsidRDefault="006364FA" w:rsidP="00940855">
      <w:pPr>
        <w:pStyle w:val="PargrafodaLista"/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Em síntese, tem-se loteamento e não desmembramento sempre que a subdivisão do terreno demandar uma alteração no plano viário</w:t>
      </w:r>
      <w:proofErr w:type="gramStart"/>
      <w:r>
        <w:rPr>
          <w:rFonts w:ascii="Arial" w:hAnsi="Arial" w:cs="Arial"/>
          <w:sz w:val="24"/>
          <w:szCs w:val="20"/>
        </w:rPr>
        <w:t>, seja</w:t>
      </w:r>
      <w:proofErr w:type="gramEnd"/>
      <w:r>
        <w:rPr>
          <w:rFonts w:ascii="Arial" w:hAnsi="Arial" w:cs="Arial"/>
          <w:sz w:val="24"/>
          <w:szCs w:val="20"/>
        </w:rPr>
        <w:t xml:space="preserve"> pelo prolongamento, modificação e/ou ampliação das vias já existentes. 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Ambos os institutos, loteamento e desmembramento, já </w:t>
      </w:r>
      <w:r w:rsidR="006364FA">
        <w:rPr>
          <w:rFonts w:ascii="Arial" w:hAnsi="Arial" w:cs="Arial"/>
          <w:sz w:val="24"/>
          <w:szCs w:val="20"/>
        </w:rPr>
        <w:t xml:space="preserve">se </w:t>
      </w:r>
      <w:r>
        <w:rPr>
          <w:rFonts w:ascii="Arial" w:hAnsi="Arial" w:cs="Arial"/>
          <w:sz w:val="24"/>
          <w:szCs w:val="20"/>
        </w:rPr>
        <w:t>encontravam previstos em diplomas legais anteriores, Decreto-Lei federal nº 58/37 e Decreto-Lei federal nº 271/67, respectivamente. Não compondo o escopo do presente</w:t>
      </w:r>
      <w:r w:rsidR="004A1002">
        <w:rPr>
          <w:rFonts w:ascii="Arial" w:hAnsi="Arial" w:cs="Arial"/>
          <w:sz w:val="24"/>
          <w:szCs w:val="20"/>
        </w:rPr>
        <w:t xml:space="preserve"> </w:t>
      </w:r>
      <w:r w:rsidR="009B53AD">
        <w:rPr>
          <w:rFonts w:ascii="Arial" w:hAnsi="Arial" w:cs="Arial"/>
          <w:sz w:val="24"/>
          <w:szCs w:val="20"/>
        </w:rPr>
        <w:t>artigo</w:t>
      </w:r>
      <w:r w:rsidR="004A1002">
        <w:rPr>
          <w:rFonts w:ascii="Arial" w:hAnsi="Arial" w:cs="Arial"/>
          <w:sz w:val="24"/>
          <w:szCs w:val="20"/>
        </w:rPr>
        <w:t xml:space="preserve"> o</w:t>
      </w:r>
      <w:r>
        <w:rPr>
          <w:rFonts w:ascii="Arial" w:hAnsi="Arial" w:cs="Arial"/>
          <w:sz w:val="24"/>
          <w:szCs w:val="20"/>
        </w:rPr>
        <w:t xml:space="preserve"> estudo </w:t>
      </w:r>
      <w:r w:rsidR="004A1002">
        <w:rPr>
          <w:rFonts w:ascii="Arial" w:hAnsi="Arial" w:cs="Arial"/>
          <w:sz w:val="24"/>
          <w:szCs w:val="20"/>
        </w:rPr>
        <w:t>d</w:t>
      </w:r>
      <w:r>
        <w:rPr>
          <w:rFonts w:ascii="Arial" w:hAnsi="Arial" w:cs="Arial"/>
          <w:sz w:val="24"/>
          <w:szCs w:val="20"/>
        </w:rPr>
        <w:t xml:space="preserve">o desmembramento, enquanto forma de </w:t>
      </w:r>
      <w:r>
        <w:rPr>
          <w:rFonts w:ascii="Arial" w:hAnsi="Arial" w:cs="Arial"/>
          <w:sz w:val="24"/>
          <w:szCs w:val="20"/>
        </w:rPr>
        <w:lastRenderedPageBreak/>
        <w:t>parcelamento de menor complexidade, passaremos as tratar exclusivamente do parcelamento de solo urbano realizado na forma de loteamento.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De acordo com o artigo 1º do referido Decreto-Lei nº58/37, sujeitam-se aos requisitos do loteamento “</w:t>
      </w:r>
      <w:r w:rsidRPr="00043B53">
        <w:rPr>
          <w:rFonts w:ascii="Arial" w:hAnsi="Arial" w:cs="Arial"/>
          <w:i/>
          <w:sz w:val="24"/>
          <w:szCs w:val="20"/>
        </w:rPr>
        <w:t xml:space="preserve">Os proprietários ou </w:t>
      </w:r>
      <w:proofErr w:type="spellStart"/>
      <w:proofErr w:type="gramStart"/>
      <w:r w:rsidRPr="00043B53">
        <w:rPr>
          <w:rFonts w:ascii="Arial" w:hAnsi="Arial" w:cs="Arial"/>
          <w:i/>
          <w:sz w:val="24"/>
          <w:szCs w:val="20"/>
        </w:rPr>
        <w:t>co-proprietários</w:t>
      </w:r>
      <w:proofErr w:type="spellEnd"/>
      <w:proofErr w:type="gramEnd"/>
      <w:r w:rsidRPr="00043B53">
        <w:rPr>
          <w:rFonts w:ascii="Arial" w:hAnsi="Arial" w:cs="Arial"/>
          <w:i/>
          <w:sz w:val="24"/>
          <w:szCs w:val="20"/>
        </w:rPr>
        <w:t xml:space="preserve"> de terras rurais ou terrenos urbanos, que pretendam vendê-los, divididos em lotes e por oferta pública, mediante pagamento do preço a prazo em prestações sucessivas e periódicas”</w:t>
      </w:r>
      <w:r>
        <w:rPr>
          <w:rFonts w:ascii="Arial" w:hAnsi="Arial" w:cs="Arial"/>
          <w:sz w:val="24"/>
          <w:szCs w:val="20"/>
        </w:rPr>
        <w:t xml:space="preserve">. Já a lei vigente, conforme elucida Arnaldo </w:t>
      </w:r>
      <w:proofErr w:type="spellStart"/>
      <w:r>
        <w:rPr>
          <w:rFonts w:ascii="Arial" w:hAnsi="Arial" w:cs="Arial"/>
          <w:sz w:val="24"/>
          <w:szCs w:val="20"/>
        </w:rPr>
        <w:t>Rizzardo</w:t>
      </w:r>
      <w:proofErr w:type="spellEnd"/>
      <w:r>
        <w:rPr>
          <w:rStyle w:val="Refdenotaderodap"/>
          <w:rFonts w:ascii="Arial" w:hAnsi="Arial" w:cs="Arial"/>
          <w:sz w:val="24"/>
          <w:szCs w:val="20"/>
        </w:rPr>
        <w:footnoteReference w:id="3"/>
      </w:r>
      <w:r>
        <w:rPr>
          <w:rFonts w:ascii="Arial" w:hAnsi="Arial" w:cs="Arial"/>
          <w:sz w:val="24"/>
          <w:szCs w:val="20"/>
        </w:rPr>
        <w:t xml:space="preserve">, parte de outro critério para conceituar os loteamentos, sem explicitar a forma de venda dos terrenos, mas conceituando-o como a operação que se utiliza de dados técnicos de agrimensura para dividir uma área em outras porções autônomas, com possibilidade de vida própria. 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Assim, observado a redação da Lei nº 6.766</w:t>
      </w:r>
      <w:r w:rsidR="004A1002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>, conceitua João Ba</w:t>
      </w:r>
      <w:r w:rsidR="00467848">
        <w:rPr>
          <w:rFonts w:ascii="Arial" w:hAnsi="Arial" w:cs="Arial"/>
          <w:sz w:val="24"/>
          <w:szCs w:val="20"/>
        </w:rPr>
        <w:t>p</w:t>
      </w:r>
      <w:r>
        <w:rPr>
          <w:rFonts w:ascii="Arial" w:hAnsi="Arial" w:cs="Arial"/>
          <w:sz w:val="24"/>
          <w:szCs w:val="20"/>
        </w:rPr>
        <w:t>tista Galhardo</w:t>
      </w:r>
      <w:r w:rsidR="00F9329A">
        <w:rPr>
          <w:rStyle w:val="Refdenotaderodap"/>
          <w:rFonts w:ascii="Arial" w:hAnsi="Arial" w:cs="Arial"/>
          <w:sz w:val="24"/>
          <w:szCs w:val="20"/>
        </w:rPr>
        <w:footnoteReference w:id="4"/>
      </w:r>
      <w:r>
        <w:rPr>
          <w:rFonts w:ascii="Arial" w:hAnsi="Arial" w:cs="Arial"/>
          <w:sz w:val="24"/>
          <w:szCs w:val="20"/>
        </w:rPr>
        <w:t xml:space="preserve">: </w:t>
      </w:r>
      <w:r w:rsidRPr="008333E5">
        <w:rPr>
          <w:rFonts w:ascii="Arial" w:hAnsi="Arial" w:cs="Arial"/>
          <w:i/>
          <w:sz w:val="24"/>
          <w:szCs w:val="20"/>
        </w:rPr>
        <w:t xml:space="preserve">“Considera-se lote o terreno servido de </w:t>
      </w:r>
      <w:proofErr w:type="spellStart"/>
      <w:proofErr w:type="gramStart"/>
      <w:r w:rsidRPr="008333E5">
        <w:rPr>
          <w:rFonts w:ascii="Arial" w:hAnsi="Arial" w:cs="Arial"/>
          <w:i/>
          <w:sz w:val="24"/>
          <w:szCs w:val="20"/>
        </w:rPr>
        <w:t>infra-estrutur</w:t>
      </w:r>
      <w:r>
        <w:rPr>
          <w:rFonts w:ascii="Arial" w:hAnsi="Arial" w:cs="Arial"/>
          <w:i/>
          <w:sz w:val="24"/>
          <w:szCs w:val="20"/>
        </w:rPr>
        <w:t>a</w:t>
      </w:r>
      <w:proofErr w:type="spellEnd"/>
      <w:proofErr w:type="gramEnd"/>
      <w:r>
        <w:rPr>
          <w:rFonts w:ascii="Arial" w:hAnsi="Arial" w:cs="Arial"/>
          <w:i/>
          <w:sz w:val="24"/>
          <w:szCs w:val="20"/>
        </w:rPr>
        <w:t xml:space="preserve"> básica cujas dimensões atendam aos índi</w:t>
      </w:r>
      <w:r w:rsidRPr="008333E5">
        <w:rPr>
          <w:rFonts w:ascii="Arial" w:hAnsi="Arial" w:cs="Arial"/>
          <w:i/>
          <w:sz w:val="24"/>
          <w:szCs w:val="20"/>
        </w:rPr>
        <w:t>ces urbanísticos definidos pelo plano diretor ou lei municipal para a zona em que se situa (art. 2º, § 4º, da Lei 6.766/79).”</w:t>
      </w:r>
    </w:p>
    <w:p w:rsidR="00F5033D" w:rsidRDefault="00F5033D" w:rsidP="006364F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Ainda, verifica-se que tanto o loteamento quanto o desmembramento pressupõem a destinação à edificação, de forma que resta evidente a finalidade de social de constituição de um novo núcleo urbano. Nesse sentido, leciona </w:t>
      </w:r>
      <w:proofErr w:type="spellStart"/>
      <w:r>
        <w:rPr>
          <w:rFonts w:ascii="Arial" w:hAnsi="Arial" w:cs="Arial"/>
          <w:sz w:val="24"/>
          <w:szCs w:val="20"/>
        </w:rPr>
        <w:t>Diogenes</w:t>
      </w:r>
      <w:proofErr w:type="spellEnd"/>
      <w:r>
        <w:rPr>
          <w:rFonts w:ascii="Arial" w:hAnsi="Arial" w:cs="Arial"/>
          <w:sz w:val="24"/>
          <w:szCs w:val="20"/>
        </w:rPr>
        <w:t xml:space="preserve"> Gasparini</w:t>
      </w:r>
      <w:r>
        <w:rPr>
          <w:rStyle w:val="Refdenotaderodap"/>
          <w:rFonts w:ascii="Arial" w:hAnsi="Arial" w:cs="Arial"/>
          <w:sz w:val="24"/>
          <w:szCs w:val="20"/>
        </w:rPr>
        <w:footnoteReference w:id="5"/>
      </w:r>
      <w:r>
        <w:rPr>
          <w:rFonts w:ascii="Arial" w:hAnsi="Arial" w:cs="Arial"/>
          <w:sz w:val="24"/>
          <w:szCs w:val="20"/>
        </w:rPr>
        <w:t>:</w:t>
      </w:r>
    </w:p>
    <w:p w:rsidR="006364FA" w:rsidRDefault="006364F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Pr="00B80F34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B80F34">
        <w:rPr>
          <w:rFonts w:ascii="Arial" w:hAnsi="Arial" w:cs="Arial"/>
          <w:i/>
          <w:szCs w:val="20"/>
        </w:rPr>
        <w:t xml:space="preserve">O resultado do parcelamento (lotes) há de ser destinado à edificação residencial, comercial ou industrial, ou, ainda, a uma função de lazer. O fim imediato do loteamento ou do desmembramento é a edificação ou o lazer. Loteia-se para edificar ou para recreação. Só assim o parcelamento </w:t>
      </w:r>
      <w:proofErr w:type="spellStart"/>
      <w:r w:rsidRPr="00B80F34">
        <w:rPr>
          <w:rFonts w:ascii="Arial" w:hAnsi="Arial" w:cs="Arial"/>
          <w:i/>
          <w:szCs w:val="20"/>
        </w:rPr>
        <w:t>subsume-se</w:t>
      </w:r>
      <w:proofErr w:type="spellEnd"/>
      <w:r w:rsidRPr="00B80F34">
        <w:rPr>
          <w:rFonts w:ascii="Arial" w:hAnsi="Arial" w:cs="Arial"/>
          <w:i/>
          <w:szCs w:val="20"/>
        </w:rPr>
        <w:t xml:space="preserve"> à Lei n. 6.766. Se não for para edificação ou </w:t>
      </w:r>
      <w:r w:rsidRPr="00B80F34">
        <w:rPr>
          <w:rFonts w:ascii="Arial" w:hAnsi="Arial" w:cs="Arial"/>
          <w:i/>
          <w:szCs w:val="20"/>
        </w:rPr>
        <w:lastRenderedPageBreak/>
        <w:t>lazer, não se trata do loteamento por ela acolhido e disciplinado. Não se desconhece que qualquer área no futuro poderá ser edificada, notadamente se estiver em zona urbana. Mas isto não significa que o parcelamento sempre tenha p</w:t>
      </w:r>
      <w:r w:rsidR="004A1002">
        <w:rPr>
          <w:rFonts w:ascii="Arial" w:hAnsi="Arial" w:cs="Arial"/>
          <w:i/>
          <w:szCs w:val="20"/>
        </w:rPr>
        <w:t>or escopo a edificação. Parcela-</w:t>
      </w:r>
      <w:r w:rsidRPr="00B80F34">
        <w:rPr>
          <w:rFonts w:ascii="Arial" w:hAnsi="Arial" w:cs="Arial"/>
          <w:i/>
          <w:szCs w:val="20"/>
        </w:rPr>
        <w:t>se para fins rurais, ou para desfazer situação condominial, ou para atribuir a cada herdeiro sua cota certa e determinada. Nessas hipóteses, embora a área resultante do parcelamento possa vir a ser edificada posteriormente, a divisão não se constitui num loteamento ou desmembramento nos termos da nova Lei.</w:t>
      </w:r>
    </w:p>
    <w:p w:rsidR="00F5033D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B80F34">
        <w:rPr>
          <w:rFonts w:ascii="Arial" w:hAnsi="Arial" w:cs="Arial"/>
          <w:i/>
          <w:szCs w:val="20"/>
        </w:rPr>
        <w:t>Isto não é tudo. As edificações hão de se constituir em um novo núcleo (residencial, comercial, industrial ou de lazer). O parcelamento há de caracterizar, inequivocamente, um novo aglomerado, assim qualificada. Não basta, portanto, que os lotes sejam destinados à edificação. Pode-se ter edificação sem se ter, juridicamente, um loteamento, como é o caso dos condomínios, regulados pelo art. 8º da Lei federal n. 4.591/64.</w:t>
      </w:r>
    </w:p>
    <w:p w:rsidR="006364FA" w:rsidRDefault="006364FA" w:rsidP="00201E3A">
      <w:pPr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</w:p>
    <w:p w:rsidR="006364FA" w:rsidRDefault="006364FA" w:rsidP="00201E3A">
      <w:pPr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</w:p>
    <w:p w:rsidR="00F5033D" w:rsidRDefault="00201E3A" w:rsidP="00467848">
      <w:pPr>
        <w:pStyle w:val="Ttulo2"/>
        <w:spacing w:line="360" w:lineRule="auto"/>
        <w:jc w:val="both"/>
      </w:pPr>
      <w:bookmarkStart w:id="6" w:name="_Toc367691730"/>
      <w:r>
        <w:t>1.</w:t>
      </w:r>
      <w:r w:rsidR="00467848">
        <w:t>3</w:t>
      </w:r>
      <w:r w:rsidR="00467848">
        <w:tab/>
      </w:r>
      <w:r w:rsidR="00F5033D" w:rsidRPr="008333E5">
        <w:t>Requisitos urbanísticos</w:t>
      </w:r>
      <w:r w:rsidR="00F5033D">
        <w:t xml:space="preserve"> e transferência de áreas à Municipalidade</w:t>
      </w:r>
      <w:bookmarkEnd w:id="6"/>
    </w:p>
    <w:p w:rsidR="00467848" w:rsidRDefault="00467848" w:rsidP="00467848"/>
    <w:p w:rsidR="00467848" w:rsidRPr="00467848" w:rsidRDefault="00467848" w:rsidP="00467848"/>
    <w:p w:rsidR="00F5033D" w:rsidRDefault="00F5033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Sendo o parcelamento do solo urbano, e por consequência o loteamento, mecanismo para acomodação do crescimento populacional e para constituição de novos núcleos urbanos, a legislação tem o dever de tutelar o direito da população que lá será inserida</w:t>
      </w:r>
      <w:r w:rsidR="004A1002">
        <w:rPr>
          <w:rFonts w:ascii="Arial" w:hAnsi="Arial" w:cs="Arial"/>
          <w:sz w:val="24"/>
          <w:szCs w:val="20"/>
        </w:rPr>
        <w:t xml:space="preserve"> a fim de assegurar</w:t>
      </w:r>
      <w:r>
        <w:rPr>
          <w:rFonts w:ascii="Arial" w:hAnsi="Arial" w:cs="Arial"/>
          <w:sz w:val="24"/>
          <w:szCs w:val="20"/>
        </w:rPr>
        <w:t xml:space="preserve"> certos requisitos urbanísticos primordiais, proporcionais à densidade de ocupação prevista. Desta feita, são </w:t>
      </w:r>
      <w:r w:rsidR="004A1002">
        <w:rPr>
          <w:rFonts w:ascii="Arial" w:hAnsi="Arial" w:cs="Arial"/>
          <w:sz w:val="24"/>
          <w:szCs w:val="20"/>
        </w:rPr>
        <w:t xml:space="preserve">elencados </w:t>
      </w:r>
      <w:r>
        <w:rPr>
          <w:rFonts w:ascii="Arial" w:hAnsi="Arial" w:cs="Arial"/>
          <w:sz w:val="24"/>
          <w:szCs w:val="20"/>
        </w:rPr>
        <w:t xml:space="preserve">os requisitos </w:t>
      </w:r>
      <w:r w:rsidR="004A1002">
        <w:rPr>
          <w:rFonts w:ascii="Arial" w:hAnsi="Arial" w:cs="Arial"/>
          <w:sz w:val="24"/>
          <w:szCs w:val="20"/>
        </w:rPr>
        <w:t xml:space="preserve">do loteamento </w:t>
      </w:r>
      <w:r>
        <w:rPr>
          <w:rFonts w:ascii="Arial" w:hAnsi="Arial" w:cs="Arial"/>
          <w:sz w:val="24"/>
          <w:szCs w:val="20"/>
        </w:rPr>
        <w:t>nos artigos 4º e 5º da Lei nº 6.766</w:t>
      </w:r>
      <w:r w:rsidR="00201E3A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>:</w:t>
      </w: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>Art. 4º. Os loteamentos deverão atender, pelo menos, aos seguintes requisitos: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 xml:space="preserve">I - as áreas destinadas a sistemas de circulação, a implantação de equipamento urbano e comunitário, bem como a espaços livres de uso público, serão proporcionais à </w:t>
      </w:r>
      <w:r w:rsidRPr="003663F1">
        <w:rPr>
          <w:rFonts w:ascii="Arial" w:hAnsi="Arial" w:cs="Arial"/>
          <w:i/>
          <w:szCs w:val="20"/>
        </w:rPr>
        <w:lastRenderedPageBreak/>
        <w:t xml:space="preserve">densidade de ocupação prevista pelo plano diretor ou aprovada por lei municipal para a zona em que se situem. 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>II - os lotes terão área mínima de 125m</w:t>
      </w:r>
      <w:proofErr w:type="gramStart"/>
      <w:r w:rsidRPr="003663F1">
        <w:rPr>
          <w:rFonts w:ascii="Arial" w:hAnsi="Arial" w:cs="Arial"/>
          <w:i/>
          <w:szCs w:val="20"/>
        </w:rPr>
        <w:t>²</w:t>
      </w:r>
      <w:proofErr w:type="gramEnd"/>
      <w:r w:rsidRPr="003663F1">
        <w:rPr>
          <w:rFonts w:ascii="Arial" w:hAnsi="Arial" w:cs="Arial"/>
          <w:i/>
          <w:szCs w:val="20"/>
        </w:rPr>
        <w:t xml:space="preserve"> (cento e vinte e cinco metros quadrados) e frente mínima de 5 (cinco) metros, salvo quando o loteamento se destinar a urbanização específica ou edificação de conjuntos habitacionais de interesse social, previamente aprovados pel</w:t>
      </w:r>
      <w:r>
        <w:rPr>
          <w:rFonts w:ascii="Arial" w:hAnsi="Arial" w:cs="Arial"/>
          <w:i/>
          <w:szCs w:val="20"/>
        </w:rPr>
        <w:t>os órgãos públicos competentes;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 xml:space="preserve">III - ao longo das águas correntes e dormentes e das faixas de domínio público das rodovias e ferrovias, será obrigatória a reserva de uma faixa não-edificável de 15 (quinze) metros de cada lado, salvo maiores exigências da legislação específica; 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 xml:space="preserve">IV - as vias de loteamento </w:t>
      </w:r>
      <w:proofErr w:type="gramStart"/>
      <w:r w:rsidRPr="003663F1">
        <w:rPr>
          <w:rFonts w:ascii="Arial" w:hAnsi="Arial" w:cs="Arial"/>
          <w:i/>
          <w:szCs w:val="20"/>
        </w:rPr>
        <w:t>deverão</w:t>
      </w:r>
      <w:proofErr w:type="gramEnd"/>
      <w:r w:rsidRPr="003663F1">
        <w:rPr>
          <w:rFonts w:ascii="Arial" w:hAnsi="Arial" w:cs="Arial"/>
          <w:i/>
          <w:szCs w:val="20"/>
        </w:rPr>
        <w:t xml:space="preserve"> articular-se com as vias adjacentes oficiais, existentes ou projetadas, e harmonizar-se com a topografia local.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§ 1º -</w:t>
      </w:r>
      <w:r w:rsidRPr="003663F1">
        <w:rPr>
          <w:rFonts w:ascii="Arial" w:hAnsi="Arial" w:cs="Arial"/>
          <w:i/>
          <w:szCs w:val="20"/>
        </w:rPr>
        <w:t xml:space="preserve"> A legislação municipal definirá, para cada zona em que se divida o território do Município, os usos permitidos e os índices urbanísticos de parcelamento e ocupação do solo, que incluirão, obrigatoriamente, as áreas mínimas e máximas de lotes e os coeficientes máximos de aproveitamento. (Redação d</w:t>
      </w:r>
      <w:r>
        <w:rPr>
          <w:rFonts w:ascii="Arial" w:hAnsi="Arial" w:cs="Arial"/>
          <w:i/>
          <w:szCs w:val="20"/>
        </w:rPr>
        <w:t xml:space="preserve">ada pela Lei nº 9.785, de </w:t>
      </w:r>
      <w:proofErr w:type="gramStart"/>
      <w:r>
        <w:rPr>
          <w:rFonts w:ascii="Arial" w:hAnsi="Arial" w:cs="Arial"/>
          <w:i/>
          <w:szCs w:val="20"/>
        </w:rPr>
        <w:t>1999)</w:t>
      </w:r>
      <w:proofErr w:type="gramEnd"/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>§ 2º - Consideram-se comunitários os equipamentos públicos de educação, cul</w:t>
      </w:r>
      <w:r>
        <w:rPr>
          <w:rFonts w:ascii="Arial" w:hAnsi="Arial" w:cs="Arial"/>
          <w:i/>
          <w:szCs w:val="20"/>
        </w:rPr>
        <w:t>tura, saúde, lazer e similares.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§ 3º -</w:t>
      </w:r>
      <w:r w:rsidRPr="003663F1">
        <w:rPr>
          <w:rFonts w:ascii="Arial" w:hAnsi="Arial" w:cs="Arial"/>
          <w:i/>
          <w:szCs w:val="20"/>
        </w:rPr>
        <w:t xml:space="preserve"> Se necessária, a reserva de faixa não-edificável vinculada a </w:t>
      </w:r>
      <w:proofErr w:type="spellStart"/>
      <w:r w:rsidRPr="003663F1">
        <w:rPr>
          <w:rFonts w:ascii="Arial" w:hAnsi="Arial" w:cs="Arial"/>
          <w:i/>
          <w:szCs w:val="20"/>
        </w:rPr>
        <w:t>dutovias</w:t>
      </w:r>
      <w:proofErr w:type="spellEnd"/>
      <w:r w:rsidRPr="003663F1">
        <w:rPr>
          <w:rFonts w:ascii="Arial" w:hAnsi="Arial" w:cs="Arial"/>
          <w:i/>
          <w:szCs w:val="20"/>
        </w:rPr>
        <w:t xml:space="preserve"> será exigida no âmbito do respectivo licenciamento ambiental, observados critérios e parâmetros que garantam a segurança da população e a proteção do meio ambiente, conforme estabelecido nas normas técnicas pertinentes.</w:t>
      </w:r>
    </w:p>
    <w:p w:rsidR="00F5033D" w:rsidRPr="003663F1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 xml:space="preserve">Art. 5º. O Poder Público competente poderá complementarmente exigir, em cada loteamento, a reserva de faixa non </w:t>
      </w:r>
      <w:proofErr w:type="spellStart"/>
      <w:r w:rsidRPr="003663F1">
        <w:rPr>
          <w:rFonts w:ascii="Arial" w:hAnsi="Arial" w:cs="Arial"/>
          <w:i/>
          <w:szCs w:val="20"/>
        </w:rPr>
        <w:t>aedificandi</w:t>
      </w:r>
      <w:proofErr w:type="spellEnd"/>
      <w:r w:rsidRPr="003663F1">
        <w:rPr>
          <w:rFonts w:ascii="Arial" w:hAnsi="Arial" w:cs="Arial"/>
          <w:i/>
          <w:szCs w:val="20"/>
        </w:rPr>
        <w:t xml:space="preserve"> destinada a equipamentos urbanos.</w:t>
      </w:r>
    </w:p>
    <w:p w:rsidR="00F5033D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3663F1">
        <w:rPr>
          <w:rFonts w:ascii="Arial" w:hAnsi="Arial" w:cs="Arial"/>
          <w:i/>
          <w:szCs w:val="20"/>
        </w:rPr>
        <w:t xml:space="preserve">Parágrafo único - Consideram-se urbanos os equipamentos públicos de abastecimento de água, serviços de </w:t>
      </w:r>
      <w:proofErr w:type="spellStart"/>
      <w:r w:rsidRPr="003663F1">
        <w:rPr>
          <w:rFonts w:ascii="Arial" w:hAnsi="Arial" w:cs="Arial"/>
          <w:i/>
          <w:szCs w:val="20"/>
        </w:rPr>
        <w:t>esgostos</w:t>
      </w:r>
      <w:proofErr w:type="spellEnd"/>
      <w:r w:rsidRPr="003663F1">
        <w:rPr>
          <w:rFonts w:ascii="Arial" w:hAnsi="Arial" w:cs="Arial"/>
          <w:i/>
          <w:szCs w:val="20"/>
        </w:rPr>
        <w:t>, energia elétrica, coletas de águas pluviais, rede telefônica e gás canalizado.</w:t>
      </w:r>
    </w:p>
    <w:p w:rsidR="00467848" w:rsidRDefault="00467848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Pr="00E61702" w:rsidRDefault="00F5033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Válido ressaltar que o estabelecimento de critérios urbanísticos no cerne de uma legislação federal é bastante discutido, </w:t>
      </w:r>
      <w:proofErr w:type="gramStart"/>
      <w:r>
        <w:rPr>
          <w:rFonts w:ascii="Arial" w:hAnsi="Arial" w:cs="Arial"/>
          <w:sz w:val="24"/>
          <w:szCs w:val="20"/>
        </w:rPr>
        <w:t>a</w:t>
      </w:r>
      <w:proofErr w:type="gramEnd"/>
      <w:r>
        <w:rPr>
          <w:rFonts w:ascii="Arial" w:hAnsi="Arial" w:cs="Arial"/>
          <w:sz w:val="24"/>
          <w:szCs w:val="20"/>
        </w:rPr>
        <w:t xml:space="preserve"> medida que, nos termos do artigo XXX da Constituição Federal, cumpre aos  Municípios </w:t>
      </w:r>
      <w:r>
        <w:rPr>
          <w:rFonts w:ascii="Arial" w:hAnsi="Arial" w:cs="Arial"/>
          <w:sz w:val="24"/>
          <w:szCs w:val="20"/>
        </w:rPr>
        <w:lastRenderedPageBreak/>
        <w:t xml:space="preserve">legislar sobre questões urbanísticas. Todavia, tal discussão pôde ser mitigada com o advento da Lei nº 9.785 de 20 de janeiro de 1999, que estabeleceu, dentre outras importantes alterações, que cumprirá ao Município estabelecer, por meio de lei própria, os usos permitidos e </w:t>
      </w:r>
      <w:r w:rsidR="004A1002">
        <w:rPr>
          <w:rFonts w:ascii="Arial" w:hAnsi="Arial" w:cs="Arial"/>
          <w:sz w:val="24"/>
          <w:szCs w:val="20"/>
        </w:rPr>
        <w:t>o</w:t>
      </w:r>
      <w:r>
        <w:rPr>
          <w:rFonts w:ascii="Arial" w:hAnsi="Arial" w:cs="Arial"/>
          <w:sz w:val="24"/>
          <w:szCs w:val="20"/>
        </w:rPr>
        <w:t>s índices urbanísticos de parcelamento e ocupação do solo, na fora do §1º ao artigo 4º da Lei nº 6.766</w:t>
      </w:r>
      <w:r w:rsidR="00467848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 xml:space="preserve">. </w:t>
      </w:r>
    </w:p>
    <w:p w:rsidR="00F5033D" w:rsidRDefault="00F5033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Tem-se que para a concretização de tais requisitos, deve ser desempenhado pelo loteador papel tipicamente exercido pela Municipalidade no estabelecimento de áreas públicas e serviços de infraestrutura, ainda que essa determinação ocorra com a anuência do respectivo Munícipio ao aprovar o projeto de loteamento. Contudo, tais realizações do loteador não permanecem, via de regra, sob sua responsabilidade </w:t>
      </w:r>
      <w:r w:rsidR="004A1002">
        <w:rPr>
          <w:rFonts w:ascii="Arial" w:hAnsi="Arial" w:cs="Arial"/>
          <w:sz w:val="24"/>
          <w:szCs w:val="20"/>
        </w:rPr>
        <w:t xml:space="preserve">e competência após a conclusão das obras, sendo </w:t>
      </w:r>
      <w:proofErr w:type="gramStart"/>
      <w:r w:rsidR="004A1002">
        <w:rPr>
          <w:rFonts w:ascii="Arial" w:hAnsi="Arial" w:cs="Arial"/>
          <w:sz w:val="24"/>
          <w:szCs w:val="20"/>
        </w:rPr>
        <w:t>transferida</w:t>
      </w:r>
      <w:r>
        <w:rPr>
          <w:rFonts w:ascii="Arial" w:hAnsi="Arial" w:cs="Arial"/>
          <w:sz w:val="24"/>
          <w:szCs w:val="20"/>
        </w:rPr>
        <w:t>s a Municipalidade</w:t>
      </w:r>
      <w:proofErr w:type="gramEnd"/>
      <w:r>
        <w:rPr>
          <w:rFonts w:ascii="Arial" w:hAnsi="Arial" w:cs="Arial"/>
          <w:sz w:val="24"/>
          <w:szCs w:val="20"/>
        </w:rPr>
        <w:t xml:space="preserve"> para que esta busque sua manutenção.</w:t>
      </w:r>
    </w:p>
    <w:p w:rsidR="00F5033D" w:rsidRDefault="00F5033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Nesse sentido, dispõe João Ba</w:t>
      </w:r>
      <w:r w:rsidR="004A1002">
        <w:rPr>
          <w:rFonts w:ascii="Arial" w:hAnsi="Arial" w:cs="Arial"/>
          <w:sz w:val="24"/>
          <w:szCs w:val="20"/>
        </w:rPr>
        <w:t>p</w:t>
      </w:r>
      <w:r>
        <w:rPr>
          <w:rFonts w:ascii="Arial" w:hAnsi="Arial" w:cs="Arial"/>
          <w:sz w:val="24"/>
          <w:szCs w:val="20"/>
        </w:rPr>
        <w:t>tista Galhardo</w:t>
      </w:r>
      <w:r>
        <w:rPr>
          <w:rStyle w:val="Refdenotaderodap"/>
          <w:rFonts w:ascii="Arial" w:hAnsi="Arial" w:cs="Arial"/>
          <w:sz w:val="24"/>
          <w:szCs w:val="20"/>
        </w:rPr>
        <w:footnoteReference w:id="6"/>
      </w:r>
      <w:r>
        <w:rPr>
          <w:rFonts w:ascii="Arial" w:hAnsi="Arial" w:cs="Arial"/>
          <w:sz w:val="24"/>
          <w:szCs w:val="20"/>
        </w:rPr>
        <w:t>:</w:t>
      </w: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F5033D" w:rsidRDefault="00F5033D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57639A">
        <w:rPr>
          <w:rFonts w:ascii="Arial" w:hAnsi="Arial" w:cs="Arial"/>
          <w:i/>
          <w:szCs w:val="20"/>
        </w:rPr>
        <w:t xml:space="preserve">Os espaços livres de uso comum, as vias e praças destinadas a edifícios públicos e outros equipamentos urbanos, constantes do projeto e do memorial descritivo, não poderão ter sua destinação alterada pelo loteador, desde a aprovação do loteamento, salvo as hipóteses de caducidade ou desistência do loteador, sendo, neste caso, observadas as exigências do art. 23[p.499] (art. 17 [p.495]). E desde a data do registro do loteamento passam – </w:t>
      </w:r>
      <w:proofErr w:type="spellStart"/>
      <w:r w:rsidRPr="0057639A">
        <w:rPr>
          <w:rFonts w:ascii="Arial" w:hAnsi="Arial" w:cs="Arial"/>
          <w:i/>
          <w:szCs w:val="20"/>
        </w:rPr>
        <w:t>ex</w:t>
      </w:r>
      <w:proofErr w:type="spellEnd"/>
      <w:r w:rsidRPr="0057639A">
        <w:rPr>
          <w:rFonts w:ascii="Arial" w:hAnsi="Arial" w:cs="Arial"/>
          <w:i/>
          <w:szCs w:val="20"/>
        </w:rPr>
        <w:t xml:space="preserve"> vi legis – a integrar o domínio do Município (art. 22 [p. 499]). A Constituição do Estado de São Paulo</w:t>
      </w:r>
      <w:proofErr w:type="gramStart"/>
      <w:r w:rsidRPr="0057639A">
        <w:rPr>
          <w:rFonts w:ascii="Arial" w:hAnsi="Arial" w:cs="Arial"/>
          <w:i/>
          <w:szCs w:val="20"/>
        </w:rPr>
        <w:t xml:space="preserve">  </w:t>
      </w:r>
      <w:proofErr w:type="gramEnd"/>
      <w:r w:rsidRPr="0057639A">
        <w:rPr>
          <w:rFonts w:ascii="Arial" w:hAnsi="Arial" w:cs="Arial"/>
          <w:i/>
          <w:szCs w:val="20"/>
        </w:rPr>
        <w:t>(art. 180, VII [p. 463]) não per</w:t>
      </w:r>
      <w:r w:rsidR="004A1002">
        <w:rPr>
          <w:rFonts w:ascii="Arial" w:hAnsi="Arial" w:cs="Arial"/>
          <w:i/>
          <w:szCs w:val="20"/>
        </w:rPr>
        <w:t>m</w:t>
      </w:r>
      <w:r w:rsidRPr="0057639A">
        <w:rPr>
          <w:rFonts w:ascii="Arial" w:hAnsi="Arial" w:cs="Arial"/>
          <w:i/>
          <w:szCs w:val="20"/>
        </w:rPr>
        <w:t>ite que as áreas definidas em projeto de loteamento, como áreas verdes ou institucionais, tenham em qualquer hipótese, sua destinação, fim e objetivos originariamente estabelecidos, alterados.</w:t>
      </w:r>
    </w:p>
    <w:p w:rsidR="00467848" w:rsidRPr="0057639A" w:rsidRDefault="00467848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4A1002" w:rsidRDefault="00F5033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Em acréscimos aos requisitos urbanísticos previstos na legislação e na lei municipal, conforme aplicável, os loteamentos urbanos sujeitam-se </w:t>
      </w:r>
      <w:r>
        <w:rPr>
          <w:rFonts w:ascii="Arial" w:hAnsi="Arial" w:cs="Arial"/>
          <w:sz w:val="24"/>
          <w:szCs w:val="20"/>
        </w:rPr>
        <w:lastRenderedPageBreak/>
        <w:t>ainda a restrições urbanísticas convencionais, que constarão do memorial descritivo ou do ato de aprovação do loteamento, bem como do contrato-padrão de alienação dos lotes indicado no inciso VI do artigo 18</w:t>
      </w:r>
      <w:r w:rsidR="004A1002">
        <w:rPr>
          <w:rFonts w:ascii="Arial" w:hAnsi="Arial" w:cs="Arial"/>
          <w:sz w:val="24"/>
          <w:szCs w:val="20"/>
        </w:rPr>
        <w:t xml:space="preserve"> da Lei nº 6.766/79</w:t>
      </w:r>
      <w:r>
        <w:rPr>
          <w:rFonts w:ascii="Arial" w:hAnsi="Arial" w:cs="Arial"/>
          <w:sz w:val="24"/>
          <w:szCs w:val="20"/>
        </w:rPr>
        <w:t xml:space="preserve">. É facultado ao loteador estabelecer contratualmente restrições </w:t>
      </w:r>
      <w:proofErr w:type="gramStart"/>
      <w:r>
        <w:rPr>
          <w:rFonts w:ascii="Arial" w:hAnsi="Arial" w:cs="Arial"/>
          <w:sz w:val="24"/>
          <w:szCs w:val="20"/>
        </w:rPr>
        <w:t>a</w:t>
      </w:r>
      <w:proofErr w:type="gramEnd"/>
      <w:r>
        <w:rPr>
          <w:rFonts w:ascii="Arial" w:hAnsi="Arial" w:cs="Arial"/>
          <w:sz w:val="24"/>
          <w:szCs w:val="20"/>
        </w:rPr>
        <w:t xml:space="preserve"> construção e destinação da área dos lotes, tais como sua destinação residencial ou certo padrão arquitetônico, sendo que, tal qual os restrições urbanísticas legais, a restrições convencionais devem ser observadas e são tuteladas pelo artigo 45 da Lei nº 6.766</w:t>
      </w:r>
      <w:r w:rsidR="004A1002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 xml:space="preserve">, na forma que segue: </w:t>
      </w:r>
      <w:r w:rsidRPr="002A7B37">
        <w:rPr>
          <w:rFonts w:ascii="Arial" w:hAnsi="Arial" w:cs="Arial"/>
          <w:i/>
          <w:sz w:val="24"/>
          <w:szCs w:val="20"/>
        </w:rPr>
        <w:t>“O loteador, ainda que já tenha vendido todos os lotes, ou os vizinhos, são partes legítimas para promover ação destinada a impedir construção em desacordo com restrições legais ou contratuais.”</w:t>
      </w:r>
      <w:r>
        <w:rPr>
          <w:rFonts w:ascii="Arial" w:hAnsi="Arial" w:cs="Arial"/>
          <w:i/>
          <w:sz w:val="24"/>
          <w:szCs w:val="20"/>
        </w:rPr>
        <w:t xml:space="preserve"> </w:t>
      </w:r>
    </w:p>
    <w:p w:rsidR="00F5033D" w:rsidRDefault="00F5033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Sendo que compõe o escopo deste trabalho apenas a discussão das especificidades de uma modalidade atípica de loteamento, os loteamentos fechados, o estudo do loteamento urbano</w:t>
      </w:r>
      <w:r w:rsidR="004A1002">
        <w:rPr>
          <w:rFonts w:ascii="Arial" w:hAnsi="Arial" w:cs="Arial"/>
          <w:sz w:val="24"/>
          <w:szCs w:val="20"/>
        </w:rPr>
        <w:t xml:space="preserve"> tradicional</w:t>
      </w:r>
      <w:r>
        <w:rPr>
          <w:rFonts w:ascii="Arial" w:hAnsi="Arial" w:cs="Arial"/>
          <w:sz w:val="24"/>
          <w:szCs w:val="20"/>
        </w:rPr>
        <w:t xml:space="preserve"> será amplo e teórico e terá maior detalhamento apenas à medida que certos pontos servirão de comparação às particularidades </w:t>
      </w:r>
      <w:r w:rsidR="004A1002">
        <w:rPr>
          <w:rFonts w:ascii="Arial" w:hAnsi="Arial" w:cs="Arial"/>
          <w:sz w:val="24"/>
          <w:szCs w:val="20"/>
        </w:rPr>
        <w:t>dos referidos</w:t>
      </w:r>
      <w:r>
        <w:rPr>
          <w:rFonts w:ascii="Arial" w:hAnsi="Arial" w:cs="Arial"/>
          <w:sz w:val="24"/>
          <w:szCs w:val="20"/>
        </w:rPr>
        <w:t xml:space="preserve"> loteamentos fechados. Assim, importante destacar que não cumpre ao presente estudo debruçar-se sobre a vastidão dos aspectos práticos dos loteamentos urbanos, qual sejam, a elaboração dos projetos de loteamento e aprovação junto ao Município, seu registro em Ofício de Registro de Imóveis, a forma de alienação dos lotes, dentre outros. </w:t>
      </w:r>
      <w:r w:rsidR="004A1002">
        <w:rPr>
          <w:rFonts w:ascii="Arial" w:hAnsi="Arial" w:cs="Arial"/>
          <w:sz w:val="24"/>
          <w:szCs w:val="20"/>
        </w:rPr>
        <w:t>Diante do exposto</w:t>
      </w:r>
      <w:r>
        <w:rPr>
          <w:rFonts w:ascii="Arial" w:hAnsi="Arial" w:cs="Arial"/>
          <w:sz w:val="24"/>
          <w:szCs w:val="20"/>
        </w:rPr>
        <w:t xml:space="preserve">, e já satisfatoriamente apresentado </w:t>
      </w:r>
      <w:proofErr w:type="gramStart"/>
      <w:r w:rsidR="00BF1894">
        <w:rPr>
          <w:rFonts w:ascii="Arial" w:hAnsi="Arial" w:cs="Arial"/>
          <w:sz w:val="24"/>
          <w:szCs w:val="20"/>
        </w:rPr>
        <w:t>as</w:t>
      </w:r>
      <w:proofErr w:type="gramEnd"/>
      <w:r w:rsidR="00BF1894">
        <w:rPr>
          <w:rFonts w:ascii="Arial" w:hAnsi="Arial" w:cs="Arial"/>
          <w:sz w:val="24"/>
          <w:szCs w:val="20"/>
        </w:rPr>
        <w:t xml:space="preserve"> características gerais d</w:t>
      </w:r>
      <w:r>
        <w:rPr>
          <w:rFonts w:ascii="Arial" w:hAnsi="Arial" w:cs="Arial"/>
          <w:sz w:val="24"/>
          <w:szCs w:val="20"/>
        </w:rPr>
        <w:t>o instituto disciplinado pela Lei nº 6.766</w:t>
      </w:r>
      <w:r w:rsidR="00BF1894">
        <w:rPr>
          <w:rFonts w:ascii="Arial" w:hAnsi="Arial" w:cs="Arial"/>
          <w:sz w:val="24"/>
          <w:szCs w:val="20"/>
        </w:rPr>
        <w:t>/79</w:t>
      </w:r>
      <w:r>
        <w:rPr>
          <w:rFonts w:ascii="Arial" w:hAnsi="Arial" w:cs="Arial"/>
          <w:sz w:val="24"/>
          <w:szCs w:val="20"/>
        </w:rPr>
        <w:t xml:space="preserve">, passa-se ao estudo </w:t>
      </w:r>
      <w:r w:rsidR="00BF1894">
        <w:rPr>
          <w:rFonts w:ascii="Arial" w:hAnsi="Arial" w:cs="Arial"/>
          <w:sz w:val="24"/>
          <w:szCs w:val="20"/>
        </w:rPr>
        <w:t>da modalidade dos loteamentos fechados.</w:t>
      </w:r>
    </w:p>
    <w:p w:rsidR="003A595A" w:rsidRDefault="003A595A" w:rsidP="003A595A">
      <w:pPr>
        <w:pStyle w:val="Ttulo2"/>
        <w:spacing w:line="360" w:lineRule="auto"/>
        <w:jc w:val="both"/>
      </w:pPr>
    </w:p>
    <w:p w:rsidR="003A595A" w:rsidRDefault="003A595A" w:rsidP="003A595A">
      <w:pPr>
        <w:pStyle w:val="Ttulo2"/>
        <w:spacing w:line="360" w:lineRule="auto"/>
        <w:jc w:val="both"/>
      </w:pPr>
    </w:p>
    <w:p w:rsidR="00DD3909" w:rsidRDefault="00201E3A" w:rsidP="003A595A">
      <w:pPr>
        <w:pStyle w:val="Ttulo2"/>
        <w:spacing w:line="360" w:lineRule="auto"/>
        <w:jc w:val="both"/>
      </w:pPr>
      <w:bookmarkStart w:id="7" w:name="_Toc367691731"/>
      <w:proofErr w:type="gramStart"/>
      <w:r>
        <w:t xml:space="preserve">1.4 </w:t>
      </w:r>
      <w:r w:rsidR="00DD3909" w:rsidRPr="00DD3909">
        <w:t>Loteamento</w:t>
      </w:r>
      <w:proofErr w:type="gramEnd"/>
      <w:r w:rsidR="00DD3909" w:rsidRPr="00DD3909">
        <w:t xml:space="preserve"> Fechado</w:t>
      </w:r>
      <w:bookmarkEnd w:id="7"/>
    </w:p>
    <w:p w:rsidR="003A595A" w:rsidRDefault="003A595A" w:rsidP="003A595A"/>
    <w:p w:rsidR="003A595A" w:rsidRPr="003A595A" w:rsidRDefault="003A595A" w:rsidP="003A595A"/>
    <w:p w:rsidR="00BF1894" w:rsidRDefault="00BF1894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 xml:space="preserve">Em virtude do crescimento populacional e do consequente </w:t>
      </w:r>
      <w:r w:rsidR="00A05CCE">
        <w:rPr>
          <w:rFonts w:ascii="Arial" w:hAnsi="Arial" w:cs="Arial"/>
          <w:sz w:val="24"/>
          <w:szCs w:val="20"/>
        </w:rPr>
        <w:t>aumento dos</w:t>
      </w:r>
      <w:r>
        <w:rPr>
          <w:rFonts w:ascii="Arial" w:hAnsi="Arial" w:cs="Arial"/>
          <w:sz w:val="24"/>
          <w:szCs w:val="20"/>
        </w:rPr>
        <w:t xml:space="preserve"> problema</w:t>
      </w:r>
      <w:r w:rsidR="00A05CCE">
        <w:rPr>
          <w:rFonts w:ascii="Arial" w:hAnsi="Arial" w:cs="Arial"/>
          <w:sz w:val="24"/>
          <w:szCs w:val="20"/>
        </w:rPr>
        <w:t>s</w:t>
      </w:r>
      <w:r>
        <w:rPr>
          <w:rFonts w:ascii="Arial" w:hAnsi="Arial" w:cs="Arial"/>
          <w:sz w:val="24"/>
          <w:szCs w:val="20"/>
        </w:rPr>
        <w:t xml:space="preserve"> urbanos </w:t>
      </w:r>
      <w:r w:rsidR="004A1002">
        <w:rPr>
          <w:rFonts w:ascii="Arial" w:hAnsi="Arial" w:cs="Arial"/>
          <w:sz w:val="24"/>
          <w:szCs w:val="20"/>
        </w:rPr>
        <w:t xml:space="preserve">na prestação de </w:t>
      </w:r>
      <w:r>
        <w:rPr>
          <w:rFonts w:ascii="Arial" w:hAnsi="Arial" w:cs="Arial"/>
          <w:sz w:val="24"/>
          <w:szCs w:val="20"/>
        </w:rPr>
        <w:t>serviços básicos e segurança</w:t>
      </w:r>
      <w:r w:rsidR="004A1002">
        <w:rPr>
          <w:rFonts w:ascii="Arial" w:hAnsi="Arial" w:cs="Arial"/>
          <w:sz w:val="24"/>
          <w:szCs w:val="20"/>
        </w:rPr>
        <w:t xml:space="preserve"> pela Administração Pública</w:t>
      </w:r>
      <w:r>
        <w:rPr>
          <w:rFonts w:ascii="Arial" w:hAnsi="Arial" w:cs="Arial"/>
          <w:sz w:val="24"/>
          <w:szCs w:val="20"/>
        </w:rPr>
        <w:t xml:space="preserve">, surge </w:t>
      </w:r>
      <w:r w:rsidR="00A05CCE">
        <w:rPr>
          <w:rFonts w:ascii="Arial" w:hAnsi="Arial" w:cs="Arial"/>
          <w:sz w:val="24"/>
          <w:szCs w:val="20"/>
        </w:rPr>
        <w:t xml:space="preserve">uma </w:t>
      </w:r>
      <w:r>
        <w:rPr>
          <w:rFonts w:ascii="Arial" w:hAnsi="Arial" w:cs="Arial"/>
          <w:sz w:val="24"/>
          <w:szCs w:val="20"/>
        </w:rPr>
        <w:t>forma</w:t>
      </w:r>
      <w:r w:rsidR="00A05CCE">
        <w:rPr>
          <w:rFonts w:ascii="Arial" w:hAnsi="Arial" w:cs="Arial"/>
          <w:sz w:val="24"/>
          <w:szCs w:val="20"/>
        </w:rPr>
        <w:t xml:space="preserve"> especial de loteamento, denominado</w:t>
      </w:r>
      <w:r>
        <w:rPr>
          <w:rFonts w:ascii="Arial" w:hAnsi="Arial" w:cs="Arial"/>
          <w:sz w:val="24"/>
          <w:szCs w:val="20"/>
        </w:rPr>
        <w:t xml:space="preserve"> </w:t>
      </w:r>
      <w:r w:rsidR="00A05CCE">
        <w:rPr>
          <w:rFonts w:ascii="Arial" w:hAnsi="Arial" w:cs="Arial"/>
          <w:sz w:val="24"/>
          <w:szCs w:val="20"/>
        </w:rPr>
        <w:t xml:space="preserve">como “loteamento fechado” (ou, </w:t>
      </w:r>
      <w:proofErr w:type="spellStart"/>
      <w:r w:rsidR="00A05CCE">
        <w:rPr>
          <w:rFonts w:ascii="Arial" w:hAnsi="Arial" w:cs="Arial"/>
          <w:sz w:val="24"/>
          <w:szCs w:val="20"/>
        </w:rPr>
        <w:t>impropriamento</w:t>
      </w:r>
      <w:proofErr w:type="spellEnd"/>
      <w:r w:rsidR="00A05CCE">
        <w:rPr>
          <w:rFonts w:ascii="Arial" w:hAnsi="Arial" w:cs="Arial"/>
          <w:sz w:val="24"/>
          <w:szCs w:val="20"/>
        </w:rPr>
        <w:t>, como “condomínio fechado”), no qual</w:t>
      </w:r>
      <w:r>
        <w:rPr>
          <w:rFonts w:ascii="Arial" w:hAnsi="Arial" w:cs="Arial"/>
          <w:sz w:val="24"/>
          <w:szCs w:val="20"/>
        </w:rPr>
        <w:t xml:space="preserve">, a fim de garantir maior proteção aos seus moradores e </w:t>
      </w:r>
      <w:r w:rsidR="004A1002">
        <w:rPr>
          <w:rFonts w:ascii="Arial" w:hAnsi="Arial" w:cs="Arial"/>
          <w:sz w:val="24"/>
          <w:szCs w:val="20"/>
        </w:rPr>
        <w:t xml:space="preserve">prestar </w:t>
      </w:r>
      <w:r>
        <w:rPr>
          <w:rFonts w:ascii="Arial" w:hAnsi="Arial" w:cs="Arial"/>
          <w:sz w:val="24"/>
          <w:szCs w:val="20"/>
        </w:rPr>
        <w:t>serviços normalmente superiores aos providos pela Administração Pública, são edificados muros ao redor do lot</w:t>
      </w:r>
      <w:r w:rsidR="00A05CCE">
        <w:rPr>
          <w:rFonts w:ascii="Arial" w:hAnsi="Arial" w:cs="Arial"/>
          <w:sz w:val="24"/>
          <w:szCs w:val="20"/>
        </w:rPr>
        <w:t>eamento e implantada forma de</w:t>
      </w:r>
      <w:r>
        <w:rPr>
          <w:rFonts w:ascii="Arial" w:hAnsi="Arial" w:cs="Arial"/>
          <w:sz w:val="24"/>
          <w:szCs w:val="20"/>
        </w:rPr>
        <w:t xml:space="preserve"> controle</w:t>
      </w:r>
      <w:r w:rsidR="004A1002">
        <w:rPr>
          <w:rFonts w:ascii="Arial" w:hAnsi="Arial" w:cs="Arial"/>
          <w:sz w:val="24"/>
          <w:szCs w:val="20"/>
        </w:rPr>
        <w:t xml:space="preserve"> do acesso</w:t>
      </w:r>
      <w:r w:rsidR="00A05CCE">
        <w:rPr>
          <w:rFonts w:ascii="Arial" w:hAnsi="Arial" w:cs="Arial"/>
          <w:sz w:val="24"/>
          <w:szCs w:val="20"/>
        </w:rPr>
        <w:t xml:space="preserve"> ao loteamento, permitido exclusivamente aos moradores e pessoas por eles autorizadas, contando ainda com equipamentos de segurança e serviços urbanos próprios para </w:t>
      </w:r>
      <w:proofErr w:type="spellStart"/>
      <w:r w:rsidR="00A05CCE">
        <w:rPr>
          <w:rFonts w:ascii="Arial" w:hAnsi="Arial" w:cs="Arial"/>
          <w:sz w:val="24"/>
          <w:szCs w:val="20"/>
        </w:rPr>
        <w:t>auto-suficiencia</w:t>
      </w:r>
      <w:proofErr w:type="spellEnd"/>
      <w:r w:rsidR="00A05CCE">
        <w:rPr>
          <w:rFonts w:ascii="Arial" w:hAnsi="Arial" w:cs="Arial"/>
          <w:sz w:val="24"/>
          <w:szCs w:val="20"/>
        </w:rPr>
        <w:t xml:space="preserve"> da comunidade.</w:t>
      </w:r>
      <w:proofErr w:type="gramStart"/>
      <w:r w:rsidR="00A05CCE">
        <w:rPr>
          <w:rStyle w:val="Refdenotaderodap"/>
          <w:rFonts w:ascii="Arial" w:hAnsi="Arial" w:cs="Arial"/>
          <w:sz w:val="24"/>
          <w:szCs w:val="20"/>
        </w:rPr>
        <w:footnoteReference w:id="7"/>
      </w:r>
      <w:proofErr w:type="gramEnd"/>
      <w:r>
        <w:rPr>
          <w:rFonts w:ascii="Arial" w:hAnsi="Arial" w:cs="Arial"/>
          <w:sz w:val="24"/>
          <w:szCs w:val="20"/>
        </w:rPr>
        <w:t xml:space="preserve"> </w:t>
      </w:r>
    </w:p>
    <w:p w:rsidR="008D50F9" w:rsidRDefault="004A1002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Conceitua loteamentos</w:t>
      </w:r>
      <w:r w:rsidR="008D50F9">
        <w:rPr>
          <w:rFonts w:ascii="Arial" w:hAnsi="Arial" w:cs="Arial"/>
          <w:sz w:val="24"/>
          <w:szCs w:val="20"/>
        </w:rPr>
        <w:t xml:space="preserve"> Vicente de Abreu </w:t>
      </w:r>
      <w:proofErr w:type="spellStart"/>
      <w:r w:rsidR="008D50F9">
        <w:rPr>
          <w:rFonts w:ascii="Arial" w:hAnsi="Arial" w:cs="Arial"/>
          <w:sz w:val="24"/>
          <w:szCs w:val="20"/>
        </w:rPr>
        <w:t>Amadei</w:t>
      </w:r>
      <w:proofErr w:type="spellEnd"/>
      <w:r w:rsidR="008D50F9">
        <w:rPr>
          <w:rStyle w:val="Refdenotaderodap"/>
          <w:rFonts w:ascii="Arial" w:hAnsi="Arial" w:cs="Arial"/>
          <w:sz w:val="24"/>
          <w:szCs w:val="20"/>
        </w:rPr>
        <w:footnoteReference w:id="8"/>
      </w:r>
      <w:r w:rsidR="008D50F9">
        <w:rPr>
          <w:rFonts w:ascii="Arial" w:hAnsi="Arial" w:cs="Arial"/>
          <w:sz w:val="24"/>
          <w:szCs w:val="20"/>
        </w:rPr>
        <w:t>:</w:t>
      </w: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8D50F9" w:rsidRDefault="008D50F9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8D50F9">
        <w:rPr>
          <w:rFonts w:ascii="Arial" w:hAnsi="Arial" w:cs="Arial"/>
          <w:i/>
          <w:szCs w:val="20"/>
        </w:rPr>
        <w:t>A expressão loteamento fechado – que não é nova, mas indevidamente é confundida com condomínio especial – deve ser compreendida apenas para aquelas situações de loteamento propriamente dito (no quadro, pois, da Lei nº 6.766/79) em que a municipalidade autoriza cercar ou murar o perímetro da gleba parcelada, mantendo acesso control</w:t>
      </w:r>
      <w:r w:rsidR="00201E3A">
        <w:rPr>
          <w:rFonts w:ascii="Arial" w:hAnsi="Arial" w:cs="Arial"/>
          <w:i/>
          <w:szCs w:val="20"/>
        </w:rPr>
        <w:t>ado ao loteamento com portaria.</w:t>
      </w:r>
    </w:p>
    <w:p w:rsidR="00201E3A" w:rsidRPr="008D50F9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8D50F9" w:rsidRDefault="009C6245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Os loteamentos fechados</w:t>
      </w:r>
      <w:r w:rsidR="004229F4">
        <w:rPr>
          <w:rFonts w:ascii="Arial" w:hAnsi="Arial" w:cs="Arial"/>
          <w:sz w:val="24"/>
          <w:szCs w:val="20"/>
        </w:rPr>
        <w:t>, mesmo sendo modalidade crescente de loteamento,</w:t>
      </w:r>
      <w:r w:rsidR="004A1002">
        <w:rPr>
          <w:rFonts w:ascii="Arial" w:hAnsi="Arial" w:cs="Arial"/>
          <w:sz w:val="24"/>
          <w:szCs w:val="20"/>
        </w:rPr>
        <w:t xml:space="preserve"> não </w:t>
      </w:r>
      <w:r>
        <w:rPr>
          <w:rFonts w:ascii="Arial" w:hAnsi="Arial" w:cs="Arial"/>
          <w:sz w:val="24"/>
          <w:szCs w:val="20"/>
        </w:rPr>
        <w:t>e</w:t>
      </w:r>
      <w:r w:rsidR="004229F4">
        <w:rPr>
          <w:rFonts w:ascii="Arial" w:hAnsi="Arial" w:cs="Arial"/>
          <w:sz w:val="24"/>
          <w:szCs w:val="20"/>
        </w:rPr>
        <w:t xml:space="preserve">ncontram </w:t>
      </w:r>
      <w:r w:rsidR="004A1002">
        <w:rPr>
          <w:rFonts w:ascii="Arial" w:hAnsi="Arial" w:cs="Arial"/>
          <w:sz w:val="24"/>
          <w:szCs w:val="20"/>
        </w:rPr>
        <w:t>previsão expressa n</w:t>
      </w:r>
      <w:r w:rsidR="004229F4">
        <w:rPr>
          <w:rFonts w:ascii="Arial" w:hAnsi="Arial" w:cs="Arial"/>
          <w:sz w:val="24"/>
          <w:szCs w:val="20"/>
        </w:rPr>
        <w:t>a Lei nº 6.766/79.</w:t>
      </w:r>
      <w:r w:rsidR="00BA11FA">
        <w:rPr>
          <w:rFonts w:ascii="Arial" w:hAnsi="Arial" w:cs="Arial"/>
          <w:sz w:val="24"/>
          <w:szCs w:val="20"/>
        </w:rPr>
        <w:t xml:space="preserve"> Importante destacar, todavia, que não é possível analisar os loteamentos fechados </w:t>
      </w:r>
      <w:proofErr w:type="gramStart"/>
      <w:r w:rsidR="00326A08">
        <w:rPr>
          <w:rFonts w:ascii="Arial" w:hAnsi="Arial" w:cs="Arial"/>
          <w:sz w:val="24"/>
          <w:szCs w:val="20"/>
        </w:rPr>
        <w:t>a</w:t>
      </w:r>
      <w:proofErr w:type="gramEnd"/>
      <w:r w:rsidR="00326A08">
        <w:rPr>
          <w:rFonts w:ascii="Arial" w:hAnsi="Arial" w:cs="Arial"/>
          <w:sz w:val="24"/>
          <w:szCs w:val="20"/>
        </w:rPr>
        <w:t xml:space="preserve"> luz</w:t>
      </w:r>
      <w:r w:rsidR="00BA11FA">
        <w:rPr>
          <w:rFonts w:ascii="Arial" w:hAnsi="Arial" w:cs="Arial"/>
          <w:sz w:val="24"/>
          <w:szCs w:val="20"/>
        </w:rPr>
        <w:t xml:space="preserve"> da Lei nº 4.591/64, conquanto inaplicável a este instituto, sendo os loteamentos </w:t>
      </w:r>
      <w:proofErr w:type="spellStart"/>
      <w:r w:rsidR="00BA11FA">
        <w:rPr>
          <w:rFonts w:ascii="Arial" w:hAnsi="Arial" w:cs="Arial"/>
          <w:sz w:val="24"/>
          <w:szCs w:val="20"/>
        </w:rPr>
        <w:t>fechdaos</w:t>
      </w:r>
      <w:proofErr w:type="spellEnd"/>
      <w:r w:rsidR="00BA11FA">
        <w:rPr>
          <w:rFonts w:ascii="Arial" w:hAnsi="Arial" w:cs="Arial"/>
          <w:sz w:val="24"/>
          <w:szCs w:val="20"/>
        </w:rPr>
        <w:t xml:space="preserve"> </w:t>
      </w:r>
      <w:r w:rsidR="006E79FB">
        <w:rPr>
          <w:rFonts w:ascii="Arial" w:hAnsi="Arial" w:cs="Arial"/>
          <w:sz w:val="24"/>
          <w:szCs w:val="20"/>
        </w:rPr>
        <w:t xml:space="preserve">são </w:t>
      </w:r>
      <w:r w:rsidR="00BA11FA">
        <w:rPr>
          <w:rFonts w:ascii="Arial" w:hAnsi="Arial" w:cs="Arial"/>
          <w:sz w:val="24"/>
          <w:szCs w:val="20"/>
        </w:rPr>
        <w:t>regidos pela Lei nº 6.766/79, observando</w:t>
      </w:r>
      <w:r w:rsidR="00326A08">
        <w:rPr>
          <w:rFonts w:ascii="Arial" w:hAnsi="Arial" w:cs="Arial"/>
          <w:sz w:val="24"/>
          <w:szCs w:val="20"/>
        </w:rPr>
        <w:t>-se alguns requisitos adicionais</w:t>
      </w:r>
      <w:r w:rsidR="00BA11FA">
        <w:rPr>
          <w:rFonts w:ascii="Arial" w:hAnsi="Arial" w:cs="Arial"/>
          <w:sz w:val="24"/>
          <w:szCs w:val="20"/>
        </w:rPr>
        <w:t>.</w:t>
      </w:r>
    </w:p>
    <w:p w:rsidR="00790105" w:rsidRDefault="00790105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Em síntese, caracteriza </w:t>
      </w:r>
      <w:proofErr w:type="spellStart"/>
      <w:r>
        <w:rPr>
          <w:rFonts w:ascii="Arial" w:hAnsi="Arial" w:cs="Arial"/>
          <w:sz w:val="24"/>
          <w:szCs w:val="20"/>
        </w:rPr>
        <w:t>Elvino</w:t>
      </w:r>
      <w:proofErr w:type="spellEnd"/>
      <w:r>
        <w:rPr>
          <w:rFonts w:ascii="Arial" w:hAnsi="Arial" w:cs="Arial"/>
          <w:sz w:val="24"/>
          <w:szCs w:val="20"/>
        </w:rPr>
        <w:t xml:space="preserve"> Silva Filho</w:t>
      </w:r>
      <w:r>
        <w:rPr>
          <w:rStyle w:val="Refdenotaderodap"/>
          <w:rFonts w:ascii="Arial" w:hAnsi="Arial" w:cs="Arial"/>
          <w:sz w:val="24"/>
          <w:szCs w:val="20"/>
        </w:rPr>
        <w:footnoteReference w:id="9"/>
      </w:r>
      <w:r>
        <w:rPr>
          <w:rFonts w:ascii="Arial" w:hAnsi="Arial" w:cs="Arial"/>
          <w:sz w:val="24"/>
          <w:szCs w:val="20"/>
        </w:rPr>
        <w:t xml:space="preserve"> os loteamentos fechados:</w:t>
      </w: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790105" w:rsidRPr="00790105" w:rsidRDefault="0079010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90105">
        <w:rPr>
          <w:rFonts w:ascii="Arial" w:hAnsi="Arial" w:cs="Arial"/>
          <w:i/>
          <w:szCs w:val="20"/>
        </w:rPr>
        <w:t>a) é aprovado exatamente como um loteamento comum;</w:t>
      </w:r>
    </w:p>
    <w:p w:rsidR="00790105" w:rsidRPr="00790105" w:rsidRDefault="0079010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90105">
        <w:rPr>
          <w:rFonts w:ascii="Arial" w:hAnsi="Arial" w:cs="Arial"/>
          <w:i/>
          <w:szCs w:val="20"/>
        </w:rPr>
        <w:t>b) os lotes são de exclusiva propriedade dos adquirentes, que nele construirão da forma que lhes aprouver, respeitados os requisitos municipais;</w:t>
      </w:r>
    </w:p>
    <w:p w:rsidR="00790105" w:rsidRPr="00790105" w:rsidRDefault="0079010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90105">
        <w:rPr>
          <w:rFonts w:ascii="Arial" w:hAnsi="Arial" w:cs="Arial"/>
          <w:i/>
          <w:szCs w:val="20"/>
        </w:rPr>
        <w:t>c) os lotes são tributados individualmente;</w:t>
      </w:r>
    </w:p>
    <w:p w:rsidR="00790105" w:rsidRPr="00790105" w:rsidRDefault="0079010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90105">
        <w:rPr>
          <w:rFonts w:ascii="Arial" w:hAnsi="Arial" w:cs="Arial"/>
          <w:i/>
          <w:szCs w:val="20"/>
        </w:rPr>
        <w:t>d) o perímetro da gleba é fechado por autorização municipal, sendo que o acesso é efetuado por entr</w:t>
      </w:r>
      <w:r w:rsidR="004A1002">
        <w:rPr>
          <w:rFonts w:ascii="Arial" w:hAnsi="Arial" w:cs="Arial"/>
          <w:i/>
          <w:szCs w:val="20"/>
        </w:rPr>
        <w:t>a</w:t>
      </w:r>
      <w:r w:rsidRPr="00790105">
        <w:rPr>
          <w:rFonts w:ascii="Arial" w:hAnsi="Arial" w:cs="Arial"/>
          <w:i/>
          <w:szCs w:val="20"/>
        </w:rPr>
        <w:t>da submetida a controle;</w:t>
      </w:r>
    </w:p>
    <w:p w:rsidR="00790105" w:rsidRPr="00790105" w:rsidRDefault="0079010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90105">
        <w:rPr>
          <w:rFonts w:ascii="Arial" w:hAnsi="Arial" w:cs="Arial"/>
          <w:i/>
          <w:szCs w:val="20"/>
        </w:rPr>
        <w:t xml:space="preserve">e) a Prefeitura </w:t>
      </w:r>
      <w:proofErr w:type="spellStart"/>
      <w:r w:rsidRPr="00790105">
        <w:rPr>
          <w:rFonts w:ascii="Arial" w:hAnsi="Arial" w:cs="Arial"/>
          <w:i/>
          <w:szCs w:val="20"/>
        </w:rPr>
        <w:t>Municiapl</w:t>
      </w:r>
      <w:proofErr w:type="spellEnd"/>
      <w:r w:rsidRPr="00790105">
        <w:rPr>
          <w:rFonts w:ascii="Arial" w:hAnsi="Arial" w:cs="Arial"/>
          <w:i/>
          <w:szCs w:val="20"/>
        </w:rPr>
        <w:t xml:space="preserve">, no ato da aprovação do loteamento, outorga concessão de uso aos </w:t>
      </w:r>
      <w:proofErr w:type="gramStart"/>
      <w:r w:rsidRPr="00790105">
        <w:rPr>
          <w:rFonts w:ascii="Arial" w:hAnsi="Arial" w:cs="Arial"/>
          <w:i/>
          <w:szCs w:val="20"/>
        </w:rPr>
        <w:t>proprietários precedida de Lei</w:t>
      </w:r>
      <w:proofErr w:type="gramEnd"/>
      <w:r w:rsidRPr="00790105">
        <w:rPr>
          <w:rFonts w:ascii="Arial" w:hAnsi="Arial" w:cs="Arial"/>
          <w:i/>
          <w:szCs w:val="20"/>
        </w:rPr>
        <w:t>;</w:t>
      </w:r>
    </w:p>
    <w:p w:rsidR="00790105" w:rsidRDefault="0079010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90105">
        <w:rPr>
          <w:rFonts w:ascii="Arial" w:hAnsi="Arial" w:cs="Arial"/>
          <w:i/>
          <w:szCs w:val="20"/>
        </w:rPr>
        <w:t xml:space="preserve">f) O loteador deve apresentar minuta do regulamento de uso e manutenção dos equipamentos comunitários, obrigando-se a partir de cada venda, fazer constar nas escrituras de compra e venda ou mesmo no contrato de promessa de compra e </w:t>
      </w:r>
      <w:proofErr w:type="gramStart"/>
      <w:r w:rsidRPr="00790105">
        <w:rPr>
          <w:rFonts w:ascii="Arial" w:hAnsi="Arial" w:cs="Arial"/>
          <w:i/>
          <w:szCs w:val="20"/>
        </w:rPr>
        <w:t>venda,</w:t>
      </w:r>
      <w:proofErr w:type="gramEnd"/>
      <w:r w:rsidRPr="00790105">
        <w:rPr>
          <w:rFonts w:ascii="Arial" w:hAnsi="Arial" w:cs="Arial"/>
          <w:i/>
          <w:szCs w:val="20"/>
        </w:rPr>
        <w:t xml:space="preserve"> a obrigação do adquirente contribuir para a manu</w:t>
      </w:r>
      <w:r w:rsidR="00201E3A">
        <w:rPr>
          <w:rFonts w:ascii="Arial" w:hAnsi="Arial" w:cs="Arial"/>
          <w:i/>
          <w:szCs w:val="20"/>
        </w:rPr>
        <w:t>tenção e assinar o regulamento.</w:t>
      </w:r>
    </w:p>
    <w:p w:rsidR="00201E3A" w:rsidRPr="00790105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DD3909" w:rsidRDefault="009B53AD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Ainda, i</w:t>
      </w:r>
      <w:r w:rsidR="003533E3">
        <w:rPr>
          <w:rFonts w:ascii="Arial" w:hAnsi="Arial" w:cs="Arial"/>
          <w:sz w:val="24"/>
          <w:szCs w:val="20"/>
        </w:rPr>
        <w:t xml:space="preserve">mportante estabelecer a possibilidade jurídica dos loteamentos fechados, questão controversa que encontra </w:t>
      </w:r>
      <w:r w:rsidR="004A1002">
        <w:rPr>
          <w:rFonts w:ascii="Arial" w:hAnsi="Arial" w:cs="Arial"/>
          <w:sz w:val="24"/>
          <w:szCs w:val="20"/>
        </w:rPr>
        <w:t>tanto argumentos favoráveis quanto</w:t>
      </w:r>
      <w:r w:rsidR="003533E3">
        <w:rPr>
          <w:rFonts w:ascii="Arial" w:hAnsi="Arial" w:cs="Arial"/>
          <w:sz w:val="24"/>
          <w:szCs w:val="20"/>
        </w:rPr>
        <w:t xml:space="preserve"> desfavoráveis na doutrina.</w:t>
      </w:r>
      <w:r w:rsidR="009C6245">
        <w:rPr>
          <w:rFonts w:ascii="Arial" w:hAnsi="Arial" w:cs="Arial"/>
          <w:sz w:val="24"/>
          <w:szCs w:val="20"/>
        </w:rPr>
        <w:t xml:space="preserve"> Isto porque, conforme analisado acima, constitui requisito objetivo para a constituição de loteamento urbano a destinação de áreas à Municipalidade, as quais, via de consequência, </w:t>
      </w:r>
      <w:proofErr w:type="gramStart"/>
      <w:r w:rsidR="009C6245">
        <w:rPr>
          <w:rFonts w:ascii="Arial" w:hAnsi="Arial" w:cs="Arial"/>
          <w:sz w:val="24"/>
          <w:szCs w:val="20"/>
        </w:rPr>
        <w:t>passam</w:t>
      </w:r>
      <w:proofErr w:type="gramEnd"/>
      <w:r w:rsidR="009C6245">
        <w:rPr>
          <w:rFonts w:ascii="Arial" w:hAnsi="Arial" w:cs="Arial"/>
          <w:sz w:val="24"/>
          <w:szCs w:val="20"/>
        </w:rPr>
        <w:t xml:space="preserve"> a ser áreas pública</w:t>
      </w:r>
      <w:r w:rsidR="00D9695A">
        <w:rPr>
          <w:rFonts w:ascii="Arial" w:hAnsi="Arial" w:cs="Arial"/>
          <w:sz w:val="24"/>
          <w:szCs w:val="20"/>
        </w:rPr>
        <w:t>s</w:t>
      </w:r>
      <w:r w:rsidR="009C6245">
        <w:rPr>
          <w:rFonts w:ascii="Arial" w:hAnsi="Arial" w:cs="Arial"/>
          <w:sz w:val="24"/>
          <w:szCs w:val="20"/>
        </w:rPr>
        <w:t xml:space="preserve"> o</w:t>
      </w:r>
      <w:r w:rsidR="004229F4">
        <w:rPr>
          <w:rFonts w:ascii="Arial" w:hAnsi="Arial" w:cs="Arial"/>
          <w:sz w:val="24"/>
          <w:szCs w:val="20"/>
        </w:rPr>
        <w:t xml:space="preserve"> que</w:t>
      </w:r>
      <w:r w:rsidR="009C6245">
        <w:rPr>
          <w:rFonts w:ascii="Arial" w:hAnsi="Arial" w:cs="Arial"/>
          <w:sz w:val="24"/>
          <w:szCs w:val="20"/>
        </w:rPr>
        <w:t>, em primeira analise, inviabilizaria a utilização restrita destas áreas apenas por certos particulares, no caso os moradores do loteamento fechado.</w:t>
      </w:r>
    </w:p>
    <w:p w:rsidR="009C6245" w:rsidRDefault="009C6245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Nesta questão, esclarece Luis Manuel Fonseca Pires</w:t>
      </w:r>
      <w:r>
        <w:rPr>
          <w:rStyle w:val="Refdenotaderodap"/>
          <w:rFonts w:ascii="Arial" w:hAnsi="Arial" w:cs="Arial"/>
          <w:sz w:val="24"/>
          <w:szCs w:val="20"/>
        </w:rPr>
        <w:footnoteReference w:id="10"/>
      </w:r>
      <w:r>
        <w:rPr>
          <w:rFonts w:ascii="Arial" w:hAnsi="Arial" w:cs="Arial"/>
          <w:sz w:val="24"/>
          <w:szCs w:val="20"/>
        </w:rPr>
        <w:t xml:space="preserve">: </w:t>
      </w: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9C6245" w:rsidRDefault="009C6245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094468">
        <w:rPr>
          <w:rFonts w:ascii="Arial" w:hAnsi="Arial" w:cs="Arial"/>
          <w:i/>
          <w:szCs w:val="20"/>
        </w:rPr>
        <w:t xml:space="preserve">E, de fato, há uma colisão de direitos fundamentais quando se questiona sobre a possibilidade de um loteamento ser </w:t>
      </w:r>
      <w:r w:rsidRPr="00094468">
        <w:rPr>
          <w:rFonts w:ascii="Arial" w:hAnsi="Arial" w:cs="Arial"/>
          <w:i/>
          <w:szCs w:val="20"/>
        </w:rPr>
        <w:lastRenderedPageBreak/>
        <w:t xml:space="preserve">fechado – leia-se sobre a possibilidade de atribuir o uso privativo de bens públicos (vias, logradouros e demais espaços comuns do loteamento) aos moradores. Há uma colisão de direitos fundamentais que não </w:t>
      </w:r>
      <w:proofErr w:type="gramStart"/>
      <w:r w:rsidRPr="00094468">
        <w:rPr>
          <w:rFonts w:ascii="Arial" w:hAnsi="Arial" w:cs="Arial"/>
          <w:i/>
          <w:szCs w:val="20"/>
        </w:rPr>
        <w:t>são</w:t>
      </w:r>
      <w:proofErr w:type="gramEnd"/>
      <w:r w:rsidRPr="00094468">
        <w:rPr>
          <w:rFonts w:ascii="Arial" w:hAnsi="Arial" w:cs="Arial"/>
          <w:i/>
          <w:szCs w:val="20"/>
        </w:rPr>
        <w:t xml:space="preserve"> regra, mas são princípios de um lado, em favor dos moradores do loteamentos, há o princípio da segurança pública, de outro lado de quem não mora no loteamento, mas almeja circular e usufruir desses bens públicos, há o princípio da liberdade de l</w:t>
      </w:r>
      <w:r w:rsidR="00201E3A">
        <w:rPr>
          <w:rFonts w:ascii="Arial" w:hAnsi="Arial" w:cs="Arial"/>
          <w:i/>
          <w:szCs w:val="20"/>
        </w:rPr>
        <w:t>ocomoção (direito de ir e vir).</w:t>
      </w:r>
    </w:p>
    <w:p w:rsidR="00201E3A" w:rsidRPr="00094468" w:rsidRDefault="00201E3A" w:rsidP="00940855">
      <w:pPr>
        <w:spacing w:line="240" w:lineRule="auto"/>
        <w:ind w:left="2268"/>
        <w:jc w:val="both"/>
        <w:rPr>
          <w:rFonts w:ascii="Arial" w:hAnsi="Arial" w:cs="Arial"/>
          <w:szCs w:val="20"/>
        </w:rPr>
      </w:pPr>
    </w:p>
    <w:p w:rsidR="007A0A0C" w:rsidRDefault="007A0A0C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Com semelhante preocupação, leciona </w:t>
      </w:r>
      <w:proofErr w:type="spellStart"/>
      <w:r>
        <w:rPr>
          <w:rFonts w:ascii="Arial" w:hAnsi="Arial" w:cs="Arial"/>
          <w:sz w:val="24"/>
          <w:szCs w:val="20"/>
        </w:rPr>
        <w:t>Melhim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Namem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Chalhub</w:t>
      </w:r>
      <w:proofErr w:type="spellEnd"/>
      <w:r w:rsidR="00D9695A">
        <w:rPr>
          <w:rStyle w:val="Refdenotaderodap"/>
          <w:rFonts w:ascii="Arial" w:hAnsi="Arial" w:cs="Arial"/>
          <w:sz w:val="24"/>
          <w:szCs w:val="20"/>
        </w:rPr>
        <w:footnoteReference w:id="11"/>
      </w:r>
      <w:r>
        <w:rPr>
          <w:rFonts w:ascii="Arial" w:hAnsi="Arial" w:cs="Arial"/>
          <w:sz w:val="24"/>
          <w:szCs w:val="20"/>
        </w:rPr>
        <w:t>:</w:t>
      </w:r>
    </w:p>
    <w:p w:rsidR="00201E3A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7A0A0C" w:rsidRPr="007A0A0C" w:rsidRDefault="007A0A0C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A0A0C">
        <w:rPr>
          <w:rFonts w:ascii="Arial" w:hAnsi="Arial" w:cs="Arial"/>
          <w:i/>
          <w:szCs w:val="20"/>
        </w:rPr>
        <w:t xml:space="preserve">A tensão entre esses princípios só se soluciona mediante exame do caso </w:t>
      </w:r>
      <w:proofErr w:type="spellStart"/>
      <w:r w:rsidRPr="007A0A0C">
        <w:rPr>
          <w:rFonts w:ascii="Arial" w:hAnsi="Arial" w:cs="Arial"/>
          <w:i/>
          <w:szCs w:val="20"/>
        </w:rPr>
        <w:t>contreto</w:t>
      </w:r>
      <w:proofErr w:type="spellEnd"/>
      <w:r w:rsidRPr="007A0A0C">
        <w:rPr>
          <w:rFonts w:ascii="Arial" w:hAnsi="Arial" w:cs="Arial"/>
          <w:i/>
          <w:szCs w:val="20"/>
        </w:rPr>
        <w:t>, pois em abstrato, todas as normas permissivas da criação de espaços fechados nos loteamentos, aprovadas pela legislação municipal, são válidas e eficazes, dada a competência que a Constituição confere ao Município.</w:t>
      </w:r>
    </w:p>
    <w:p w:rsidR="007A0A0C" w:rsidRDefault="007A0A0C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7A0A0C">
        <w:rPr>
          <w:rFonts w:ascii="Arial" w:hAnsi="Arial" w:cs="Arial"/>
          <w:i/>
          <w:szCs w:val="20"/>
        </w:rPr>
        <w:t xml:space="preserve">A situação reclama ponderação dos princípios em colisão, método pelo qual, em busca do melhor equilibro possível, se procura identificar, entre os direitos fundamentais em choque, qual deles </w:t>
      </w:r>
      <w:proofErr w:type="spellStart"/>
      <w:r w:rsidRPr="007A0A0C">
        <w:rPr>
          <w:rFonts w:ascii="Arial" w:hAnsi="Arial" w:cs="Arial"/>
          <w:i/>
          <w:szCs w:val="20"/>
        </w:rPr>
        <w:t>relama</w:t>
      </w:r>
      <w:proofErr w:type="spellEnd"/>
      <w:r w:rsidRPr="007A0A0C">
        <w:rPr>
          <w:rFonts w:ascii="Arial" w:hAnsi="Arial" w:cs="Arial"/>
          <w:i/>
          <w:szCs w:val="20"/>
        </w:rPr>
        <w:t xml:space="preserve"> maior grau de satisfa</w:t>
      </w:r>
      <w:r w:rsidR="00D9695A">
        <w:rPr>
          <w:rFonts w:ascii="Arial" w:hAnsi="Arial" w:cs="Arial"/>
          <w:i/>
          <w:szCs w:val="20"/>
        </w:rPr>
        <w:t>ç</w:t>
      </w:r>
      <w:r w:rsidRPr="007A0A0C">
        <w:rPr>
          <w:rFonts w:ascii="Arial" w:hAnsi="Arial" w:cs="Arial"/>
          <w:i/>
          <w:szCs w:val="20"/>
        </w:rPr>
        <w:t>ão no caso específico, por sua maior relevância no contento considerado, em face das peculiaridades do momento ou da situação, sem que a priorizaçã</w:t>
      </w:r>
      <w:r w:rsidR="00D9695A">
        <w:rPr>
          <w:rFonts w:ascii="Arial" w:hAnsi="Arial" w:cs="Arial"/>
          <w:i/>
          <w:szCs w:val="20"/>
        </w:rPr>
        <w:t>o de um princípio importe em ne</w:t>
      </w:r>
      <w:r w:rsidRPr="007A0A0C">
        <w:rPr>
          <w:rFonts w:ascii="Arial" w:hAnsi="Arial" w:cs="Arial"/>
          <w:i/>
          <w:szCs w:val="20"/>
        </w:rPr>
        <w:t>gação do outr</w:t>
      </w:r>
      <w:r w:rsidR="00D9695A">
        <w:rPr>
          <w:rFonts w:ascii="Arial" w:hAnsi="Arial" w:cs="Arial"/>
          <w:i/>
          <w:szCs w:val="20"/>
        </w:rPr>
        <w:t>o, mas apenas em seu afastamento</w:t>
      </w:r>
      <w:r w:rsidRPr="007A0A0C">
        <w:rPr>
          <w:rFonts w:ascii="Arial" w:hAnsi="Arial" w:cs="Arial"/>
          <w:i/>
          <w:szCs w:val="20"/>
        </w:rPr>
        <w:t xml:space="preserve"> naquele momento ou naquela circunstância.</w:t>
      </w:r>
    </w:p>
    <w:p w:rsidR="00201E3A" w:rsidRPr="007A0A0C" w:rsidRDefault="00201E3A" w:rsidP="00940855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9C6245" w:rsidRDefault="007A0A0C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Conforme assinalado acima, </w:t>
      </w:r>
      <w:r w:rsidR="009C6245">
        <w:rPr>
          <w:rFonts w:ascii="Arial" w:hAnsi="Arial" w:cs="Arial"/>
          <w:sz w:val="24"/>
          <w:szCs w:val="20"/>
        </w:rPr>
        <w:t xml:space="preserve">encontra-se no direito administrativo a solução para o dilema enfrentado. </w:t>
      </w:r>
      <w:r w:rsidR="00D9695A">
        <w:rPr>
          <w:rFonts w:ascii="Arial" w:hAnsi="Arial" w:cs="Arial"/>
          <w:sz w:val="24"/>
          <w:szCs w:val="20"/>
        </w:rPr>
        <w:t>Isto porque, por Lei M</w:t>
      </w:r>
      <w:r w:rsidR="00326A08">
        <w:rPr>
          <w:rFonts w:ascii="Arial" w:hAnsi="Arial" w:cs="Arial"/>
          <w:sz w:val="24"/>
          <w:szCs w:val="20"/>
        </w:rPr>
        <w:t xml:space="preserve">unicipal, há a possibilidade de autorizar o fechamento do loteamento com a restrição de uso dos bens públicos aos seus proprietários através da concessão de uso. Desta forma, através de contrato particular de concessão de uso de bens públicos e Lei Municipal específica, o Município pode afetar seus bens e </w:t>
      </w:r>
      <w:r w:rsidR="00326A08">
        <w:rPr>
          <w:rFonts w:ascii="Arial" w:hAnsi="Arial" w:cs="Arial"/>
          <w:sz w:val="24"/>
          <w:szCs w:val="20"/>
        </w:rPr>
        <w:lastRenderedPageBreak/>
        <w:t>destiná-lo a categoria de bens de uso especial, nos termos do artig</w:t>
      </w:r>
      <w:r w:rsidR="00467848">
        <w:rPr>
          <w:rFonts w:ascii="Arial" w:hAnsi="Arial" w:cs="Arial"/>
          <w:sz w:val="24"/>
          <w:szCs w:val="20"/>
        </w:rPr>
        <w:t>o 99, inciso II do Código Civil.</w:t>
      </w:r>
      <w:proofErr w:type="gramStart"/>
      <w:r w:rsidR="005F340C">
        <w:rPr>
          <w:rStyle w:val="Refdenotaderodap"/>
          <w:rFonts w:ascii="Arial" w:hAnsi="Arial" w:cs="Arial"/>
          <w:sz w:val="24"/>
          <w:szCs w:val="20"/>
        </w:rPr>
        <w:footnoteReference w:id="12"/>
      </w:r>
      <w:proofErr w:type="gramEnd"/>
    </w:p>
    <w:p w:rsidR="00235DFE" w:rsidRDefault="00235DFE" w:rsidP="00201E3A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Assim sendo, constituem requisitos dos loteamentos fechados </w:t>
      </w:r>
      <w:r w:rsidRPr="00235DFE">
        <w:rPr>
          <w:rFonts w:ascii="Arial" w:hAnsi="Arial" w:cs="Arial"/>
          <w:i/>
          <w:sz w:val="24"/>
          <w:szCs w:val="20"/>
        </w:rPr>
        <w:t>“a) lei municipal que faculte, para o caso concreto, a possibilidade de uso privativo dos bens públicos em favor dos moradores – o que caracteriza uma lei-medida – com a previsão das respectivas contraprestações; b) contrato de concessão de uso privativo de bens públicos</w:t>
      </w:r>
      <w:proofErr w:type="gramStart"/>
      <w:r w:rsidRPr="00235DFE">
        <w:rPr>
          <w:rFonts w:ascii="Arial" w:hAnsi="Arial" w:cs="Arial"/>
          <w:i/>
          <w:sz w:val="24"/>
          <w:szCs w:val="20"/>
        </w:rPr>
        <w:t>”</w:t>
      </w:r>
      <w:proofErr w:type="gramEnd"/>
      <w:r>
        <w:rPr>
          <w:rStyle w:val="Refdenotaderodap"/>
          <w:rFonts w:ascii="Arial" w:hAnsi="Arial" w:cs="Arial"/>
          <w:i/>
          <w:sz w:val="24"/>
          <w:szCs w:val="20"/>
        </w:rPr>
        <w:footnoteReference w:id="13"/>
      </w:r>
    </w:p>
    <w:p w:rsidR="007A0A0C" w:rsidRDefault="007A0A0C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 despeito da discussão de sua possibilidade jurídica, os loteamentos fechados são prática em expansão e já disciplinados em divers</w:t>
      </w:r>
      <w:r w:rsidR="00D9695A">
        <w:rPr>
          <w:rFonts w:ascii="Arial" w:hAnsi="Arial" w:cs="Arial"/>
          <w:sz w:val="24"/>
          <w:szCs w:val="20"/>
        </w:rPr>
        <w:t xml:space="preserve">as legislações municipais </w:t>
      </w:r>
      <w:proofErr w:type="gramStart"/>
      <w:r>
        <w:rPr>
          <w:rFonts w:ascii="Arial" w:hAnsi="Arial" w:cs="Arial"/>
          <w:sz w:val="24"/>
          <w:szCs w:val="20"/>
        </w:rPr>
        <w:t xml:space="preserve">do </w:t>
      </w:r>
      <w:r w:rsidR="00D9695A">
        <w:rPr>
          <w:rFonts w:ascii="Arial" w:hAnsi="Arial" w:cs="Arial"/>
          <w:sz w:val="24"/>
          <w:szCs w:val="20"/>
        </w:rPr>
        <w:t>pais</w:t>
      </w:r>
      <w:proofErr w:type="gramEnd"/>
      <w:r w:rsidR="00D9695A">
        <w:rPr>
          <w:rFonts w:ascii="Arial" w:hAnsi="Arial" w:cs="Arial"/>
          <w:sz w:val="24"/>
          <w:szCs w:val="20"/>
        </w:rPr>
        <w:t>, tais como: Lei nº 9.431/</w:t>
      </w:r>
      <w:r>
        <w:rPr>
          <w:rFonts w:ascii="Arial" w:hAnsi="Arial" w:cs="Arial"/>
          <w:sz w:val="24"/>
          <w:szCs w:val="20"/>
        </w:rPr>
        <w:t xml:space="preserve">81, do município de São Paulo – SP, que permite o fechamento de determinados loteamentos mediante outorga de direito real de uso para as vias de circulação e para 1/3 das reservas </w:t>
      </w:r>
      <w:proofErr w:type="spellStart"/>
      <w:r>
        <w:rPr>
          <w:rFonts w:ascii="Arial" w:hAnsi="Arial" w:cs="Arial"/>
          <w:sz w:val="24"/>
          <w:szCs w:val="20"/>
        </w:rPr>
        <w:t>desitnadas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r w:rsidR="00D9695A">
        <w:rPr>
          <w:rFonts w:ascii="Arial" w:hAnsi="Arial" w:cs="Arial"/>
          <w:sz w:val="24"/>
          <w:szCs w:val="20"/>
        </w:rPr>
        <w:t>a áreas verde; Lei nº 8.736/</w:t>
      </w:r>
      <w:r>
        <w:rPr>
          <w:rFonts w:ascii="Arial" w:hAnsi="Arial" w:cs="Arial"/>
          <w:sz w:val="24"/>
          <w:szCs w:val="20"/>
        </w:rPr>
        <w:t>96, do município de Campinas – SP, que institui a “</w:t>
      </w:r>
      <w:r w:rsidR="00BA7404">
        <w:rPr>
          <w:rFonts w:ascii="Arial" w:hAnsi="Arial" w:cs="Arial"/>
          <w:sz w:val="24"/>
          <w:szCs w:val="20"/>
        </w:rPr>
        <w:t>permissão a título precário de uso das áreas públicas de lazer e das vias de circulação, para constituição de loteam</w:t>
      </w:r>
      <w:r w:rsidR="00D9695A">
        <w:rPr>
          <w:rFonts w:ascii="Arial" w:hAnsi="Arial" w:cs="Arial"/>
          <w:sz w:val="24"/>
          <w:szCs w:val="20"/>
        </w:rPr>
        <w:t>entos fechados”; Lei nº 5.441/</w:t>
      </w:r>
      <w:r w:rsidR="00BA7404">
        <w:rPr>
          <w:rFonts w:ascii="Arial" w:hAnsi="Arial" w:cs="Arial"/>
          <w:sz w:val="24"/>
          <w:szCs w:val="20"/>
        </w:rPr>
        <w:t xml:space="preserve">99, do município de São José dos Campos – SP, que autoriza o fechamento dos loteamentos, vilas e ruas sem saída, observados determinados critérios; Decreto nº </w:t>
      </w:r>
      <w:r w:rsidR="00D9695A">
        <w:rPr>
          <w:rFonts w:ascii="Arial" w:hAnsi="Arial" w:cs="Arial"/>
          <w:sz w:val="24"/>
          <w:szCs w:val="20"/>
        </w:rPr>
        <w:t>14.618/</w:t>
      </w:r>
      <w:r w:rsidR="00BA7404">
        <w:rPr>
          <w:rFonts w:ascii="Arial" w:hAnsi="Arial" w:cs="Arial"/>
          <w:sz w:val="24"/>
          <w:szCs w:val="20"/>
        </w:rPr>
        <w:t>96, da cidade do Rio de Janeiro – RJ, que permite a instalação de guaritas e traves basculantes em logradouros públicos de uso estritamente residencial, sempre a título precário e mediante requerimento de pelo menos 3/4  dos  moradores; Lei Complement</w:t>
      </w:r>
      <w:r w:rsidR="00D9695A">
        <w:rPr>
          <w:rFonts w:ascii="Arial" w:hAnsi="Arial" w:cs="Arial"/>
          <w:sz w:val="24"/>
          <w:szCs w:val="20"/>
        </w:rPr>
        <w:t>a</w:t>
      </w:r>
      <w:r w:rsidR="00BA7404">
        <w:rPr>
          <w:rFonts w:ascii="Arial" w:hAnsi="Arial" w:cs="Arial"/>
          <w:sz w:val="24"/>
          <w:szCs w:val="20"/>
        </w:rPr>
        <w:t>r nº 246/2005 de Caxias do Sul – RS, cujo Capítulo VII regulamenta o “loteamento fechado”, especificamente para determinadas localidades, com outorga de permissão de uso dos espaços públicos à associação dos proprietários; e Lei nº 2.561/2008, do Munic</w:t>
      </w:r>
      <w:r w:rsidR="00D9695A">
        <w:rPr>
          <w:rFonts w:ascii="Arial" w:hAnsi="Arial" w:cs="Arial"/>
          <w:sz w:val="24"/>
          <w:szCs w:val="20"/>
        </w:rPr>
        <w:t>ípio de Niterói</w:t>
      </w:r>
      <w:r w:rsidR="00BA7404">
        <w:rPr>
          <w:rFonts w:ascii="Arial" w:hAnsi="Arial" w:cs="Arial"/>
          <w:sz w:val="24"/>
          <w:szCs w:val="20"/>
        </w:rPr>
        <w:t xml:space="preserve"> – RJ, que permite, “a título precário, a instalação de portões e grades em ruas sem saída, desde que mediante proposição de mais da metade dos </w:t>
      </w:r>
      <w:r w:rsidR="00BA7404">
        <w:rPr>
          <w:rFonts w:ascii="Arial" w:hAnsi="Arial" w:cs="Arial"/>
          <w:sz w:val="24"/>
          <w:szCs w:val="20"/>
        </w:rPr>
        <w:lastRenderedPageBreak/>
        <w:t>respectivos moradores do logradouro público”, concedida essa permissão à associação de moradores do local</w:t>
      </w:r>
      <w:r w:rsidR="00BA7404">
        <w:rPr>
          <w:rStyle w:val="Refdenotaderodap"/>
          <w:rFonts w:ascii="Arial" w:hAnsi="Arial" w:cs="Arial"/>
          <w:sz w:val="24"/>
          <w:szCs w:val="20"/>
        </w:rPr>
        <w:footnoteReference w:id="14"/>
      </w:r>
      <w:r w:rsidR="00BA7404">
        <w:rPr>
          <w:rFonts w:ascii="Arial" w:hAnsi="Arial" w:cs="Arial"/>
          <w:sz w:val="24"/>
          <w:szCs w:val="20"/>
        </w:rPr>
        <w:t>.</w:t>
      </w:r>
    </w:p>
    <w:p w:rsidR="00326A08" w:rsidRDefault="00235DFE" w:rsidP="00201E3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Ainda, tratando-se de um loteamento fechado</w:t>
      </w:r>
      <w:r w:rsidR="00D9695A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em que as áreas públicas serão concedidas para uso privativo dos moradores, é fundamental que se estabeleça um regulamento de uso desses bens, bem como que sejam estabelecidas contribuições para as despesas comuns, uma vez que a Administração Pública não proverá os serviços de conservação das áreas concedidas. Desta forma, este regulamento, conceitualmente similar à convenção de condomínio da Lei nº 4.591/64, deve abarcar certos tópicos, quais sejam</w:t>
      </w:r>
      <w:r>
        <w:rPr>
          <w:rStyle w:val="Refdenotaderodap"/>
          <w:rFonts w:ascii="Arial" w:hAnsi="Arial" w:cs="Arial"/>
          <w:sz w:val="24"/>
          <w:szCs w:val="20"/>
        </w:rPr>
        <w:footnoteReference w:id="15"/>
      </w:r>
      <w:r>
        <w:rPr>
          <w:rFonts w:ascii="Arial" w:hAnsi="Arial" w:cs="Arial"/>
          <w:sz w:val="24"/>
          <w:szCs w:val="20"/>
        </w:rPr>
        <w:t>:</w:t>
      </w:r>
    </w:p>
    <w:p w:rsidR="00201E3A" w:rsidRDefault="00201E3A" w:rsidP="00201E3A">
      <w:pPr>
        <w:pStyle w:val="PargrafodaLista"/>
        <w:spacing w:line="240" w:lineRule="auto"/>
        <w:ind w:left="2552"/>
        <w:jc w:val="both"/>
        <w:rPr>
          <w:rFonts w:ascii="Arial" w:hAnsi="Arial" w:cs="Arial"/>
          <w:i/>
          <w:szCs w:val="20"/>
        </w:rPr>
      </w:pP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D</w:t>
      </w:r>
      <w:r w:rsidRPr="00235DFE">
        <w:rPr>
          <w:rFonts w:ascii="Arial" w:hAnsi="Arial" w:cs="Arial"/>
          <w:i/>
          <w:szCs w:val="20"/>
        </w:rPr>
        <w:t xml:space="preserve">iscriminação das partes e frações comuns e as que forma objeto de concessão </w:t>
      </w:r>
      <w:proofErr w:type="gramStart"/>
      <w:r w:rsidRPr="00235DFE">
        <w:rPr>
          <w:rFonts w:ascii="Arial" w:hAnsi="Arial" w:cs="Arial"/>
          <w:i/>
          <w:szCs w:val="20"/>
        </w:rPr>
        <w:t>pela Município</w:t>
      </w:r>
      <w:proofErr w:type="gramEnd"/>
      <w:r w:rsidRPr="00235DFE">
        <w:rPr>
          <w:rFonts w:ascii="Arial" w:hAnsi="Arial" w:cs="Arial"/>
          <w:i/>
          <w:szCs w:val="20"/>
        </w:rPr>
        <w:t xml:space="preserve"> bem como obrigatoriedade de contribuição para fazer frente a essas despesas, discriminando as ordinárias e extraordinárias bem como a forma e destino de fundos de reserva;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Disposição acerca da proibição da alienação em separado dos bens comuns;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Especificação da destinação das partes comuns, tais como piscinas, churrasqueiras etc.;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Modo de uso dos bens públicos objeto de concessão;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 xml:space="preserve">Especificação da administração, fazendo referência </w:t>
      </w:r>
      <w:proofErr w:type="gramStart"/>
      <w:r w:rsidRPr="00235DFE">
        <w:rPr>
          <w:rFonts w:ascii="Arial" w:hAnsi="Arial" w:cs="Arial"/>
          <w:i/>
          <w:szCs w:val="20"/>
        </w:rPr>
        <w:t>a</w:t>
      </w:r>
      <w:proofErr w:type="gramEnd"/>
      <w:r w:rsidRPr="00235DFE">
        <w:rPr>
          <w:rFonts w:ascii="Arial" w:hAnsi="Arial" w:cs="Arial"/>
          <w:i/>
          <w:szCs w:val="20"/>
        </w:rPr>
        <w:t xml:space="preserve"> associação que exercerá a administração e que firmou o contrato administrativo de concessão;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Modo de escolha da direção do órgão administrativo, que é a associação que recebeu a concessão dos bens públic</w:t>
      </w:r>
      <w:r w:rsidR="00D9695A">
        <w:rPr>
          <w:rFonts w:ascii="Arial" w:hAnsi="Arial" w:cs="Arial"/>
          <w:i/>
          <w:szCs w:val="20"/>
        </w:rPr>
        <w:t>os, rep</w:t>
      </w:r>
      <w:r w:rsidRPr="00235DFE">
        <w:rPr>
          <w:rFonts w:ascii="Arial" w:hAnsi="Arial" w:cs="Arial"/>
          <w:i/>
          <w:szCs w:val="20"/>
        </w:rPr>
        <w:t>etindo os seus termos;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Modo de destituição do administrador;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Determinação das assembleias ordinárias e extraordinárias dos proprietários, forma e data de convocação bem como o quórum para as diversas deliberações que também devem estar discriminadas;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Discriminação dos direitos e obrigações dos moradores e do órgão administrativo;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Criação de sanções civis para a transgressão do regulamento, bem como pela mora no pagamento das contribuições;</w:t>
      </w:r>
    </w:p>
    <w:p w:rsidR="00235DFE" w:rsidRP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lastRenderedPageBreak/>
        <w:t>Transcrição da concessão de uso em seus exatos termos;</w:t>
      </w:r>
    </w:p>
    <w:p w:rsidR="00235DFE" w:rsidRDefault="00235DFE" w:rsidP="00940855">
      <w:pPr>
        <w:pStyle w:val="PargrafodaLista"/>
        <w:numPr>
          <w:ilvl w:val="0"/>
          <w:numId w:val="24"/>
        </w:numPr>
        <w:spacing w:line="240" w:lineRule="auto"/>
        <w:ind w:left="2552" w:hanging="284"/>
        <w:jc w:val="both"/>
        <w:rPr>
          <w:rFonts w:ascii="Arial" w:hAnsi="Arial" w:cs="Arial"/>
          <w:i/>
          <w:szCs w:val="20"/>
        </w:rPr>
      </w:pPr>
      <w:r w:rsidRPr="00235DFE">
        <w:rPr>
          <w:rFonts w:ascii="Arial" w:hAnsi="Arial" w:cs="Arial"/>
          <w:i/>
          <w:szCs w:val="20"/>
        </w:rPr>
        <w:t>Estab</w:t>
      </w:r>
      <w:r w:rsidR="00D9695A">
        <w:rPr>
          <w:rFonts w:ascii="Arial" w:hAnsi="Arial" w:cs="Arial"/>
          <w:i/>
          <w:szCs w:val="20"/>
        </w:rPr>
        <w:t>elecimento de força obrigatória</w:t>
      </w:r>
      <w:r w:rsidRPr="00235DFE">
        <w:rPr>
          <w:rFonts w:ascii="Arial" w:hAnsi="Arial" w:cs="Arial"/>
          <w:i/>
          <w:szCs w:val="20"/>
        </w:rPr>
        <w:t xml:space="preserve"> do regulamento, bem como a nulidade de qualquer negócio que não conste a submissão do adquire</w:t>
      </w:r>
      <w:r w:rsidR="00D9695A">
        <w:rPr>
          <w:rFonts w:ascii="Arial" w:hAnsi="Arial" w:cs="Arial"/>
          <w:i/>
          <w:szCs w:val="20"/>
        </w:rPr>
        <w:t>nte</w:t>
      </w:r>
      <w:r w:rsidRPr="00235DFE">
        <w:rPr>
          <w:rFonts w:ascii="Arial" w:hAnsi="Arial" w:cs="Arial"/>
          <w:i/>
          <w:szCs w:val="20"/>
        </w:rPr>
        <w:t xml:space="preserve"> aos seus termos.</w:t>
      </w:r>
    </w:p>
    <w:p w:rsidR="00201E3A" w:rsidRPr="00235DFE" w:rsidRDefault="00201E3A" w:rsidP="00201E3A">
      <w:pPr>
        <w:pStyle w:val="PargrafodaLista"/>
        <w:spacing w:line="240" w:lineRule="auto"/>
        <w:ind w:left="2552"/>
        <w:jc w:val="both"/>
        <w:rPr>
          <w:rFonts w:ascii="Arial" w:hAnsi="Arial" w:cs="Arial"/>
          <w:i/>
          <w:szCs w:val="20"/>
        </w:rPr>
      </w:pPr>
    </w:p>
    <w:p w:rsidR="003A595A" w:rsidRDefault="003A595A" w:rsidP="003A595A">
      <w:pPr>
        <w:pStyle w:val="Ttulo2"/>
      </w:pPr>
    </w:p>
    <w:p w:rsidR="00C76FBA" w:rsidRDefault="009B53AD" w:rsidP="003A595A">
      <w:pPr>
        <w:pStyle w:val="Ttulo2"/>
        <w:spacing w:line="360" w:lineRule="auto"/>
        <w:jc w:val="both"/>
      </w:pPr>
      <w:bookmarkStart w:id="8" w:name="_Toc367691740"/>
      <w:r>
        <w:t>1.5</w:t>
      </w:r>
      <w:r w:rsidR="003A595A">
        <w:t xml:space="preserve"> </w:t>
      </w:r>
      <w:r w:rsidR="003A595A">
        <w:tab/>
      </w:r>
      <w:r w:rsidR="00C76FBA" w:rsidRPr="00C76FBA">
        <w:t>Da</w:t>
      </w:r>
      <w:r w:rsidR="00770BF1">
        <w:t>s Associações de Moradores e da</w:t>
      </w:r>
      <w:r w:rsidR="00C76FBA" w:rsidRPr="00C76FBA">
        <w:t xml:space="preserve"> obrigatoriedade de pagamento de taxas mensais</w:t>
      </w:r>
      <w:bookmarkEnd w:id="8"/>
    </w:p>
    <w:p w:rsidR="003A595A" w:rsidRDefault="003A595A" w:rsidP="003A595A"/>
    <w:p w:rsidR="003A595A" w:rsidRPr="003A595A" w:rsidRDefault="003A595A" w:rsidP="003A595A"/>
    <w:p w:rsidR="00A85C4A" w:rsidRDefault="000C015F" w:rsidP="003A595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Conforme indicado acima, as áreas comuns dos loteamentos fechados decorrem da concessão ou permissão de uso de áreas públicas pela Municipalidade. Todavia, uma </w:t>
      </w:r>
      <w:proofErr w:type="spellStart"/>
      <w:r>
        <w:rPr>
          <w:rFonts w:ascii="Arial" w:hAnsi="Arial" w:cs="Arial"/>
          <w:sz w:val="24"/>
          <w:szCs w:val="20"/>
        </w:rPr>
        <w:t>ve</w:t>
      </w:r>
      <w:proofErr w:type="spellEnd"/>
      <w:r>
        <w:rPr>
          <w:rFonts w:ascii="Arial" w:hAnsi="Arial" w:cs="Arial"/>
          <w:sz w:val="24"/>
          <w:szCs w:val="20"/>
        </w:rPr>
        <w:t xml:space="preserve"> que estas áreas passam a destinar-se ao uso exclusivo dos moradores do loteamento, é necessário que alguém faça </w:t>
      </w:r>
      <w:proofErr w:type="gramStart"/>
      <w:r>
        <w:rPr>
          <w:rFonts w:ascii="Arial" w:hAnsi="Arial" w:cs="Arial"/>
          <w:sz w:val="24"/>
          <w:szCs w:val="20"/>
        </w:rPr>
        <w:t>as</w:t>
      </w:r>
      <w:proofErr w:type="gramEnd"/>
      <w:r>
        <w:rPr>
          <w:rFonts w:ascii="Arial" w:hAnsi="Arial" w:cs="Arial"/>
          <w:sz w:val="24"/>
          <w:szCs w:val="20"/>
        </w:rPr>
        <w:t xml:space="preserve"> vezes da Administração Pública no tocante a </w:t>
      </w:r>
      <w:r w:rsidR="00EA6326">
        <w:rPr>
          <w:rFonts w:ascii="Arial" w:hAnsi="Arial" w:cs="Arial"/>
          <w:sz w:val="24"/>
          <w:szCs w:val="20"/>
        </w:rPr>
        <w:t xml:space="preserve">manutenção </w:t>
      </w:r>
      <w:r>
        <w:rPr>
          <w:rFonts w:ascii="Arial" w:hAnsi="Arial" w:cs="Arial"/>
          <w:sz w:val="24"/>
          <w:szCs w:val="20"/>
        </w:rPr>
        <w:t>e conservação destas áreas comuns.</w:t>
      </w:r>
    </w:p>
    <w:p w:rsidR="003E4E91" w:rsidRDefault="000C015F" w:rsidP="003A595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Neste sentido, usualmente é constituída pelo loteador uma</w:t>
      </w:r>
      <w:r w:rsidR="00EA6326">
        <w:rPr>
          <w:rFonts w:ascii="Arial" w:hAnsi="Arial" w:cs="Arial"/>
          <w:sz w:val="24"/>
          <w:szCs w:val="20"/>
        </w:rPr>
        <w:t xml:space="preserve"> Associação de Moradores,</w:t>
      </w:r>
      <w:r>
        <w:rPr>
          <w:rFonts w:ascii="Arial" w:hAnsi="Arial" w:cs="Arial"/>
          <w:sz w:val="24"/>
          <w:szCs w:val="20"/>
        </w:rPr>
        <w:t xml:space="preserve"> sociedade sem fins lucrativos a qual exercerá as funções de órgão administrativo do loteamento fechado</w:t>
      </w:r>
      <w:r w:rsidR="003E4E91">
        <w:rPr>
          <w:rFonts w:ascii="Arial" w:hAnsi="Arial" w:cs="Arial"/>
          <w:sz w:val="24"/>
          <w:szCs w:val="20"/>
        </w:rPr>
        <w:t xml:space="preserve">, sendo </w:t>
      </w:r>
      <w:proofErr w:type="gramStart"/>
      <w:r w:rsidR="003E4E91">
        <w:rPr>
          <w:rFonts w:ascii="Arial" w:hAnsi="Arial" w:cs="Arial"/>
          <w:sz w:val="24"/>
          <w:szCs w:val="20"/>
        </w:rPr>
        <w:t>estabelecido</w:t>
      </w:r>
      <w:r w:rsidR="00EA6326">
        <w:rPr>
          <w:rFonts w:ascii="Arial" w:hAnsi="Arial" w:cs="Arial"/>
          <w:sz w:val="24"/>
          <w:szCs w:val="20"/>
        </w:rPr>
        <w:t>, via</w:t>
      </w:r>
      <w:proofErr w:type="gramEnd"/>
      <w:r w:rsidR="00EA6326">
        <w:rPr>
          <w:rFonts w:ascii="Arial" w:hAnsi="Arial" w:cs="Arial"/>
          <w:sz w:val="24"/>
          <w:szCs w:val="20"/>
        </w:rPr>
        <w:t xml:space="preserve"> de regra,</w:t>
      </w:r>
      <w:r w:rsidR="003E4E91">
        <w:rPr>
          <w:rFonts w:ascii="Arial" w:hAnsi="Arial" w:cs="Arial"/>
          <w:sz w:val="24"/>
          <w:szCs w:val="20"/>
        </w:rPr>
        <w:t xml:space="preserve"> já no contrato-padrão de aquisição dos lotes a associação do adquirente a esta sociedade e sua adesão ao Regulamento do loteamento, cumprindo aos adquirentes dos lotes arcarem com as despesas do loteamento através do pagamento de taxas mensais a esta sociedade.</w:t>
      </w:r>
    </w:p>
    <w:p w:rsidR="00C05874" w:rsidRDefault="003E4E91" w:rsidP="003A595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Todavia, diferentemente do quanto estabelecido na Lei nº 4.591/64, a qual prevê em seu artigo 12 que </w:t>
      </w:r>
      <w:r w:rsidRPr="003E4E91">
        <w:rPr>
          <w:rFonts w:ascii="Arial" w:hAnsi="Arial" w:cs="Arial"/>
          <w:i/>
          <w:sz w:val="24"/>
          <w:szCs w:val="20"/>
        </w:rPr>
        <w:t>“cada condômino concorrerá nas despesas do condomínio, recolhendo, nos prazos previstos na Convenção, a quota-parte que lhe couber em rateio.”</w:t>
      </w:r>
      <w:r>
        <w:rPr>
          <w:rFonts w:ascii="Arial" w:hAnsi="Arial" w:cs="Arial"/>
          <w:sz w:val="24"/>
          <w:szCs w:val="20"/>
        </w:rPr>
        <w:t xml:space="preserve">, a obrigatoriedade de contribuição para as </w:t>
      </w:r>
      <w:r w:rsidR="00EA6326">
        <w:rPr>
          <w:rFonts w:ascii="Arial" w:hAnsi="Arial" w:cs="Arial"/>
          <w:sz w:val="24"/>
          <w:szCs w:val="20"/>
        </w:rPr>
        <w:t>Associações de M</w:t>
      </w:r>
      <w:r>
        <w:rPr>
          <w:rFonts w:ascii="Arial" w:hAnsi="Arial" w:cs="Arial"/>
          <w:sz w:val="24"/>
          <w:szCs w:val="20"/>
        </w:rPr>
        <w:t>oradores dos loteamentos fechados não encontra fundamentação legal</w:t>
      </w:r>
      <w:r w:rsidR="00EA6326">
        <w:rPr>
          <w:rFonts w:ascii="Arial" w:hAnsi="Arial" w:cs="Arial"/>
          <w:sz w:val="24"/>
          <w:szCs w:val="20"/>
        </w:rPr>
        <w:t>, encontrando posicionamentos divergentes na doutrina pátria</w:t>
      </w:r>
      <w:r>
        <w:rPr>
          <w:rFonts w:ascii="Arial" w:hAnsi="Arial" w:cs="Arial"/>
          <w:sz w:val="24"/>
          <w:szCs w:val="20"/>
        </w:rPr>
        <w:t>.</w:t>
      </w:r>
    </w:p>
    <w:p w:rsidR="00C05874" w:rsidRDefault="00C05874" w:rsidP="003A595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 xml:space="preserve">Os argumentos contrários </w:t>
      </w:r>
      <w:proofErr w:type="gramStart"/>
      <w:r>
        <w:rPr>
          <w:rFonts w:ascii="Arial" w:hAnsi="Arial" w:cs="Arial"/>
          <w:sz w:val="24"/>
          <w:szCs w:val="20"/>
        </w:rPr>
        <w:t>a</w:t>
      </w:r>
      <w:proofErr w:type="gramEnd"/>
      <w:r>
        <w:rPr>
          <w:rFonts w:ascii="Arial" w:hAnsi="Arial" w:cs="Arial"/>
          <w:sz w:val="24"/>
          <w:szCs w:val="20"/>
        </w:rPr>
        <w:t xml:space="preserve"> obrigatoriedade do pagamento de taxa mensais nos loteamentos fechados fundamentam-se no direito constitucionalmente protegido da liberdade de associação, </w:t>
      </w:r>
      <w:r w:rsidR="00A44AD7">
        <w:rPr>
          <w:rFonts w:ascii="Arial" w:hAnsi="Arial" w:cs="Arial"/>
          <w:sz w:val="24"/>
          <w:szCs w:val="20"/>
        </w:rPr>
        <w:t xml:space="preserve">o qual tutela que </w:t>
      </w:r>
      <w:r>
        <w:rPr>
          <w:rFonts w:ascii="Arial" w:hAnsi="Arial" w:cs="Arial"/>
          <w:sz w:val="24"/>
          <w:szCs w:val="20"/>
        </w:rPr>
        <w:t>ninguém poderá ser compelido a associar-se ou a permanecer associado</w:t>
      </w:r>
      <w:r w:rsidR="00A44AD7">
        <w:rPr>
          <w:rFonts w:ascii="Arial" w:hAnsi="Arial" w:cs="Arial"/>
          <w:sz w:val="24"/>
          <w:szCs w:val="20"/>
        </w:rPr>
        <w:t>. Sob este raciocínio, as Associações de M</w:t>
      </w:r>
      <w:r w:rsidR="0002627A">
        <w:rPr>
          <w:rFonts w:ascii="Arial" w:hAnsi="Arial" w:cs="Arial"/>
          <w:sz w:val="24"/>
          <w:szCs w:val="20"/>
        </w:rPr>
        <w:t>oradores somente obrigam e vinculam aqueles que expressamente aderem a elas, de forma voluntária, sendo inconstitucional a</w:t>
      </w:r>
      <w:r>
        <w:rPr>
          <w:rFonts w:ascii="Arial" w:hAnsi="Arial" w:cs="Arial"/>
          <w:sz w:val="24"/>
          <w:szCs w:val="20"/>
        </w:rPr>
        <w:t xml:space="preserve"> </w:t>
      </w:r>
      <w:r w:rsidR="0002627A">
        <w:rPr>
          <w:rFonts w:ascii="Arial" w:hAnsi="Arial" w:cs="Arial"/>
          <w:sz w:val="24"/>
          <w:szCs w:val="20"/>
        </w:rPr>
        <w:t xml:space="preserve">cobrança de taxas mensais ao proprietário de lote pelo simples fato deste ser proprietário, sem sua associação </w:t>
      </w:r>
      <w:proofErr w:type="gramStart"/>
      <w:r w:rsidR="0002627A">
        <w:rPr>
          <w:rFonts w:ascii="Arial" w:hAnsi="Arial" w:cs="Arial"/>
          <w:sz w:val="24"/>
          <w:szCs w:val="20"/>
        </w:rPr>
        <w:t>à</w:t>
      </w:r>
      <w:proofErr w:type="gramEnd"/>
      <w:r w:rsidR="0002627A">
        <w:rPr>
          <w:rFonts w:ascii="Arial" w:hAnsi="Arial" w:cs="Arial"/>
          <w:sz w:val="24"/>
          <w:szCs w:val="20"/>
        </w:rPr>
        <w:t xml:space="preserve"> </w:t>
      </w:r>
      <w:r w:rsidR="00A44AD7">
        <w:rPr>
          <w:rFonts w:ascii="Arial" w:hAnsi="Arial" w:cs="Arial"/>
          <w:sz w:val="24"/>
          <w:szCs w:val="20"/>
        </w:rPr>
        <w:t>Associação de M</w:t>
      </w:r>
      <w:r w:rsidR="0002627A">
        <w:rPr>
          <w:rFonts w:ascii="Arial" w:hAnsi="Arial" w:cs="Arial"/>
          <w:sz w:val="24"/>
          <w:szCs w:val="20"/>
        </w:rPr>
        <w:t>oradores.</w:t>
      </w:r>
    </w:p>
    <w:p w:rsidR="0002627A" w:rsidRDefault="00A44AD7" w:rsidP="003A595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Em sentido contrário</w:t>
      </w:r>
      <w:r w:rsidR="0002627A">
        <w:rPr>
          <w:rFonts w:ascii="Arial" w:hAnsi="Arial" w:cs="Arial"/>
          <w:sz w:val="24"/>
          <w:szCs w:val="20"/>
        </w:rPr>
        <w:t xml:space="preserve">, argumenta-se que o não pagamento da taxa mensal em loteamentos fechados configura enriquecimento sem causa, </w:t>
      </w:r>
      <w:proofErr w:type="gramStart"/>
      <w:r w:rsidR="0002627A">
        <w:rPr>
          <w:rFonts w:ascii="Arial" w:hAnsi="Arial" w:cs="Arial"/>
          <w:sz w:val="24"/>
          <w:szCs w:val="20"/>
        </w:rPr>
        <w:t>a</w:t>
      </w:r>
      <w:proofErr w:type="gramEnd"/>
      <w:r w:rsidR="0002627A">
        <w:rPr>
          <w:rFonts w:ascii="Arial" w:hAnsi="Arial" w:cs="Arial"/>
          <w:sz w:val="24"/>
          <w:szCs w:val="20"/>
        </w:rPr>
        <w:t xml:space="preserve"> medida que os proprietários dos lotes, ainda que não associados, usufruem do serviço prestado </w:t>
      </w:r>
      <w:r w:rsidR="00A42D9D">
        <w:rPr>
          <w:rFonts w:ascii="Arial" w:hAnsi="Arial" w:cs="Arial"/>
          <w:sz w:val="24"/>
          <w:szCs w:val="20"/>
        </w:rPr>
        <w:t>pelas As</w:t>
      </w:r>
      <w:r w:rsidR="000513D4">
        <w:rPr>
          <w:rFonts w:ascii="Arial" w:hAnsi="Arial" w:cs="Arial"/>
          <w:sz w:val="24"/>
          <w:szCs w:val="20"/>
        </w:rPr>
        <w:t>sociações de Moradores, tendo uma valorização patrimonial de seus imóveis sem a necessária contrapartida financeira. Tal linh</w:t>
      </w:r>
      <w:r>
        <w:rPr>
          <w:rFonts w:ascii="Arial" w:hAnsi="Arial" w:cs="Arial"/>
          <w:sz w:val="24"/>
          <w:szCs w:val="20"/>
        </w:rPr>
        <w:t>a argumentativa alcança</w:t>
      </w:r>
      <w:r w:rsidR="000513D4">
        <w:rPr>
          <w:rFonts w:ascii="Arial" w:hAnsi="Arial" w:cs="Arial"/>
          <w:sz w:val="24"/>
          <w:szCs w:val="20"/>
        </w:rPr>
        <w:t xml:space="preserve"> mais adeptos </w:t>
      </w:r>
      <w:r>
        <w:rPr>
          <w:rFonts w:ascii="Arial" w:hAnsi="Arial" w:cs="Arial"/>
          <w:sz w:val="24"/>
          <w:szCs w:val="20"/>
        </w:rPr>
        <w:t xml:space="preserve">quando diante de </w:t>
      </w:r>
      <w:r w:rsidR="000513D4">
        <w:rPr>
          <w:rFonts w:ascii="Arial" w:hAnsi="Arial" w:cs="Arial"/>
          <w:sz w:val="24"/>
          <w:szCs w:val="20"/>
        </w:rPr>
        <w:t xml:space="preserve">casos em que já no contrato de compra e venda do lote consta cláusula indicativa de que </w:t>
      </w:r>
      <w:proofErr w:type="gramStart"/>
      <w:r w:rsidR="000513D4">
        <w:rPr>
          <w:rFonts w:ascii="Arial" w:hAnsi="Arial" w:cs="Arial"/>
          <w:sz w:val="24"/>
          <w:szCs w:val="20"/>
        </w:rPr>
        <w:t>trata-se</w:t>
      </w:r>
      <w:proofErr w:type="gramEnd"/>
      <w:r w:rsidR="000513D4">
        <w:rPr>
          <w:rFonts w:ascii="Arial" w:hAnsi="Arial" w:cs="Arial"/>
          <w:sz w:val="24"/>
          <w:szCs w:val="20"/>
        </w:rPr>
        <w:t xml:space="preserve"> de um loteamento fechado e que e</w:t>
      </w:r>
      <w:r>
        <w:rPr>
          <w:rFonts w:ascii="Arial" w:hAnsi="Arial" w:cs="Arial"/>
          <w:sz w:val="24"/>
          <w:szCs w:val="20"/>
        </w:rPr>
        <w:t>ste será administrador por uma Associação de M</w:t>
      </w:r>
      <w:r w:rsidR="000513D4">
        <w:rPr>
          <w:rFonts w:ascii="Arial" w:hAnsi="Arial" w:cs="Arial"/>
          <w:sz w:val="24"/>
          <w:szCs w:val="20"/>
        </w:rPr>
        <w:t>oradores. Nesta situação o adquirent</w:t>
      </w:r>
      <w:r>
        <w:rPr>
          <w:rFonts w:ascii="Arial" w:hAnsi="Arial" w:cs="Arial"/>
          <w:sz w:val="24"/>
          <w:szCs w:val="20"/>
        </w:rPr>
        <w:t>e adere a Associação de M</w:t>
      </w:r>
      <w:r w:rsidR="000513D4">
        <w:rPr>
          <w:rFonts w:ascii="Arial" w:hAnsi="Arial" w:cs="Arial"/>
          <w:sz w:val="24"/>
          <w:szCs w:val="20"/>
        </w:rPr>
        <w:t xml:space="preserve">oradores e obriga-se a arcar com as respectivas taxas em razão de convenção entre as partes, sendo legítima a cobrança </w:t>
      </w:r>
      <w:r>
        <w:rPr>
          <w:rFonts w:ascii="Arial" w:hAnsi="Arial" w:cs="Arial"/>
          <w:sz w:val="24"/>
          <w:szCs w:val="20"/>
        </w:rPr>
        <w:t>de tais valores</w:t>
      </w:r>
      <w:r w:rsidR="000513D4">
        <w:rPr>
          <w:rFonts w:ascii="Arial" w:hAnsi="Arial" w:cs="Arial"/>
          <w:sz w:val="24"/>
          <w:szCs w:val="20"/>
        </w:rPr>
        <w:t>.</w:t>
      </w:r>
    </w:p>
    <w:p w:rsidR="000513D4" w:rsidRDefault="000513D4" w:rsidP="003A595A">
      <w:pPr>
        <w:spacing w:line="360" w:lineRule="auto"/>
        <w:ind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Nesse sentido leciona </w:t>
      </w:r>
      <w:r w:rsidR="002512EE">
        <w:rPr>
          <w:rFonts w:ascii="Arial" w:hAnsi="Arial" w:cs="Arial"/>
          <w:sz w:val="24"/>
          <w:szCs w:val="20"/>
        </w:rPr>
        <w:t xml:space="preserve">Luiz Antonio </w:t>
      </w:r>
      <w:proofErr w:type="spellStart"/>
      <w:r>
        <w:rPr>
          <w:rFonts w:ascii="Arial" w:hAnsi="Arial" w:cs="Arial"/>
          <w:sz w:val="24"/>
          <w:szCs w:val="20"/>
        </w:rPr>
        <w:t>Scavone</w:t>
      </w:r>
      <w:proofErr w:type="spellEnd"/>
      <w:r w:rsidR="002512EE">
        <w:rPr>
          <w:rFonts w:ascii="Arial" w:hAnsi="Arial" w:cs="Arial"/>
          <w:sz w:val="24"/>
          <w:szCs w:val="20"/>
        </w:rPr>
        <w:t xml:space="preserve"> Junior</w:t>
      </w:r>
      <w:r>
        <w:rPr>
          <w:rStyle w:val="Refdenotaderodap"/>
          <w:rFonts w:ascii="Arial" w:hAnsi="Arial" w:cs="Arial"/>
          <w:sz w:val="24"/>
          <w:szCs w:val="20"/>
        </w:rPr>
        <w:footnoteReference w:id="16"/>
      </w:r>
      <w:r>
        <w:rPr>
          <w:rFonts w:ascii="Arial" w:hAnsi="Arial" w:cs="Arial"/>
          <w:sz w:val="24"/>
          <w:szCs w:val="20"/>
        </w:rPr>
        <w:t>:</w:t>
      </w:r>
    </w:p>
    <w:p w:rsidR="003A595A" w:rsidRDefault="003A595A" w:rsidP="001941EF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0513D4" w:rsidRPr="001941EF" w:rsidRDefault="000513D4" w:rsidP="001941EF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1941EF">
        <w:rPr>
          <w:rFonts w:ascii="Arial" w:hAnsi="Arial" w:cs="Arial"/>
          <w:i/>
          <w:szCs w:val="20"/>
        </w:rPr>
        <w:t>Entretanto, duas importantíssimas considerações devem ser tecidas.</w:t>
      </w:r>
    </w:p>
    <w:p w:rsidR="000513D4" w:rsidRPr="001941EF" w:rsidRDefault="000513D4" w:rsidP="001941EF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1941EF">
        <w:rPr>
          <w:rFonts w:ascii="Arial" w:hAnsi="Arial" w:cs="Arial"/>
          <w:i/>
          <w:szCs w:val="20"/>
        </w:rPr>
        <w:t xml:space="preserve">A primeira, é que a obrigação de contribuir para as despesas comuns não decorre do fato do adquirente estar ou não associado à sociedade sem fins lucrativos que, a rigor, será o órgão administrativo do loteamento fechado. Em verdade, </w:t>
      </w:r>
      <w:proofErr w:type="gramStart"/>
      <w:r w:rsidRPr="001941EF">
        <w:rPr>
          <w:rFonts w:ascii="Arial" w:hAnsi="Arial" w:cs="Arial"/>
          <w:i/>
          <w:szCs w:val="20"/>
        </w:rPr>
        <w:t xml:space="preserve">a obrigação de contribuir para as despesas de manutenção, conservação, segurança e as demais no loteamento fechado, </w:t>
      </w:r>
      <w:r w:rsidRPr="001941EF">
        <w:rPr>
          <w:rFonts w:ascii="Arial" w:hAnsi="Arial" w:cs="Arial"/>
          <w:i/>
          <w:szCs w:val="20"/>
        </w:rPr>
        <w:lastRenderedPageBreak/>
        <w:t>decorre</w:t>
      </w:r>
      <w:proofErr w:type="gramEnd"/>
      <w:r w:rsidRPr="001941EF">
        <w:rPr>
          <w:rFonts w:ascii="Arial" w:hAnsi="Arial" w:cs="Arial"/>
          <w:i/>
          <w:szCs w:val="20"/>
        </w:rPr>
        <w:t xml:space="preserve"> da publicidade dada ao regulamento pela averbação no </w:t>
      </w:r>
      <w:proofErr w:type="spellStart"/>
      <w:r w:rsidRPr="001941EF">
        <w:rPr>
          <w:rFonts w:ascii="Arial" w:hAnsi="Arial" w:cs="Arial"/>
          <w:i/>
          <w:szCs w:val="20"/>
        </w:rPr>
        <w:t>Oificial</w:t>
      </w:r>
      <w:proofErr w:type="spellEnd"/>
      <w:r w:rsidRPr="001941EF">
        <w:rPr>
          <w:rFonts w:ascii="Arial" w:hAnsi="Arial" w:cs="Arial"/>
          <w:i/>
          <w:szCs w:val="20"/>
        </w:rPr>
        <w:t xml:space="preserve"> de Registro de Imóveis onde estiver registrado o loteamento.</w:t>
      </w:r>
    </w:p>
    <w:p w:rsidR="000513D4" w:rsidRDefault="000513D4" w:rsidP="001941EF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1941EF">
        <w:rPr>
          <w:rFonts w:ascii="Arial" w:hAnsi="Arial" w:cs="Arial"/>
          <w:i/>
          <w:szCs w:val="20"/>
        </w:rPr>
        <w:t xml:space="preserve">A segunda, é que o regulamento previamente averbado junto à matrícula do loteamento fulmina de nulidade qualquer cláusula tendente a elidir a obrigação em venda posterior que não conste a submissão do adquirente às suas cláusulas. </w:t>
      </w:r>
      <w:proofErr w:type="spellStart"/>
      <w:r w:rsidRPr="001941EF">
        <w:rPr>
          <w:rFonts w:ascii="Arial" w:hAnsi="Arial" w:cs="Arial"/>
          <w:i/>
          <w:szCs w:val="20"/>
        </w:rPr>
        <w:t>Náo</w:t>
      </w:r>
      <w:proofErr w:type="spellEnd"/>
      <w:r w:rsidRPr="001941EF">
        <w:rPr>
          <w:rFonts w:ascii="Arial" w:hAnsi="Arial" w:cs="Arial"/>
          <w:i/>
          <w:szCs w:val="20"/>
        </w:rPr>
        <w:t xml:space="preserve"> se trata de submissão ilegal da propriedade privada, mesmo porque, o adquirente conhece a circunstância da necessidade de contribuir pela própria aparência do imóvel e pelo próprio registro.</w:t>
      </w:r>
    </w:p>
    <w:p w:rsidR="003A595A" w:rsidRPr="001941EF" w:rsidRDefault="003A595A" w:rsidP="001941EF">
      <w:pPr>
        <w:spacing w:line="240" w:lineRule="auto"/>
        <w:ind w:left="2268"/>
        <w:jc w:val="both"/>
        <w:rPr>
          <w:rFonts w:ascii="Arial" w:hAnsi="Arial" w:cs="Arial"/>
          <w:i/>
          <w:szCs w:val="20"/>
        </w:rPr>
      </w:pPr>
    </w:p>
    <w:p w:rsidR="00261AF8" w:rsidRDefault="001A13B1" w:rsidP="009B53AD">
      <w:pPr>
        <w:pStyle w:val="Ttulo2"/>
        <w:spacing w:line="360" w:lineRule="auto"/>
        <w:jc w:val="both"/>
      </w:pPr>
      <w:bookmarkStart w:id="9" w:name="_Toc367691742"/>
      <w:r w:rsidRPr="005F5587">
        <w:t>CONCLUSÃO</w:t>
      </w:r>
      <w:bookmarkEnd w:id="9"/>
    </w:p>
    <w:p w:rsidR="007C35F1" w:rsidRDefault="007C35F1" w:rsidP="007C35F1">
      <w:pPr>
        <w:pStyle w:val="Ttulo1"/>
        <w:spacing w:before="0" w:beforeAutospacing="0" w:after="0" w:afterAutospacing="0" w:line="360" w:lineRule="auto"/>
        <w:jc w:val="center"/>
      </w:pPr>
    </w:p>
    <w:p w:rsidR="007C35F1" w:rsidRPr="005F5587" w:rsidRDefault="007C35F1" w:rsidP="007C35F1">
      <w:pPr>
        <w:pStyle w:val="Ttulo1"/>
        <w:spacing w:before="0" w:beforeAutospacing="0" w:after="0" w:afterAutospacing="0" w:line="360" w:lineRule="auto"/>
        <w:jc w:val="center"/>
      </w:pPr>
    </w:p>
    <w:p w:rsidR="005F5587" w:rsidRDefault="00C46F08" w:rsidP="005F5587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Antes </w:t>
      </w:r>
      <w:r w:rsidR="007C35F1">
        <w:rPr>
          <w:rFonts w:ascii="Arial" w:hAnsi="Arial" w:cs="Arial"/>
          <w:sz w:val="24"/>
          <w:szCs w:val="20"/>
        </w:rPr>
        <w:t>tod</w:t>
      </w:r>
      <w:r>
        <w:rPr>
          <w:rFonts w:ascii="Arial" w:hAnsi="Arial" w:cs="Arial"/>
          <w:sz w:val="24"/>
          <w:szCs w:val="20"/>
        </w:rPr>
        <w:t>o exposto, conclui-se que:</w:t>
      </w:r>
    </w:p>
    <w:p w:rsidR="006C1E94" w:rsidRDefault="00C46F08" w:rsidP="007C35F1">
      <w:pPr>
        <w:pStyle w:val="PargrafodaLista"/>
        <w:numPr>
          <w:ilvl w:val="0"/>
          <w:numId w:val="26"/>
        </w:numPr>
        <w:spacing w:line="360" w:lineRule="auto"/>
        <w:ind w:left="0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O </w:t>
      </w:r>
      <w:r w:rsidR="00056806">
        <w:rPr>
          <w:rFonts w:ascii="Arial" w:hAnsi="Arial" w:cs="Arial"/>
          <w:sz w:val="24"/>
          <w:szCs w:val="20"/>
        </w:rPr>
        <w:t xml:space="preserve">elevado crescimento populacional e o aumento da demanda habitacional levaram ao desenvolvimento de formas de parcelamento </w:t>
      </w:r>
      <w:r w:rsidR="006F0AC1">
        <w:rPr>
          <w:rFonts w:ascii="Arial" w:hAnsi="Arial" w:cs="Arial"/>
          <w:sz w:val="24"/>
          <w:szCs w:val="20"/>
        </w:rPr>
        <w:t>do solo urbano com a finalidade gerar um melhor aproveitamento</w:t>
      </w:r>
      <w:r w:rsidR="0066691C">
        <w:rPr>
          <w:rFonts w:ascii="Arial" w:hAnsi="Arial" w:cs="Arial"/>
          <w:sz w:val="24"/>
          <w:szCs w:val="20"/>
        </w:rPr>
        <w:t xml:space="preserve"> o </w:t>
      </w:r>
      <w:r w:rsidR="006C1E94">
        <w:rPr>
          <w:rFonts w:ascii="Arial" w:hAnsi="Arial" w:cs="Arial"/>
          <w:sz w:val="24"/>
          <w:szCs w:val="20"/>
        </w:rPr>
        <w:t>territorial.</w:t>
      </w:r>
    </w:p>
    <w:p w:rsidR="007C35F1" w:rsidRDefault="007C35F1" w:rsidP="007C35F1">
      <w:pPr>
        <w:pStyle w:val="PargrafodaLista"/>
        <w:spacing w:line="360" w:lineRule="auto"/>
        <w:ind w:left="1134"/>
        <w:jc w:val="both"/>
        <w:rPr>
          <w:rFonts w:ascii="Arial" w:hAnsi="Arial" w:cs="Arial"/>
          <w:sz w:val="24"/>
          <w:szCs w:val="20"/>
        </w:rPr>
      </w:pPr>
    </w:p>
    <w:p w:rsidR="007C35F1" w:rsidRDefault="006C1E94" w:rsidP="007C35F1">
      <w:pPr>
        <w:pStyle w:val="PargrafodaLista"/>
        <w:numPr>
          <w:ilvl w:val="0"/>
          <w:numId w:val="26"/>
        </w:numPr>
        <w:spacing w:line="360" w:lineRule="auto"/>
        <w:ind w:left="0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 Lei nº 6.766/79 estabelece a figura dos loteamentos urbanos, nos quais há a divisão do solo em lotes </w:t>
      </w:r>
      <w:r w:rsidR="006F0AC1">
        <w:rPr>
          <w:rFonts w:ascii="Arial" w:hAnsi="Arial" w:cs="Arial"/>
          <w:sz w:val="24"/>
          <w:szCs w:val="20"/>
        </w:rPr>
        <w:t>e a execução, pelo loteador, de obras de infraestrutura e abertura de novas</w:t>
      </w:r>
      <w:r>
        <w:rPr>
          <w:rFonts w:ascii="Arial" w:hAnsi="Arial" w:cs="Arial"/>
          <w:sz w:val="24"/>
          <w:szCs w:val="20"/>
        </w:rPr>
        <w:t xml:space="preserve"> via</w:t>
      </w:r>
      <w:r w:rsidR="006F0AC1">
        <w:rPr>
          <w:rFonts w:ascii="Arial" w:hAnsi="Arial" w:cs="Arial"/>
          <w:sz w:val="24"/>
          <w:szCs w:val="20"/>
        </w:rPr>
        <w:t xml:space="preserve">s de circulação que, </w:t>
      </w:r>
      <w:proofErr w:type="gramStart"/>
      <w:r w:rsidR="006F0AC1">
        <w:rPr>
          <w:rFonts w:ascii="Arial" w:hAnsi="Arial" w:cs="Arial"/>
          <w:sz w:val="24"/>
          <w:szCs w:val="20"/>
        </w:rPr>
        <w:t>após</w:t>
      </w:r>
      <w:proofErr w:type="gramEnd"/>
      <w:r w:rsidR="006F0AC1">
        <w:rPr>
          <w:rFonts w:ascii="Arial" w:hAnsi="Arial" w:cs="Arial"/>
          <w:sz w:val="24"/>
          <w:szCs w:val="20"/>
        </w:rPr>
        <w:t xml:space="preserve"> concluídas, são atribuídas à </w:t>
      </w:r>
      <w:proofErr w:type="spellStart"/>
      <w:r w:rsidR="006F0AC1">
        <w:rPr>
          <w:rFonts w:ascii="Arial" w:hAnsi="Arial" w:cs="Arial"/>
          <w:sz w:val="24"/>
          <w:szCs w:val="20"/>
        </w:rPr>
        <w:t>Admministração</w:t>
      </w:r>
      <w:proofErr w:type="spellEnd"/>
      <w:r w:rsidR="006F0AC1">
        <w:rPr>
          <w:rFonts w:ascii="Arial" w:hAnsi="Arial" w:cs="Arial"/>
          <w:sz w:val="24"/>
          <w:szCs w:val="20"/>
        </w:rPr>
        <w:t xml:space="preserve"> Pública a quem competirá sua manutenção.</w:t>
      </w:r>
    </w:p>
    <w:p w:rsidR="007C35F1" w:rsidRPr="007C35F1" w:rsidRDefault="007C35F1" w:rsidP="007C35F1">
      <w:pPr>
        <w:pStyle w:val="PargrafodaLista"/>
        <w:spacing w:line="360" w:lineRule="auto"/>
        <w:ind w:left="1134"/>
        <w:jc w:val="both"/>
        <w:rPr>
          <w:rFonts w:ascii="Arial" w:hAnsi="Arial" w:cs="Arial"/>
          <w:sz w:val="24"/>
          <w:szCs w:val="20"/>
        </w:rPr>
      </w:pPr>
    </w:p>
    <w:p w:rsidR="00056806" w:rsidRDefault="0066691C" w:rsidP="007C35F1">
      <w:pPr>
        <w:pStyle w:val="PargrafodaLista"/>
        <w:numPr>
          <w:ilvl w:val="0"/>
          <w:numId w:val="26"/>
        </w:numPr>
        <w:spacing w:line="360" w:lineRule="auto"/>
        <w:ind w:left="0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Os loteamentos fechados surgem como forma d</w:t>
      </w:r>
      <w:r w:rsidR="00056806">
        <w:rPr>
          <w:rFonts w:ascii="Arial" w:hAnsi="Arial" w:cs="Arial"/>
          <w:sz w:val="24"/>
          <w:szCs w:val="20"/>
        </w:rPr>
        <w:t>e suprir a deficiência na prestação</w:t>
      </w:r>
      <w:r w:rsidR="006F0AC1">
        <w:rPr>
          <w:rFonts w:ascii="Arial" w:hAnsi="Arial" w:cs="Arial"/>
          <w:sz w:val="24"/>
          <w:szCs w:val="20"/>
        </w:rPr>
        <w:t>, pela Administração Pública,</w:t>
      </w:r>
      <w:r w:rsidR="00056806">
        <w:rPr>
          <w:rFonts w:ascii="Arial" w:hAnsi="Arial" w:cs="Arial"/>
          <w:sz w:val="24"/>
          <w:szCs w:val="20"/>
        </w:rPr>
        <w:t xml:space="preserve"> de serviços básicos e de segurança, sendo tal prática convalidada pela legislação munic</w:t>
      </w:r>
      <w:r w:rsidR="006F0AC1">
        <w:rPr>
          <w:rFonts w:ascii="Arial" w:hAnsi="Arial" w:cs="Arial"/>
          <w:sz w:val="24"/>
          <w:szCs w:val="20"/>
        </w:rPr>
        <w:t>ip</w:t>
      </w:r>
      <w:r w:rsidR="00056806">
        <w:rPr>
          <w:rFonts w:ascii="Arial" w:hAnsi="Arial" w:cs="Arial"/>
          <w:sz w:val="24"/>
          <w:szCs w:val="20"/>
        </w:rPr>
        <w:t>al de diversos municípios</w:t>
      </w:r>
      <w:r w:rsidR="006F0AC1">
        <w:rPr>
          <w:rFonts w:ascii="Arial" w:hAnsi="Arial" w:cs="Arial"/>
          <w:sz w:val="24"/>
          <w:szCs w:val="20"/>
        </w:rPr>
        <w:t>, que concedem o uso das</w:t>
      </w:r>
      <w:r>
        <w:rPr>
          <w:rFonts w:ascii="Arial" w:hAnsi="Arial" w:cs="Arial"/>
          <w:sz w:val="24"/>
          <w:szCs w:val="20"/>
        </w:rPr>
        <w:t xml:space="preserve"> áreas públicas privativamente aos moradores do loteamento</w:t>
      </w:r>
      <w:r w:rsidR="00056806">
        <w:rPr>
          <w:rFonts w:ascii="Arial" w:hAnsi="Arial" w:cs="Arial"/>
          <w:sz w:val="24"/>
          <w:szCs w:val="20"/>
        </w:rPr>
        <w:t>.</w:t>
      </w:r>
    </w:p>
    <w:p w:rsidR="007C35F1" w:rsidRPr="007C35F1" w:rsidRDefault="007C35F1" w:rsidP="007C35F1">
      <w:pPr>
        <w:pStyle w:val="PargrafodaLista"/>
        <w:spacing w:line="360" w:lineRule="auto"/>
        <w:ind w:left="1134"/>
        <w:jc w:val="both"/>
        <w:rPr>
          <w:rFonts w:ascii="Arial" w:hAnsi="Arial" w:cs="Arial"/>
          <w:sz w:val="24"/>
          <w:szCs w:val="20"/>
        </w:rPr>
      </w:pPr>
    </w:p>
    <w:p w:rsidR="00E942F0" w:rsidRDefault="0066691C" w:rsidP="007C35F1">
      <w:pPr>
        <w:pStyle w:val="PargrafodaLista"/>
        <w:numPr>
          <w:ilvl w:val="0"/>
          <w:numId w:val="26"/>
        </w:numPr>
        <w:spacing w:line="360" w:lineRule="auto"/>
        <w:ind w:left="0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 ausência de previsão legal expressa na Lei nº 6.766/79 e a controvérsia doutrinária e jurisprudencial quanto a legalidade dos </w:t>
      </w:r>
      <w:r>
        <w:rPr>
          <w:rFonts w:ascii="Arial" w:hAnsi="Arial" w:cs="Arial"/>
          <w:sz w:val="24"/>
          <w:szCs w:val="20"/>
        </w:rPr>
        <w:lastRenderedPageBreak/>
        <w:t>loteamentos fechados torna esta modalidade de parcelamento de solo forma precária de acomodação do crescimento populacional</w:t>
      </w:r>
      <w:r w:rsidR="00E942F0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que pode acabar </w:t>
      </w:r>
      <w:r w:rsidR="00E942F0">
        <w:rPr>
          <w:rFonts w:ascii="Arial" w:hAnsi="Arial" w:cs="Arial"/>
          <w:sz w:val="24"/>
          <w:szCs w:val="20"/>
        </w:rPr>
        <w:t xml:space="preserve">por fomentar a </w:t>
      </w:r>
      <w:r>
        <w:rPr>
          <w:rFonts w:ascii="Arial" w:hAnsi="Arial" w:cs="Arial"/>
          <w:sz w:val="24"/>
          <w:szCs w:val="20"/>
        </w:rPr>
        <w:t xml:space="preserve">desordem urbana e </w:t>
      </w:r>
      <w:proofErr w:type="spellStart"/>
      <w:r>
        <w:rPr>
          <w:rFonts w:ascii="Arial" w:hAnsi="Arial" w:cs="Arial"/>
          <w:sz w:val="24"/>
          <w:szCs w:val="20"/>
        </w:rPr>
        <w:t>sobrecargar</w:t>
      </w:r>
      <w:proofErr w:type="spellEnd"/>
      <w:r>
        <w:rPr>
          <w:rFonts w:ascii="Arial" w:hAnsi="Arial" w:cs="Arial"/>
          <w:sz w:val="24"/>
          <w:szCs w:val="20"/>
        </w:rPr>
        <w:t xml:space="preserve"> do Poder Judiciário</w:t>
      </w:r>
      <w:r w:rsidR="00E942F0">
        <w:rPr>
          <w:rFonts w:ascii="Arial" w:hAnsi="Arial" w:cs="Arial"/>
          <w:sz w:val="24"/>
          <w:szCs w:val="20"/>
        </w:rPr>
        <w:t xml:space="preserve"> com demandas relativas </w:t>
      </w:r>
      <w:proofErr w:type="gramStart"/>
      <w:r w:rsidR="00E942F0">
        <w:rPr>
          <w:rFonts w:ascii="Arial" w:hAnsi="Arial" w:cs="Arial"/>
          <w:sz w:val="24"/>
          <w:szCs w:val="20"/>
        </w:rPr>
        <w:t>a</w:t>
      </w:r>
      <w:proofErr w:type="gramEnd"/>
      <w:r w:rsidR="00E942F0">
        <w:rPr>
          <w:rFonts w:ascii="Arial" w:hAnsi="Arial" w:cs="Arial"/>
          <w:sz w:val="24"/>
          <w:szCs w:val="20"/>
        </w:rPr>
        <w:t xml:space="preserve"> cobrança de taxas de manutenção</w:t>
      </w:r>
      <w:r w:rsidR="006F0AC1">
        <w:rPr>
          <w:rFonts w:ascii="Arial" w:hAnsi="Arial" w:cs="Arial"/>
          <w:sz w:val="24"/>
          <w:szCs w:val="20"/>
        </w:rPr>
        <w:t xml:space="preserve"> das áreas comuns</w:t>
      </w:r>
      <w:r w:rsidR="00D74AB3">
        <w:rPr>
          <w:rFonts w:ascii="Arial" w:hAnsi="Arial" w:cs="Arial"/>
          <w:sz w:val="24"/>
          <w:szCs w:val="20"/>
        </w:rPr>
        <w:t>, questão ainda ensejadora de grande controvérsia nos tribunais do país</w:t>
      </w:r>
      <w:r w:rsidR="00E942F0">
        <w:rPr>
          <w:rFonts w:ascii="Arial" w:hAnsi="Arial" w:cs="Arial"/>
          <w:sz w:val="24"/>
          <w:szCs w:val="20"/>
        </w:rPr>
        <w:t>.</w:t>
      </w:r>
    </w:p>
    <w:p w:rsidR="00E57E3A" w:rsidRDefault="00E57E3A" w:rsidP="00E57E3A">
      <w:pPr>
        <w:pStyle w:val="Ttulo2"/>
        <w:spacing w:line="360" w:lineRule="auto"/>
        <w:jc w:val="both"/>
      </w:pPr>
      <w:bookmarkStart w:id="10" w:name="_Toc367691743"/>
    </w:p>
    <w:p w:rsidR="001A13B1" w:rsidRDefault="001A13B1" w:rsidP="00E57E3A">
      <w:pPr>
        <w:pStyle w:val="Ttulo2"/>
        <w:spacing w:line="360" w:lineRule="auto"/>
        <w:jc w:val="both"/>
      </w:pPr>
      <w:r>
        <w:t>REFERÊNCIAS</w:t>
      </w:r>
      <w:bookmarkEnd w:id="10"/>
    </w:p>
    <w:p w:rsidR="007C35F1" w:rsidRDefault="007C35F1" w:rsidP="007C35F1">
      <w:pPr>
        <w:pStyle w:val="Ttulo1"/>
        <w:spacing w:before="0" w:beforeAutospacing="0" w:after="0" w:afterAutospacing="0" w:line="360" w:lineRule="auto"/>
        <w:jc w:val="center"/>
      </w:pPr>
    </w:p>
    <w:p w:rsidR="007C35F1" w:rsidRPr="005F5587" w:rsidRDefault="007C35F1" w:rsidP="007C35F1">
      <w:pPr>
        <w:pStyle w:val="Ttulo1"/>
        <w:spacing w:before="0" w:beforeAutospacing="0" w:after="0" w:afterAutospacing="0" w:line="360" w:lineRule="auto"/>
        <w:jc w:val="center"/>
      </w:pPr>
    </w:p>
    <w:p w:rsidR="00E91AB0" w:rsidRDefault="00E91AB0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E91AB0">
        <w:rPr>
          <w:rFonts w:ascii="Arial" w:hAnsi="Arial" w:cs="Arial"/>
          <w:sz w:val="24"/>
          <w:szCs w:val="20"/>
        </w:rPr>
        <w:t xml:space="preserve">AMADEI, Vicente de Abreu. </w:t>
      </w:r>
      <w:r w:rsidRPr="00104361">
        <w:rPr>
          <w:rFonts w:ascii="Arial" w:hAnsi="Arial" w:cs="Arial"/>
          <w:b/>
          <w:sz w:val="24"/>
          <w:szCs w:val="20"/>
        </w:rPr>
        <w:t>Urbanismo Realista.</w:t>
      </w:r>
      <w:r w:rsidRPr="00E91AB0">
        <w:rPr>
          <w:rFonts w:ascii="Arial" w:hAnsi="Arial" w:cs="Arial"/>
          <w:sz w:val="24"/>
          <w:szCs w:val="20"/>
        </w:rPr>
        <w:t xml:space="preserve"> Campinas: Millenium, 2006</w:t>
      </w:r>
      <w:r>
        <w:rPr>
          <w:rFonts w:ascii="Arial" w:hAnsi="Arial" w:cs="Arial"/>
          <w:sz w:val="24"/>
          <w:szCs w:val="20"/>
        </w:rPr>
        <w:t>.</w:t>
      </w:r>
    </w:p>
    <w:p w:rsidR="007C35F1" w:rsidRDefault="007C35F1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7C35F1">
        <w:rPr>
          <w:rFonts w:ascii="Arial" w:hAnsi="Arial" w:cs="Arial"/>
          <w:sz w:val="24"/>
          <w:szCs w:val="20"/>
        </w:rPr>
        <w:t xml:space="preserve">AMORIN, José </w:t>
      </w:r>
      <w:proofErr w:type="spellStart"/>
      <w:r w:rsidRPr="007C35F1">
        <w:rPr>
          <w:rFonts w:ascii="Arial" w:hAnsi="Arial" w:cs="Arial"/>
          <w:sz w:val="24"/>
          <w:szCs w:val="20"/>
        </w:rPr>
        <w:t>Robero</w:t>
      </w:r>
      <w:proofErr w:type="spellEnd"/>
      <w:r w:rsidRPr="007C35F1">
        <w:rPr>
          <w:rFonts w:ascii="Arial" w:hAnsi="Arial" w:cs="Arial"/>
          <w:sz w:val="24"/>
          <w:szCs w:val="20"/>
        </w:rPr>
        <w:t xml:space="preserve"> Neves e ELIAS FILHO, Rubens Carmo. </w:t>
      </w:r>
      <w:r w:rsidRPr="007C35F1">
        <w:rPr>
          <w:rFonts w:ascii="Arial" w:hAnsi="Arial" w:cs="Arial"/>
          <w:b/>
          <w:sz w:val="24"/>
          <w:szCs w:val="20"/>
        </w:rPr>
        <w:t>Direito imobiliário: Questões contemporâneas.</w:t>
      </w:r>
      <w:r w:rsidRPr="007C35F1">
        <w:rPr>
          <w:rFonts w:ascii="Arial" w:hAnsi="Arial" w:cs="Arial"/>
          <w:sz w:val="24"/>
          <w:szCs w:val="20"/>
        </w:rPr>
        <w:t xml:space="preserve"> Rio de Janeiro: </w:t>
      </w:r>
      <w:proofErr w:type="spellStart"/>
      <w:r w:rsidRPr="007C35F1">
        <w:rPr>
          <w:rFonts w:ascii="Arial" w:hAnsi="Arial" w:cs="Arial"/>
          <w:sz w:val="24"/>
          <w:szCs w:val="20"/>
        </w:rPr>
        <w:t>Elsevier</w:t>
      </w:r>
      <w:proofErr w:type="spellEnd"/>
      <w:r w:rsidRPr="007C35F1">
        <w:rPr>
          <w:rFonts w:ascii="Arial" w:hAnsi="Arial" w:cs="Arial"/>
          <w:sz w:val="24"/>
          <w:szCs w:val="20"/>
        </w:rPr>
        <w:t>, 2008</w:t>
      </w:r>
      <w:r>
        <w:rPr>
          <w:rFonts w:ascii="Arial" w:hAnsi="Arial" w:cs="Arial"/>
          <w:sz w:val="24"/>
          <w:szCs w:val="20"/>
        </w:rPr>
        <w:t>.</w:t>
      </w:r>
    </w:p>
    <w:p w:rsidR="00E62E56" w:rsidRDefault="00E62E56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E62E56">
        <w:rPr>
          <w:rFonts w:ascii="Arial" w:hAnsi="Arial" w:cs="Arial"/>
          <w:sz w:val="24"/>
          <w:szCs w:val="20"/>
        </w:rPr>
        <w:t xml:space="preserve">CHALHUB, </w:t>
      </w:r>
      <w:proofErr w:type="spellStart"/>
      <w:r w:rsidRPr="00E62E56">
        <w:rPr>
          <w:rFonts w:ascii="Arial" w:hAnsi="Arial" w:cs="Arial"/>
          <w:sz w:val="24"/>
          <w:szCs w:val="20"/>
        </w:rPr>
        <w:t>Melhim</w:t>
      </w:r>
      <w:proofErr w:type="spellEnd"/>
      <w:r w:rsidRPr="00E62E56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E62E56">
        <w:rPr>
          <w:rFonts w:ascii="Arial" w:hAnsi="Arial" w:cs="Arial"/>
          <w:sz w:val="24"/>
          <w:szCs w:val="20"/>
        </w:rPr>
        <w:t>Namem</w:t>
      </w:r>
      <w:proofErr w:type="spellEnd"/>
      <w:r w:rsidRPr="00E62E56">
        <w:rPr>
          <w:rFonts w:ascii="Arial" w:hAnsi="Arial" w:cs="Arial"/>
          <w:sz w:val="24"/>
          <w:szCs w:val="20"/>
        </w:rPr>
        <w:t xml:space="preserve">. </w:t>
      </w:r>
      <w:r w:rsidRPr="00E62E56">
        <w:rPr>
          <w:rFonts w:ascii="Arial" w:hAnsi="Arial" w:cs="Arial"/>
          <w:b/>
          <w:sz w:val="24"/>
          <w:szCs w:val="20"/>
        </w:rPr>
        <w:t>Condomínio de Lotes de Terreno Urbano.</w:t>
      </w:r>
      <w:r w:rsidRPr="00E62E56">
        <w:rPr>
          <w:rFonts w:ascii="Arial" w:hAnsi="Arial" w:cs="Arial"/>
          <w:sz w:val="24"/>
          <w:szCs w:val="20"/>
        </w:rPr>
        <w:t xml:space="preserve"> São Paulo:</w:t>
      </w:r>
      <w:r>
        <w:rPr>
          <w:rFonts w:ascii="Arial" w:hAnsi="Arial" w:cs="Arial"/>
          <w:sz w:val="24"/>
          <w:szCs w:val="20"/>
        </w:rPr>
        <w:t xml:space="preserve"> Revista de Direito Imobiliário, </w:t>
      </w:r>
      <w:r w:rsidRPr="00E62E56">
        <w:rPr>
          <w:rFonts w:ascii="Arial" w:hAnsi="Arial" w:cs="Arial"/>
          <w:sz w:val="24"/>
          <w:szCs w:val="20"/>
        </w:rPr>
        <w:t>2009</w:t>
      </w:r>
      <w:r>
        <w:rPr>
          <w:rFonts w:ascii="Arial" w:hAnsi="Arial" w:cs="Arial"/>
          <w:sz w:val="24"/>
          <w:szCs w:val="20"/>
        </w:rPr>
        <w:t>, nº 67</w:t>
      </w:r>
      <w:r w:rsidRPr="00E62E56">
        <w:rPr>
          <w:rFonts w:ascii="Arial" w:hAnsi="Arial" w:cs="Arial"/>
          <w:sz w:val="24"/>
          <w:szCs w:val="20"/>
        </w:rPr>
        <w:t>.</w:t>
      </w:r>
    </w:p>
    <w:p w:rsidR="005F5587" w:rsidRDefault="007C35F1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7C35F1">
        <w:rPr>
          <w:rFonts w:ascii="Arial" w:hAnsi="Arial" w:cs="Arial"/>
          <w:sz w:val="24"/>
          <w:szCs w:val="20"/>
        </w:rPr>
        <w:t xml:space="preserve">COUTO, Sérgio A. Frazão do. </w:t>
      </w:r>
      <w:r w:rsidRPr="007C35F1">
        <w:rPr>
          <w:rFonts w:ascii="Arial" w:hAnsi="Arial" w:cs="Arial"/>
          <w:b/>
          <w:sz w:val="24"/>
          <w:szCs w:val="20"/>
        </w:rPr>
        <w:t>Manual teórico e prático do parcelamento urbano.</w:t>
      </w:r>
      <w:r w:rsidRPr="007C35F1">
        <w:rPr>
          <w:rFonts w:ascii="Arial" w:hAnsi="Arial" w:cs="Arial"/>
          <w:sz w:val="24"/>
          <w:szCs w:val="20"/>
        </w:rPr>
        <w:t xml:space="preserve"> Rio de Janeiro: Ed. Forense, 1981</w:t>
      </w:r>
      <w:r>
        <w:rPr>
          <w:rFonts w:ascii="Arial" w:hAnsi="Arial" w:cs="Arial"/>
          <w:sz w:val="24"/>
          <w:szCs w:val="20"/>
        </w:rPr>
        <w:t>.</w:t>
      </w:r>
    </w:p>
    <w:p w:rsidR="007C35F1" w:rsidRDefault="007C35F1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7C35F1">
        <w:rPr>
          <w:rFonts w:ascii="Arial" w:hAnsi="Arial" w:cs="Arial"/>
          <w:sz w:val="24"/>
          <w:szCs w:val="20"/>
        </w:rPr>
        <w:t xml:space="preserve">GALHARDO, João Baptista. </w:t>
      </w:r>
      <w:r w:rsidRPr="007C35F1">
        <w:rPr>
          <w:rFonts w:ascii="Arial" w:hAnsi="Arial" w:cs="Arial"/>
          <w:b/>
          <w:sz w:val="24"/>
          <w:szCs w:val="20"/>
        </w:rPr>
        <w:t>O registro do parcelamento do solo para fins urbanos.</w:t>
      </w:r>
      <w:r w:rsidRPr="007C35F1">
        <w:rPr>
          <w:rFonts w:ascii="Arial" w:hAnsi="Arial" w:cs="Arial"/>
          <w:sz w:val="24"/>
          <w:szCs w:val="20"/>
        </w:rPr>
        <w:t xml:space="preserve"> Porto Alegre: IRIB, 2004</w:t>
      </w:r>
      <w:r>
        <w:rPr>
          <w:rFonts w:ascii="Arial" w:hAnsi="Arial" w:cs="Arial"/>
          <w:sz w:val="24"/>
          <w:szCs w:val="20"/>
        </w:rPr>
        <w:t>.</w:t>
      </w:r>
    </w:p>
    <w:p w:rsidR="007C35F1" w:rsidRDefault="00E91AB0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E91AB0">
        <w:rPr>
          <w:rFonts w:ascii="Arial" w:hAnsi="Arial" w:cs="Arial"/>
          <w:sz w:val="24"/>
          <w:szCs w:val="20"/>
        </w:rPr>
        <w:t xml:space="preserve">GASPARINI, </w:t>
      </w:r>
      <w:proofErr w:type="spellStart"/>
      <w:r w:rsidRPr="00E91AB0">
        <w:rPr>
          <w:rFonts w:ascii="Arial" w:hAnsi="Arial" w:cs="Arial"/>
          <w:sz w:val="24"/>
          <w:szCs w:val="20"/>
        </w:rPr>
        <w:t>Diogenes</w:t>
      </w:r>
      <w:proofErr w:type="spellEnd"/>
      <w:r w:rsidRPr="00E91AB0">
        <w:rPr>
          <w:rFonts w:ascii="Arial" w:hAnsi="Arial" w:cs="Arial"/>
          <w:sz w:val="24"/>
          <w:szCs w:val="20"/>
        </w:rPr>
        <w:t xml:space="preserve">. </w:t>
      </w:r>
      <w:r w:rsidRPr="00E91AB0">
        <w:rPr>
          <w:rFonts w:ascii="Arial" w:hAnsi="Arial" w:cs="Arial"/>
          <w:b/>
          <w:sz w:val="24"/>
          <w:szCs w:val="20"/>
        </w:rPr>
        <w:t xml:space="preserve">O município e o </w:t>
      </w:r>
      <w:proofErr w:type="spellStart"/>
      <w:r w:rsidRPr="00E91AB0">
        <w:rPr>
          <w:rFonts w:ascii="Arial" w:hAnsi="Arial" w:cs="Arial"/>
          <w:b/>
          <w:sz w:val="24"/>
          <w:szCs w:val="20"/>
        </w:rPr>
        <w:t>parceamento</w:t>
      </w:r>
      <w:proofErr w:type="spellEnd"/>
      <w:r w:rsidRPr="00E91AB0">
        <w:rPr>
          <w:rFonts w:ascii="Arial" w:hAnsi="Arial" w:cs="Arial"/>
          <w:b/>
          <w:sz w:val="24"/>
          <w:szCs w:val="20"/>
        </w:rPr>
        <w:t xml:space="preserve"> do solo.</w:t>
      </w:r>
      <w:r w:rsidRPr="00E91AB0">
        <w:rPr>
          <w:rFonts w:ascii="Arial" w:hAnsi="Arial" w:cs="Arial"/>
          <w:sz w:val="24"/>
          <w:szCs w:val="20"/>
        </w:rPr>
        <w:t xml:space="preserve"> 2. Ed. São Paulo: </w:t>
      </w:r>
      <w:proofErr w:type="gramStart"/>
      <w:r w:rsidRPr="00E91AB0">
        <w:rPr>
          <w:rFonts w:ascii="Arial" w:hAnsi="Arial" w:cs="Arial"/>
          <w:sz w:val="24"/>
          <w:szCs w:val="20"/>
        </w:rPr>
        <w:t>Saraiva,</w:t>
      </w:r>
      <w:proofErr w:type="gramEnd"/>
      <w:r w:rsidRPr="00E91AB0">
        <w:rPr>
          <w:rFonts w:ascii="Arial" w:hAnsi="Arial" w:cs="Arial"/>
          <w:sz w:val="24"/>
          <w:szCs w:val="20"/>
        </w:rPr>
        <w:t xml:space="preserve"> 1988</w:t>
      </w:r>
      <w:r>
        <w:rPr>
          <w:rFonts w:ascii="Arial" w:hAnsi="Arial" w:cs="Arial"/>
          <w:sz w:val="24"/>
          <w:szCs w:val="20"/>
        </w:rPr>
        <w:t>.</w:t>
      </w:r>
    </w:p>
    <w:p w:rsidR="00104361" w:rsidRDefault="00104361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104361">
        <w:rPr>
          <w:rFonts w:ascii="Arial" w:hAnsi="Arial" w:cs="Arial"/>
          <w:sz w:val="24"/>
          <w:szCs w:val="20"/>
        </w:rPr>
        <w:t xml:space="preserve">MEIRELLES, Hely Lopes. </w:t>
      </w:r>
      <w:r w:rsidRPr="003A6A1F">
        <w:rPr>
          <w:rFonts w:ascii="Arial" w:hAnsi="Arial" w:cs="Arial"/>
          <w:b/>
          <w:sz w:val="24"/>
          <w:szCs w:val="20"/>
        </w:rPr>
        <w:t>Direito de Construir.</w:t>
      </w:r>
      <w:r w:rsidRPr="00104361">
        <w:rPr>
          <w:rFonts w:ascii="Arial" w:hAnsi="Arial" w:cs="Arial"/>
          <w:sz w:val="24"/>
          <w:szCs w:val="20"/>
        </w:rPr>
        <w:t xml:space="preserve"> 9ª edição. São Paulo: Malheiros, 2005</w:t>
      </w:r>
      <w:r w:rsidR="003A6A1F">
        <w:rPr>
          <w:rFonts w:ascii="Arial" w:hAnsi="Arial" w:cs="Arial"/>
          <w:sz w:val="24"/>
          <w:szCs w:val="20"/>
        </w:rPr>
        <w:t>.</w:t>
      </w:r>
      <w:r w:rsidRPr="00104361">
        <w:rPr>
          <w:rFonts w:ascii="Arial" w:hAnsi="Arial" w:cs="Arial"/>
          <w:sz w:val="24"/>
          <w:szCs w:val="20"/>
        </w:rPr>
        <w:t xml:space="preserve"> </w:t>
      </w:r>
    </w:p>
    <w:p w:rsidR="003A6A1F" w:rsidRDefault="003A6A1F" w:rsidP="007C35F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3A6A1F">
        <w:rPr>
          <w:rFonts w:ascii="Arial" w:hAnsi="Arial" w:cs="Arial"/>
          <w:sz w:val="24"/>
          <w:szCs w:val="20"/>
        </w:rPr>
        <w:t xml:space="preserve">RIZZARDO, Arnaldo. </w:t>
      </w:r>
      <w:r w:rsidRPr="003A6A1F">
        <w:rPr>
          <w:rFonts w:ascii="Arial" w:hAnsi="Arial" w:cs="Arial"/>
          <w:b/>
          <w:sz w:val="24"/>
          <w:szCs w:val="20"/>
        </w:rPr>
        <w:t>Direito das coisas: Lei 10.406, de 10.01.2002.</w:t>
      </w:r>
      <w:r w:rsidRPr="003A6A1F">
        <w:rPr>
          <w:rFonts w:ascii="Arial" w:hAnsi="Arial" w:cs="Arial"/>
          <w:sz w:val="24"/>
          <w:szCs w:val="20"/>
        </w:rPr>
        <w:t xml:space="preserve"> Rio de Janeiro: Forense, 2007</w:t>
      </w:r>
      <w:r>
        <w:rPr>
          <w:rFonts w:ascii="Arial" w:hAnsi="Arial" w:cs="Arial"/>
          <w:sz w:val="24"/>
          <w:szCs w:val="20"/>
        </w:rPr>
        <w:t>.</w:t>
      </w:r>
    </w:p>
    <w:p w:rsidR="00D60119" w:rsidRDefault="00D60119" w:rsidP="00104361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SCAVONE</w:t>
      </w:r>
      <w:r w:rsidR="002512EE">
        <w:rPr>
          <w:rFonts w:ascii="Arial" w:hAnsi="Arial" w:cs="Arial"/>
          <w:sz w:val="24"/>
          <w:szCs w:val="20"/>
        </w:rPr>
        <w:t xml:space="preserve"> JÚNIOR, Luiz Antonio. </w:t>
      </w:r>
      <w:r w:rsidR="002512EE" w:rsidRPr="002512EE">
        <w:rPr>
          <w:rFonts w:ascii="Arial" w:hAnsi="Arial" w:cs="Arial"/>
          <w:b/>
          <w:sz w:val="24"/>
          <w:szCs w:val="20"/>
        </w:rPr>
        <w:t>Loteamento fechado e loteamento irregular.</w:t>
      </w:r>
      <w:r w:rsidR="002512EE">
        <w:rPr>
          <w:rFonts w:ascii="Arial" w:hAnsi="Arial" w:cs="Arial"/>
          <w:sz w:val="24"/>
          <w:szCs w:val="20"/>
        </w:rPr>
        <w:t xml:space="preserve"> </w:t>
      </w:r>
      <w:r w:rsidR="002512EE" w:rsidRPr="002512EE">
        <w:rPr>
          <w:rFonts w:ascii="Arial" w:hAnsi="Arial" w:cs="Arial"/>
          <w:sz w:val="24"/>
          <w:szCs w:val="20"/>
        </w:rPr>
        <w:t>Disponível em: &lt;</w:t>
      </w:r>
      <w:proofErr w:type="gramStart"/>
      <w:r w:rsidR="002512EE" w:rsidRPr="002512EE">
        <w:rPr>
          <w:rFonts w:ascii="Arial" w:hAnsi="Arial" w:cs="Arial"/>
          <w:sz w:val="24"/>
          <w:szCs w:val="20"/>
        </w:rPr>
        <w:t>http://</w:t>
      </w:r>
      <w:r w:rsidR="002512EE">
        <w:rPr>
          <w:rFonts w:ascii="Arial" w:hAnsi="Arial" w:cs="Arial"/>
          <w:sz w:val="24"/>
          <w:szCs w:val="20"/>
        </w:rPr>
        <w:t>www.scavone.adv.br/index.</w:t>
      </w:r>
      <w:proofErr w:type="gramEnd"/>
      <w:r w:rsidR="002512EE">
        <w:rPr>
          <w:rFonts w:ascii="Arial" w:hAnsi="Arial" w:cs="Arial"/>
          <w:sz w:val="24"/>
          <w:szCs w:val="20"/>
        </w:rPr>
        <w:t>php?</w:t>
      </w:r>
      <w:proofErr w:type="gramStart"/>
      <w:r w:rsidR="002512EE">
        <w:rPr>
          <w:rFonts w:ascii="Arial" w:hAnsi="Arial" w:cs="Arial"/>
          <w:sz w:val="24"/>
          <w:szCs w:val="20"/>
        </w:rPr>
        <w:t>loteamento</w:t>
      </w:r>
      <w:proofErr w:type="gramEnd"/>
      <w:r w:rsidR="002512EE">
        <w:rPr>
          <w:rFonts w:ascii="Arial" w:hAnsi="Arial" w:cs="Arial"/>
          <w:sz w:val="24"/>
          <w:szCs w:val="20"/>
        </w:rPr>
        <w:t>-loteamento-fechado-e-loteamento-irregular</w:t>
      </w:r>
      <w:r w:rsidR="002512EE" w:rsidRPr="002512EE">
        <w:rPr>
          <w:rFonts w:ascii="Arial" w:hAnsi="Arial" w:cs="Arial"/>
          <w:sz w:val="24"/>
          <w:szCs w:val="20"/>
        </w:rPr>
        <w:t xml:space="preserve">&gt;. Acesso em </w:t>
      </w:r>
      <w:proofErr w:type="gramStart"/>
      <w:r w:rsidR="002512EE">
        <w:rPr>
          <w:rFonts w:ascii="Arial" w:hAnsi="Arial" w:cs="Arial"/>
          <w:sz w:val="24"/>
          <w:szCs w:val="20"/>
        </w:rPr>
        <w:t>12</w:t>
      </w:r>
      <w:r w:rsidR="002512EE" w:rsidRPr="002512EE">
        <w:rPr>
          <w:rFonts w:ascii="Arial" w:hAnsi="Arial" w:cs="Arial"/>
          <w:sz w:val="24"/>
          <w:szCs w:val="20"/>
        </w:rPr>
        <w:t xml:space="preserve"> </w:t>
      </w:r>
      <w:r w:rsidR="002512EE">
        <w:rPr>
          <w:rFonts w:ascii="Arial" w:hAnsi="Arial" w:cs="Arial"/>
          <w:sz w:val="24"/>
          <w:szCs w:val="20"/>
        </w:rPr>
        <w:t>setembro 2013</w:t>
      </w:r>
      <w:proofErr w:type="gramEnd"/>
      <w:r w:rsidR="002512EE" w:rsidRPr="002512EE">
        <w:rPr>
          <w:rFonts w:ascii="Arial" w:hAnsi="Arial" w:cs="Arial"/>
          <w:sz w:val="24"/>
          <w:szCs w:val="20"/>
        </w:rPr>
        <w:t>.</w:t>
      </w:r>
    </w:p>
    <w:p w:rsidR="007C35F1" w:rsidRPr="00104361" w:rsidRDefault="007C35F1" w:rsidP="00104361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sectPr w:rsidR="007C35F1" w:rsidRPr="00104361" w:rsidSect="005526D8">
      <w:headerReference w:type="default" r:id="rId9"/>
      <w:headerReference w:type="first" r:id="rId10"/>
      <w:pgSz w:w="11907" w:h="16839" w:code="9"/>
      <w:pgMar w:top="2250" w:right="1469" w:bottom="153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74" w:rsidRDefault="005F2274" w:rsidP="00F76B34">
      <w:pPr>
        <w:spacing w:after="0" w:line="240" w:lineRule="auto"/>
      </w:pPr>
      <w:r>
        <w:separator/>
      </w:r>
    </w:p>
  </w:endnote>
  <w:endnote w:type="continuationSeparator" w:id="0">
    <w:p w:rsidR="005F2274" w:rsidRDefault="005F2274" w:rsidP="00F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74" w:rsidRDefault="005F2274" w:rsidP="00F76B34">
      <w:pPr>
        <w:spacing w:after="0" w:line="240" w:lineRule="auto"/>
      </w:pPr>
      <w:r>
        <w:separator/>
      </w:r>
    </w:p>
  </w:footnote>
  <w:footnote w:type="continuationSeparator" w:id="0">
    <w:p w:rsidR="005F2274" w:rsidRDefault="005F2274" w:rsidP="00F76B34">
      <w:pPr>
        <w:spacing w:after="0" w:line="240" w:lineRule="auto"/>
      </w:pPr>
      <w:r>
        <w:continuationSeparator/>
      </w:r>
    </w:p>
  </w:footnote>
  <w:footnote w:id="1">
    <w:p w:rsidR="00D73718" w:rsidRDefault="00D73718" w:rsidP="00F5033D">
      <w:pPr>
        <w:pStyle w:val="Textodenotaderodap"/>
      </w:pPr>
      <w:r>
        <w:rPr>
          <w:rStyle w:val="Refdenotaderodap"/>
        </w:rPr>
        <w:footnoteRef/>
      </w:r>
      <w:r>
        <w:t xml:space="preserve"> COUTO, Sérgio A. Frazão do. Manual teórico e prático do parcelamento urbano. Rio de Janeiro: Ed. Forense, 1981, pág. </w:t>
      </w:r>
      <w:proofErr w:type="gramStart"/>
      <w:r>
        <w:t>5</w:t>
      </w:r>
      <w:proofErr w:type="gramEnd"/>
    </w:p>
  </w:footnote>
  <w:footnote w:id="2">
    <w:p w:rsidR="00D73718" w:rsidRDefault="00D73718" w:rsidP="00F5033D">
      <w:pPr>
        <w:pStyle w:val="Textodenotaderodap"/>
      </w:pPr>
      <w:r>
        <w:rPr>
          <w:rStyle w:val="Refdenotaderodap"/>
        </w:rPr>
        <w:footnoteRef/>
      </w:r>
      <w:r>
        <w:t xml:space="preserve"> GASPARINI, </w:t>
      </w:r>
      <w:proofErr w:type="spellStart"/>
      <w:r>
        <w:t>Diogenes</w:t>
      </w:r>
      <w:proofErr w:type="spellEnd"/>
      <w:r>
        <w:t xml:space="preserve">. O município e o </w:t>
      </w:r>
      <w:proofErr w:type="spellStart"/>
      <w:r>
        <w:t>parceamento</w:t>
      </w:r>
      <w:proofErr w:type="spellEnd"/>
      <w:r>
        <w:t xml:space="preserve"> do solo. 2. Ed. São Paulo: </w:t>
      </w:r>
      <w:proofErr w:type="gramStart"/>
      <w:r>
        <w:t>Saraiva,</w:t>
      </w:r>
      <w:proofErr w:type="gramEnd"/>
      <w:r>
        <w:t xml:space="preserve"> 1988, pág. 5</w:t>
      </w:r>
    </w:p>
  </w:footnote>
  <w:footnote w:id="3">
    <w:p w:rsidR="00D73718" w:rsidRDefault="00D73718" w:rsidP="00F5033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4AB3">
        <w:t>RIZZARDO</w:t>
      </w:r>
      <w:r>
        <w:t xml:space="preserve">, Arnaldo. Direito das coisas: Lei 10.406, de 10.01.2002. Rio de Janeiro: Forense, 2007, pág. </w:t>
      </w:r>
      <w:proofErr w:type="gramStart"/>
      <w:r>
        <w:t>966</w:t>
      </w:r>
      <w:proofErr w:type="gramEnd"/>
    </w:p>
  </w:footnote>
  <w:footnote w:id="4">
    <w:p w:rsidR="00D73718" w:rsidRDefault="00D73718">
      <w:pPr>
        <w:pStyle w:val="Textodenotaderodap"/>
      </w:pPr>
      <w:r>
        <w:rPr>
          <w:rStyle w:val="Refdenotaderodap"/>
        </w:rPr>
        <w:footnoteRef/>
      </w:r>
      <w:r>
        <w:t xml:space="preserve"> GALHARDO, João Baptista. O Registro do Parcelamento DO Solo Para Fins Urbanos. Porto Alegre: IRIB, 2004, página 32 e 33.</w:t>
      </w:r>
    </w:p>
  </w:footnote>
  <w:footnote w:id="5">
    <w:p w:rsidR="00D73718" w:rsidRDefault="00D73718" w:rsidP="00F5033D">
      <w:pPr>
        <w:pStyle w:val="Textodenotaderodap"/>
      </w:pPr>
      <w:r>
        <w:rPr>
          <w:rStyle w:val="Refdenotaderodap"/>
        </w:rPr>
        <w:footnoteRef/>
      </w:r>
      <w:r>
        <w:t xml:space="preserve"> GASPARINI, </w:t>
      </w:r>
      <w:proofErr w:type="spellStart"/>
      <w:r>
        <w:t>Diogenes</w:t>
      </w:r>
      <w:proofErr w:type="spellEnd"/>
      <w:r>
        <w:t xml:space="preserve">. O município e o </w:t>
      </w:r>
      <w:proofErr w:type="spellStart"/>
      <w:r>
        <w:t>parceamento</w:t>
      </w:r>
      <w:proofErr w:type="spellEnd"/>
      <w:r>
        <w:t xml:space="preserve"> do solo. 2. Ed. São Paulo: </w:t>
      </w:r>
      <w:proofErr w:type="gramStart"/>
      <w:r>
        <w:t>Saraiva,</w:t>
      </w:r>
      <w:proofErr w:type="gramEnd"/>
      <w:r>
        <w:t xml:space="preserve"> 1988, pág. 13</w:t>
      </w:r>
    </w:p>
  </w:footnote>
  <w:footnote w:id="6">
    <w:p w:rsidR="00D73718" w:rsidRDefault="00D73718" w:rsidP="00F5033D">
      <w:pPr>
        <w:pStyle w:val="Textodenotaderodap"/>
      </w:pPr>
      <w:r>
        <w:rPr>
          <w:rStyle w:val="Refdenotaderodap"/>
        </w:rPr>
        <w:footnoteRef/>
      </w:r>
      <w:r>
        <w:t xml:space="preserve"> GALHARDO, João Ba</w:t>
      </w:r>
      <w:r w:rsidR="00E2520B">
        <w:t>p</w:t>
      </w:r>
      <w:r>
        <w:t xml:space="preserve">tista. O registro do parcelamento do solo para fins urbanos. Porto Alegre: IRIB, 2004, </w:t>
      </w:r>
      <w:proofErr w:type="spellStart"/>
      <w:r>
        <w:t>pág</w:t>
      </w:r>
      <w:proofErr w:type="spellEnd"/>
      <w:r>
        <w:t xml:space="preserve"> </w:t>
      </w:r>
      <w:proofErr w:type="gramStart"/>
      <w:r>
        <w:t>34</w:t>
      </w:r>
      <w:proofErr w:type="gramEnd"/>
    </w:p>
  </w:footnote>
  <w:footnote w:id="7">
    <w:p w:rsidR="00D73718" w:rsidRDefault="00D73718">
      <w:pPr>
        <w:pStyle w:val="Textodenotaderodap"/>
      </w:pPr>
      <w:r>
        <w:rPr>
          <w:rStyle w:val="Refdenotaderodap"/>
        </w:rPr>
        <w:footnoteRef/>
      </w:r>
      <w:r>
        <w:t xml:space="preserve"> MEIRELLES, Hely Lopes. Direito de Construir. 9ª edição. São Paulo: Malheiros, 2005, página </w:t>
      </w:r>
      <w:proofErr w:type="gramStart"/>
      <w:r>
        <w:t>138</w:t>
      </w:r>
      <w:proofErr w:type="gramEnd"/>
    </w:p>
  </w:footnote>
  <w:footnote w:id="8">
    <w:p w:rsidR="00D73718" w:rsidRDefault="00D73718">
      <w:pPr>
        <w:pStyle w:val="Textodenotaderodap"/>
      </w:pPr>
      <w:r>
        <w:rPr>
          <w:rStyle w:val="Refdenotaderodap"/>
        </w:rPr>
        <w:footnoteRef/>
      </w:r>
      <w:r>
        <w:t xml:space="preserve"> AMADEI, Vicente de Abreu. Urbanismo Realista. Campinas: Millenium, 2006, página 68.</w:t>
      </w:r>
    </w:p>
  </w:footnote>
  <w:footnote w:id="9">
    <w:p w:rsidR="00D73718" w:rsidRDefault="00D73718">
      <w:pPr>
        <w:pStyle w:val="Textodenotaderodap"/>
      </w:pPr>
      <w:r w:rsidRPr="001A13B1">
        <w:rPr>
          <w:rStyle w:val="Refdenotaderodap"/>
        </w:rPr>
        <w:footnoteRef/>
      </w:r>
      <w:r w:rsidRPr="001A13B1">
        <w:t xml:space="preserve"> </w:t>
      </w:r>
      <w:proofErr w:type="spellStart"/>
      <w:r w:rsidRPr="001A13B1">
        <w:t>Elvino</w:t>
      </w:r>
      <w:proofErr w:type="spellEnd"/>
      <w:r w:rsidRPr="001A13B1">
        <w:t xml:space="preserve"> Silva Filho </w:t>
      </w:r>
      <w:r w:rsidRPr="001A13B1">
        <w:rPr>
          <w:i/>
        </w:rPr>
        <w:t>apud</w:t>
      </w:r>
      <w:r w:rsidRPr="001A13B1">
        <w:t xml:space="preserve"> </w:t>
      </w:r>
      <w:r w:rsidR="002512EE" w:rsidRPr="002512EE">
        <w:t>SCAVONE JÚNIOR, Luiz Antonio. Loteamento fechado e loteamento irregular. Disponível em: &lt;</w:t>
      </w:r>
      <w:proofErr w:type="gramStart"/>
      <w:r w:rsidR="002512EE" w:rsidRPr="002512EE">
        <w:t>http://www.scavone.adv.br/index.</w:t>
      </w:r>
      <w:proofErr w:type="gramEnd"/>
      <w:r w:rsidR="002512EE" w:rsidRPr="002512EE">
        <w:t>php?</w:t>
      </w:r>
      <w:proofErr w:type="gramStart"/>
      <w:r w:rsidR="002512EE" w:rsidRPr="002512EE">
        <w:t>loteamento</w:t>
      </w:r>
      <w:proofErr w:type="gramEnd"/>
      <w:r w:rsidR="002512EE" w:rsidRPr="002512EE">
        <w:t xml:space="preserve">-loteamento-fechado-e-loteamento-irregular&gt;. Acesso em </w:t>
      </w:r>
      <w:proofErr w:type="gramStart"/>
      <w:r w:rsidR="002512EE" w:rsidRPr="002512EE">
        <w:t>12 setembro 2013</w:t>
      </w:r>
      <w:proofErr w:type="gramEnd"/>
      <w:r w:rsidR="002512EE" w:rsidRPr="002512EE">
        <w:t>.</w:t>
      </w:r>
    </w:p>
  </w:footnote>
  <w:footnote w:id="10">
    <w:p w:rsidR="00D73718" w:rsidRDefault="00D73718" w:rsidP="009C6245">
      <w:pPr>
        <w:pStyle w:val="Textodenotaderodap"/>
      </w:pPr>
      <w:r>
        <w:rPr>
          <w:rStyle w:val="Refdenotaderodap"/>
        </w:rPr>
        <w:footnoteRef/>
      </w:r>
      <w:r>
        <w:t xml:space="preserve"> AMORIN, José </w:t>
      </w:r>
      <w:proofErr w:type="spellStart"/>
      <w:r>
        <w:t>Robero</w:t>
      </w:r>
      <w:proofErr w:type="spellEnd"/>
      <w:r>
        <w:t xml:space="preserve"> Neves e ELIAS FILHO, Rubens Carmo. Direito imobiliário: Questões contemporâneas. Rio de Janeiro: </w:t>
      </w:r>
      <w:proofErr w:type="spellStart"/>
      <w:r>
        <w:t>Elsevier</w:t>
      </w:r>
      <w:proofErr w:type="spellEnd"/>
      <w:r>
        <w:t xml:space="preserve">, 2008, página </w:t>
      </w:r>
      <w:proofErr w:type="gramStart"/>
      <w:r>
        <w:t>61</w:t>
      </w:r>
      <w:proofErr w:type="gramEnd"/>
    </w:p>
  </w:footnote>
  <w:footnote w:id="11">
    <w:p w:rsidR="00D73718" w:rsidRDefault="00D737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62E56" w:rsidRPr="00E62E56">
        <w:t xml:space="preserve">CHALHUB, </w:t>
      </w:r>
      <w:proofErr w:type="spellStart"/>
      <w:r w:rsidR="00E62E56" w:rsidRPr="00E62E56">
        <w:t>Melhim</w:t>
      </w:r>
      <w:proofErr w:type="spellEnd"/>
      <w:r w:rsidR="00E62E56" w:rsidRPr="00E62E56">
        <w:t xml:space="preserve"> </w:t>
      </w:r>
      <w:proofErr w:type="spellStart"/>
      <w:r w:rsidR="00E62E56" w:rsidRPr="00E62E56">
        <w:t>Namem</w:t>
      </w:r>
      <w:proofErr w:type="spellEnd"/>
      <w:r w:rsidR="00E62E56" w:rsidRPr="00E62E56">
        <w:t>. Condomínio de Lotes de Terreno Urbano. São Paulo: Revista de Direito Imobiliário, 2009, nº 67.</w:t>
      </w:r>
    </w:p>
  </w:footnote>
  <w:footnote w:id="12">
    <w:p w:rsidR="00D73718" w:rsidRDefault="00D73718">
      <w:pPr>
        <w:pStyle w:val="Textodenotaderodap"/>
      </w:pPr>
      <w:r w:rsidRPr="001A13B1">
        <w:rPr>
          <w:rStyle w:val="Refdenotaderodap"/>
        </w:rPr>
        <w:footnoteRef/>
      </w:r>
      <w:r w:rsidRPr="001A13B1">
        <w:t xml:space="preserve"> </w:t>
      </w:r>
      <w:r w:rsidR="002512EE" w:rsidRPr="002512EE">
        <w:t>SCAVONE JÚNIOR, Luiz Antonio. Loteamento fechado e loteamento irregular. Disponível em: &lt;</w:t>
      </w:r>
      <w:proofErr w:type="gramStart"/>
      <w:r w:rsidR="002512EE" w:rsidRPr="002512EE">
        <w:t>http://www.scavone.adv.br/index.</w:t>
      </w:r>
      <w:proofErr w:type="gramEnd"/>
      <w:r w:rsidR="002512EE" w:rsidRPr="002512EE">
        <w:t>php?</w:t>
      </w:r>
      <w:proofErr w:type="gramStart"/>
      <w:r w:rsidR="002512EE" w:rsidRPr="002512EE">
        <w:t>loteamento</w:t>
      </w:r>
      <w:proofErr w:type="gramEnd"/>
      <w:r w:rsidR="002512EE" w:rsidRPr="002512EE">
        <w:t xml:space="preserve">-loteamento-fechado-e-loteamento-irregular&gt;. Acesso em </w:t>
      </w:r>
      <w:proofErr w:type="gramStart"/>
      <w:r w:rsidR="002512EE" w:rsidRPr="002512EE">
        <w:t>12 setembro 2013</w:t>
      </w:r>
      <w:proofErr w:type="gramEnd"/>
      <w:r w:rsidR="002512EE" w:rsidRPr="002512EE">
        <w:t>.</w:t>
      </w:r>
    </w:p>
  </w:footnote>
  <w:footnote w:id="13">
    <w:p w:rsidR="00D73718" w:rsidRDefault="00D73718">
      <w:pPr>
        <w:pStyle w:val="Textodenotaderodap"/>
      </w:pPr>
      <w:r>
        <w:rPr>
          <w:rStyle w:val="Refdenotaderodap"/>
        </w:rPr>
        <w:footnoteRef/>
      </w:r>
      <w:r>
        <w:t xml:space="preserve"> AMORIN, José </w:t>
      </w:r>
      <w:proofErr w:type="spellStart"/>
      <w:r>
        <w:t>Robero</w:t>
      </w:r>
      <w:proofErr w:type="spellEnd"/>
      <w:r>
        <w:t xml:space="preserve"> Neves e ELIAS FILHO, Rubens Carmo. Direito imobiliário: Questões contemporâneas. Rio de Janeiro: </w:t>
      </w:r>
      <w:proofErr w:type="spellStart"/>
      <w:r>
        <w:t>Elsevier</w:t>
      </w:r>
      <w:proofErr w:type="spellEnd"/>
      <w:r>
        <w:t xml:space="preserve">, 2008, página </w:t>
      </w:r>
      <w:proofErr w:type="gramStart"/>
      <w:r>
        <w:t>75</w:t>
      </w:r>
      <w:proofErr w:type="gramEnd"/>
    </w:p>
  </w:footnote>
  <w:footnote w:id="14">
    <w:p w:rsidR="00D73718" w:rsidRPr="001A13B1" w:rsidRDefault="00D73718">
      <w:pPr>
        <w:pStyle w:val="Textodenotaderodap"/>
      </w:pPr>
      <w:r w:rsidRPr="001A13B1">
        <w:rPr>
          <w:rStyle w:val="Refdenotaderodap"/>
        </w:rPr>
        <w:footnoteRef/>
      </w:r>
      <w:r w:rsidRPr="001A13B1">
        <w:t xml:space="preserve"> </w:t>
      </w:r>
      <w:r w:rsidR="00E62E56" w:rsidRPr="00E62E56">
        <w:t xml:space="preserve">CHALHUB, </w:t>
      </w:r>
      <w:proofErr w:type="spellStart"/>
      <w:r w:rsidR="00E62E56" w:rsidRPr="00E62E56">
        <w:t>Melhim</w:t>
      </w:r>
      <w:proofErr w:type="spellEnd"/>
      <w:r w:rsidR="00E62E56" w:rsidRPr="00E62E56">
        <w:t xml:space="preserve"> </w:t>
      </w:r>
      <w:proofErr w:type="spellStart"/>
      <w:r w:rsidR="00E62E56" w:rsidRPr="00E62E56">
        <w:t>Namem</w:t>
      </w:r>
      <w:proofErr w:type="spellEnd"/>
      <w:r w:rsidR="00E62E56" w:rsidRPr="00E62E56">
        <w:t>. Condomínio de Lotes de Terreno Urbano. São Paulo: Revista de Direito Imobiliário, 2009, nº 67.</w:t>
      </w:r>
    </w:p>
  </w:footnote>
  <w:footnote w:id="15">
    <w:p w:rsidR="00D73718" w:rsidRDefault="00D73718">
      <w:pPr>
        <w:pStyle w:val="Textodenotaderodap"/>
      </w:pPr>
      <w:r w:rsidRPr="001A13B1">
        <w:rPr>
          <w:rStyle w:val="Refdenotaderodap"/>
        </w:rPr>
        <w:footnoteRef/>
      </w:r>
      <w:r w:rsidRPr="001A13B1">
        <w:t xml:space="preserve"> </w:t>
      </w:r>
      <w:r w:rsidR="002512EE" w:rsidRPr="002512EE">
        <w:t>SCAVONE JÚNIOR, Luiz Antonio. Loteamento fechado e loteamento irregular. Disponível em: &lt;</w:t>
      </w:r>
      <w:proofErr w:type="gramStart"/>
      <w:r w:rsidR="002512EE" w:rsidRPr="002512EE">
        <w:t>http://www.scavone.adv.br/index.</w:t>
      </w:r>
      <w:proofErr w:type="gramEnd"/>
      <w:r w:rsidR="002512EE" w:rsidRPr="002512EE">
        <w:t>php?</w:t>
      </w:r>
      <w:proofErr w:type="gramStart"/>
      <w:r w:rsidR="002512EE" w:rsidRPr="002512EE">
        <w:t>loteamento</w:t>
      </w:r>
      <w:proofErr w:type="gramEnd"/>
      <w:r w:rsidR="002512EE" w:rsidRPr="002512EE">
        <w:t xml:space="preserve">-loteamento-fechado-e-loteamento-irregular&gt;. Acesso em </w:t>
      </w:r>
      <w:proofErr w:type="gramStart"/>
      <w:r w:rsidR="002512EE" w:rsidRPr="002512EE">
        <w:t>12 setembro 2013</w:t>
      </w:r>
      <w:proofErr w:type="gramEnd"/>
      <w:r w:rsidR="002512EE" w:rsidRPr="002512EE">
        <w:t>.</w:t>
      </w:r>
    </w:p>
  </w:footnote>
  <w:footnote w:id="16">
    <w:p w:rsidR="00D73718" w:rsidRDefault="00D73718">
      <w:pPr>
        <w:pStyle w:val="Textodenotaderodap"/>
      </w:pPr>
      <w:r w:rsidRPr="001A13B1">
        <w:rPr>
          <w:rStyle w:val="Refdenotaderodap"/>
        </w:rPr>
        <w:footnoteRef/>
      </w:r>
      <w:r w:rsidRPr="001A13B1">
        <w:t xml:space="preserve"> </w:t>
      </w:r>
      <w:r w:rsidR="00977735" w:rsidRPr="002512EE">
        <w:t>SCAVONE JÚNIOR, Luiz Antonio. Loteamento fechado e loteamento irregular. Disponível em: &lt;</w:t>
      </w:r>
      <w:proofErr w:type="gramStart"/>
      <w:r w:rsidR="00977735" w:rsidRPr="002512EE">
        <w:t>http://www.scavone.adv.br/index.</w:t>
      </w:r>
      <w:proofErr w:type="gramEnd"/>
      <w:r w:rsidR="00977735" w:rsidRPr="002512EE">
        <w:t>php?</w:t>
      </w:r>
      <w:proofErr w:type="gramStart"/>
      <w:r w:rsidR="00977735" w:rsidRPr="002512EE">
        <w:t>loteamento</w:t>
      </w:r>
      <w:proofErr w:type="gramEnd"/>
      <w:r w:rsidR="00977735" w:rsidRPr="002512EE">
        <w:t xml:space="preserve">-loteamento-fechado-e-loteamento-irregular&gt;. Acesso em </w:t>
      </w:r>
      <w:proofErr w:type="gramStart"/>
      <w:r w:rsidR="00977735" w:rsidRPr="002512EE">
        <w:t>12 setembro 2013</w:t>
      </w:r>
      <w:proofErr w:type="gramEnd"/>
      <w:r w:rsidR="00977735" w:rsidRPr="002512E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2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3718" w:rsidRPr="00147002" w:rsidRDefault="00D73718">
        <w:pPr>
          <w:pStyle w:val="Cabealho"/>
          <w:jc w:val="right"/>
          <w:rPr>
            <w:sz w:val="24"/>
            <w:szCs w:val="24"/>
          </w:rPr>
        </w:pPr>
        <w:r w:rsidRPr="00147002">
          <w:rPr>
            <w:rFonts w:ascii="Arial" w:hAnsi="Arial" w:cs="Arial"/>
            <w:sz w:val="24"/>
            <w:szCs w:val="24"/>
          </w:rPr>
          <w:fldChar w:fldCharType="begin"/>
        </w:r>
        <w:r w:rsidRPr="0014700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47002">
          <w:rPr>
            <w:rFonts w:ascii="Arial" w:hAnsi="Arial" w:cs="Arial"/>
            <w:sz w:val="24"/>
            <w:szCs w:val="24"/>
          </w:rPr>
          <w:fldChar w:fldCharType="separate"/>
        </w:r>
        <w:r w:rsidR="00E0565F">
          <w:rPr>
            <w:rFonts w:ascii="Arial" w:hAnsi="Arial" w:cs="Arial"/>
            <w:noProof/>
            <w:sz w:val="24"/>
            <w:szCs w:val="24"/>
          </w:rPr>
          <w:t>1</w:t>
        </w:r>
        <w:r w:rsidRPr="0014700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73718" w:rsidRDefault="00D737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2846"/>
      <w:docPartObj>
        <w:docPartGallery w:val="Page Numbers (Top of Page)"/>
        <w:docPartUnique/>
      </w:docPartObj>
    </w:sdtPr>
    <w:sdtEndPr/>
    <w:sdtContent>
      <w:p w:rsidR="00D73718" w:rsidRDefault="005F2274">
        <w:pPr>
          <w:pStyle w:val="Cabealho"/>
          <w:jc w:val="right"/>
        </w:pPr>
      </w:p>
    </w:sdtContent>
  </w:sdt>
  <w:p w:rsidR="00D73718" w:rsidRDefault="00D737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8E1"/>
    <w:multiLevelType w:val="multilevel"/>
    <w:tmpl w:val="9ED61F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4E45BAD"/>
    <w:multiLevelType w:val="hybridMultilevel"/>
    <w:tmpl w:val="96EC4C7A"/>
    <w:lvl w:ilvl="0" w:tplc="A3E88400">
      <w:start w:val="1"/>
      <w:numFmt w:val="lowerRoman"/>
      <w:lvlText w:val="(%1)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EE92309"/>
    <w:multiLevelType w:val="multilevel"/>
    <w:tmpl w:val="A22603C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E0A4F"/>
    <w:multiLevelType w:val="multilevel"/>
    <w:tmpl w:val="3FAAEB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7769BE"/>
    <w:multiLevelType w:val="multilevel"/>
    <w:tmpl w:val="BB44D66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60335A"/>
    <w:multiLevelType w:val="hybridMultilevel"/>
    <w:tmpl w:val="9C945BE4"/>
    <w:lvl w:ilvl="0" w:tplc="B71E719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6164BC5"/>
    <w:multiLevelType w:val="multilevel"/>
    <w:tmpl w:val="34564B0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20B93"/>
    <w:multiLevelType w:val="hybridMultilevel"/>
    <w:tmpl w:val="A73046D0"/>
    <w:lvl w:ilvl="0" w:tplc="8DF6B4B8">
      <w:start w:val="1"/>
      <w:numFmt w:val="lowerRoman"/>
      <w:lvlText w:val="(%1)"/>
      <w:lvlJc w:val="left"/>
      <w:pPr>
        <w:ind w:left="1854" w:hanging="72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2BC21EC"/>
    <w:multiLevelType w:val="hybridMultilevel"/>
    <w:tmpl w:val="9EB8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159D3"/>
    <w:multiLevelType w:val="multilevel"/>
    <w:tmpl w:val="8188A03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5B72E5"/>
    <w:multiLevelType w:val="hybridMultilevel"/>
    <w:tmpl w:val="D8B64E62"/>
    <w:lvl w:ilvl="0" w:tplc="6358AC42">
      <w:start w:val="1"/>
      <w:numFmt w:val="lowerRoman"/>
      <w:lvlText w:val="(%1)"/>
      <w:lvlJc w:val="left"/>
      <w:pPr>
        <w:ind w:left="3240" w:hanging="1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9731C3"/>
    <w:multiLevelType w:val="multilevel"/>
    <w:tmpl w:val="9E8E5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611EBC"/>
    <w:multiLevelType w:val="multilevel"/>
    <w:tmpl w:val="8BA6CB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2E5E53"/>
    <w:multiLevelType w:val="multilevel"/>
    <w:tmpl w:val="D0200A8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791556"/>
    <w:multiLevelType w:val="multilevel"/>
    <w:tmpl w:val="8800EB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A304C6D"/>
    <w:multiLevelType w:val="hybridMultilevel"/>
    <w:tmpl w:val="79427C78"/>
    <w:lvl w:ilvl="0" w:tplc="0416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4EC23D0B"/>
    <w:multiLevelType w:val="hybridMultilevel"/>
    <w:tmpl w:val="2502060E"/>
    <w:lvl w:ilvl="0" w:tplc="0416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546F0075"/>
    <w:multiLevelType w:val="multilevel"/>
    <w:tmpl w:val="808AAED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D24E25"/>
    <w:multiLevelType w:val="multilevel"/>
    <w:tmpl w:val="4050CF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8F38F4"/>
    <w:multiLevelType w:val="multilevel"/>
    <w:tmpl w:val="5E72D1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B35B7D"/>
    <w:multiLevelType w:val="hybridMultilevel"/>
    <w:tmpl w:val="0C7E98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6DEA"/>
    <w:multiLevelType w:val="multilevel"/>
    <w:tmpl w:val="D18EED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7AD1598"/>
    <w:multiLevelType w:val="multilevel"/>
    <w:tmpl w:val="23E08AF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82E6EFB"/>
    <w:multiLevelType w:val="multilevel"/>
    <w:tmpl w:val="CACC6E5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C0C67BA"/>
    <w:multiLevelType w:val="hybridMultilevel"/>
    <w:tmpl w:val="B396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41EAB"/>
    <w:multiLevelType w:val="hybridMultilevel"/>
    <w:tmpl w:val="9C945BE4"/>
    <w:lvl w:ilvl="0" w:tplc="B71E719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17"/>
  </w:num>
  <w:num w:numId="11">
    <w:abstractNumId w:val="9"/>
  </w:num>
  <w:num w:numId="12">
    <w:abstractNumId w:val="22"/>
  </w:num>
  <w:num w:numId="13">
    <w:abstractNumId w:val="8"/>
  </w:num>
  <w:num w:numId="14">
    <w:abstractNumId w:val="24"/>
  </w:num>
  <w:num w:numId="15">
    <w:abstractNumId w:val="21"/>
  </w:num>
  <w:num w:numId="16">
    <w:abstractNumId w:val="13"/>
  </w:num>
  <w:num w:numId="17">
    <w:abstractNumId w:val="6"/>
  </w:num>
  <w:num w:numId="18">
    <w:abstractNumId w:val="23"/>
  </w:num>
  <w:num w:numId="19">
    <w:abstractNumId w:val="1"/>
  </w:num>
  <w:num w:numId="20">
    <w:abstractNumId w:val="5"/>
  </w:num>
  <w:num w:numId="21">
    <w:abstractNumId w:val="10"/>
  </w:num>
  <w:num w:numId="22">
    <w:abstractNumId w:val="25"/>
  </w:num>
  <w:num w:numId="23">
    <w:abstractNumId w:val="7"/>
  </w:num>
  <w:num w:numId="24">
    <w:abstractNumId w:val="16"/>
  </w:num>
  <w:num w:numId="25">
    <w:abstractNumId w:val="15"/>
  </w:num>
  <w:num w:numId="2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A1"/>
    <w:rsid w:val="00005F48"/>
    <w:rsid w:val="0001792A"/>
    <w:rsid w:val="00021005"/>
    <w:rsid w:val="00024C7A"/>
    <w:rsid w:val="000254C2"/>
    <w:rsid w:val="000255F8"/>
    <w:rsid w:val="000256CD"/>
    <w:rsid w:val="0002627A"/>
    <w:rsid w:val="0002729B"/>
    <w:rsid w:val="00027FAB"/>
    <w:rsid w:val="00030582"/>
    <w:rsid w:val="00031108"/>
    <w:rsid w:val="00033A2E"/>
    <w:rsid w:val="00035592"/>
    <w:rsid w:val="00037692"/>
    <w:rsid w:val="000410C6"/>
    <w:rsid w:val="0004167D"/>
    <w:rsid w:val="00041974"/>
    <w:rsid w:val="00041DBB"/>
    <w:rsid w:val="00044DFF"/>
    <w:rsid w:val="00046619"/>
    <w:rsid w:val="00047517"/>
    <w:rsid w:val="00047C92"/>
    <w:rsid w:val="000513C7"/>
    <w:rsid w:val="000513D4"/>
    <w:rsid w:val="00051ED0"/>
    <w:rsid w:val="00052510"/>
    <w:rsid w:val="00052CB4"/>
    <w:rsid w:val="000539C2"/>
    <w:rsid w:val="000561F2"/>
    <w:rsid w:val="00056806"/>
    <w:rsid w:val="000607AE"/>
    <w:rsid w:val="000634C1"/>
    <w:rsid w:val="00063C75"/>
    <w:rsid w:val="00064632"/>
    <w:rsid w:val="00066AE9"/>
    <w:rsid w:val="000679E4"/>
    <w:rsid w:val="000711B7"/>
    <w:rsid w:val="000733BA"/>
    <w:rsid w:val="00074DC0"/>
    <w:rsid w:val="00076029"/>
    <w:rsid w:val="00076B0E"/>
    <w:rsid w:val="0007731F"/>
    <w:rsid w:val="000800DD"/>
    <w:rsid w:val="00080889"/>
    <w:rsid w:val="00082D12"/>
    <w:rsid w:val="00087010"/>
    <w:rsid w:val="00090890"/>
    <w:rsid w:val="00090BF7"/>
    <w:rsid w:val="00090D3B"/>
    <w:rsid w:val="000924B0"/>
    <w:rsid w:val="00094468"/>
    <w:rsid w:val="000947B9"/>
    <w:rsid w:val="00094A42"/>
    <w:rsid w:val="00095755"/>
    <w:rsid w:val="000961CC"/>
    <w:rsid w:val="00097C4C"/>
    <w:rsid w:val="000A046E"/>
    <w:rsid w:val="000A1C20"/>
    <w:rsid w:val="000A4DD4"/>
    <w:rsid w:val="000A5F3D"/>
    <w:rsid w:val="000A673E"/>
    <w:rsid w:val="000A7C0C"/>
    <w:rsid w:val="000B0159"/>
    <w:rsid w:val="000B15F7"/>
    <w:rsid w:val="000B41B2"/>
    <w:rsid w:val="000B5FFF"/>
    <w:rsid w:val="000B6071"/>
    <w:rsid w:val="000B7683"/>
    <w:rsid w:val="000B77B4"/>
    <w:rsid w:val="000C015F"/>
    <w:rsid w:val="000C028D"/>
    <w:rsid w:val="000C17B7"/>
    <w:rsid w:val="000C28DD"/>
    <w:rsid w:val="000C3064"/>
    <w:rsid w:val="000C3DE9"/>
    <w:rsid w:val="000C513A"/>
    <w:rsid w:val="000C5B15"/>
    <w:rsid w:val="000C6C5A"/>
    <w:rsid w:val="000C764A"/>
    <w:rsid w:val="000C7688"/>
    <w:rsid w:val="000C77EA"/>
    <w:rsid w:val="000D06D5"/>
    <w:rsid w:val="000D08B6"/>
    <w:rsid w:val="000D0C7C"/>
    <w:rsid w:val="000D1851"/>
    <w:rsid w:val="000D1A8C"/>
    <w:rsid w:val="000D2984"/>
    <w:rsid w:val="000D3287"/>
    <w:rsid w:val="000D7851"/>
    <w:rsid w:val="000E263E"/>
    <w:rsid w:val="000E4A31"/>
    <w:rsid w:val="000E54E6"/>
    <w:rsid w:val="000F0DB4"/>
    <w:rsid w:val="000F2105"/>
    <w:rsid w:val="000F3D54"/>
    <w:rsid w:val="000F6631"/>
    <w:rsid w:val="000F6D6E"/>
    <w:rsid w:val="0010002C"/>
    <w:rsid w:val="00101A0A"/>
    <w:rsid w:val="00101F17"/>
    <w:rsid w:val="00102F66"/>
    <w:rsid w:val="00104361"/>
    <w:rsid w:val="001066D3"/>
    <w:rsid w:val="00110739"/>
    <w:rsid w:val="00111587"/>
    <w:rsid w:val="00111880"/>
    <w:rsid w:val="00111B9D"/>
    <w:rsid w:val="0012104C"/>
    <w:rsid w:val="00121720"/>
    <w:rsid w:val="00123603"/>
    <w:rsid w:val="0012584F"/>
    <w:rsid w:val="001258D1"/>
    <w:rsid w:val="00126053"/>
    <w:rsid w:val="00135190"/>
    <w:rsid w:val="00135AF9"/>
    <w:rsid w:val="00135EB7"/>
    <w:rsid w:val="0013720A"/>
    <w:rsid w:val="001404BB"/>
    <w:rsid w:val="001410A1"/>
    <w:rsid w:val="00145D3E"/>
    <w:rsid w:val="001465A7"/>
    <w:rsid w:val="00147002"/>
    <w:rsid w:val="00147698"/>
    <w:rsid w:val="001518DE"/>
    <w:rsid w:val="00151F33"/>
    <w:rsid w:val="001538C8"/>
    <w:rsid w:val="001548EE"/>
    <w:rsid w:val="00156517"/>
    <w:rsid w:val="001576F9"/>
    <w:rsid w:val="00164893"/>
    <w:rsid w:val="00165768"/>
    <w:rsid w:val="00165DCA"/>
    <w:rsid w:val="0016606C"/>
    <w:rsid w:val="001663D9"/>
    <w:rsid w:val="001700C3"/>
    <w:rsid w:val="00174C7F"/>
    <w:rsid w:val="00175C0A"/>
    <w:rsid w:val="00177151"/>
    <w:rsid w:val="001774C4"/>
    <w:rsid w:val="00177C54"/>
    <w:rsid w:val="001812B7"/>
    <w:rsid w:val="00182013"/>
    <w:rsid w:val="00183057"/>
    <w:rsid w:val="0018633A"/>
    <w:rsid w:val="001878A3"/>
    <w:rsid w:val="00191921"/>
    <w:rsid w:val="00191A46"/>
    <w:rsid w:val="00192B59"/>
    <w:rsid w:val="00192D77"/>
    <w:rsid w:val="00192F6C"/>
    <w:rsid w:val="001941EF"/>
    <w:rsid w:val="00194B2A"/>
    <w:rsid w:val="00196C41"/>
    <w:rsid w:val="00197764"/>
    <w:rsid w:val="0019791C"/>
    <w:rsid w:val="001A06DB"/>
    <w:rsid w:val="001A13B1"/>
    <w:rsid w:val="001A209C"/>
    <w:rsid w:val="001A30C0"/>
    <w:rsid w:val="001A3933"/>
    <w:rsid w:val="001A3D0E"/>
    <w:rsid w:val="001A3E67"/>
    <w:rsid w:val="001A4AF1"/>
    <w:rsid w:val="001A56F8"/>
    <w:rsid w:val="001A6960"/>
    <w:rsid w:val="001A7723"/>
    <w:rsid w:val="001A7A69"/>
    <w:rsid w:val="001B02A7"/>
    <w:rsid w:val="001B1547"/>
    <w:rsid w:val="001B21F7"/>
    <w:rsid w:val="001B2AF0"/>
    <w:rsid w:val="001C03E1"/>
    <w:rsid w:val="001C1958"/>
    <w:rsid w:val="001C241A"/>
    <w:rsid w:val="001C25C5"/>
    <w:rsid w:val="001C363E"/>
    <w:rsid w:val="001C48C9"/>
    <w:rsid w:val="001C48DE"/>
    <w:rsid w:val="001C5EC5"/>
    <w:rsid w:val="001C6EEF"/>
    <w:rsid w:val="001D1C62"/>
    <w:rsid w:val="001D1E1A"/>
    <w:rsid w:val="001D2164"/>
    <w:rsid w:val="001D2F74"/>
    <w:rsid w:val="001D358F"/>
    <w:rsid w:val="001D3BEB"/>
    <w:rsid w:val="001D5279"/>
    <w:rsid w:val="001D5652"/>
    <w:rsid w:val="001E0261"/>
    <w:rsid w:val="001E15D5"/>
    <w:rsid w:val="001E1913"/>
    <w:rsid w:val="001E204F"/>
    <w:rsid w:val="001E2623"/>
    <w:rsid w:val="001E52D9"/>
    <w:rsid w:val="001E53A0"/>
    <w:rsid w:val="001E6442"/>
    <w:rsid w:val="001E6FFB"/>
    <w:rsid w:val="001E77B9"/>
    <w:rsid w:val="001F379D"/>
    <w:rsid w:val="001F3A99"/>
    <w:rsid w:val="0020163D"/>
    <w:rsid w:val="00201726"/>
    <w:rsid w:val="00201E3A"/>
    <w:rsid w:val="00201EE6"/>
    <w:rsid w:val="00202279"/>
    <w:rsid w:val="00202811"/>
    <w:rsid w:val="00204173"/>
    <w:rsid w:val="0020711A"/>
    <w:rsid w:val="0021001C"/>
    <w:rsid w:val="00210492"/>
    <w:rsid w:val="00210821"/>
    <w:rsid w:val="00210E4D"/>
    <w:rsid w:val="00212711"/>
    <w:rsid w:val="00212A3B"/>
    <w:rsid w:val="002138A8"/>
    <w:rsid w:val="00213B94"/>
    <w:rsid w:val="00213BD3"/>
    <w:rsid w:val="00214556"/>
    <w:rsid w:val="00216201"/>
    <w:rsid w:val="00222727"/>
    <w:rsid w:val="0022425E"/>
    <w:rsid w:val="0022725A"/>
    <w:rsid w:val="00230D40"/>
    <w:rsid w:val="00230E7C"/>
    <w:rsid w:val="0023184A"/>
    <w:rsid w:val="0023224B"/>
    <w:rsid w:val="00232A69"/>
    <w:rsid w:val="0023501F"/>
    <w:rsid w:val="00235B21"/>
    <w:rsid w:val="00235B8C"/>
    <w:rsid w:val="00235BC1"/>
    <w:rsid w:val="00235DFE"/>
    <w:rsid w:val="00235E35"/>
    <w:rsid w:val="00236AB5"/>
    <w:rsid w:val="002374B8"/>
    <w:rsid w:val="002403D4"/>
    <w:rsid w:val="002449FE"/>
    <w:rsid w:val="00245EBD"/>
    <w:rsid w:val="002512EE"/>
    <w:rsid w:val="002542DA"/>
    <w:rsid w:val="00256222"/>
    <w:rsid w:val="0025751B"/>
    <w:rsid w:val="00257AC4"/>
    <w:rsid w:val="00260433"/>
    <w:rsid w:val="00261AF8"/>
    <w:rsid w:val="00262157"/>
    <w:rsid w:val="00263636"/>
    <w:rsid w:val="002643D9"/>
    <w:rsid w:val="00264C05"/>
    <w:rsid w:val="00266FE2"/>
    <w:rsid w:val="002671ED"/>
    <w:rsid w:val="002702A7"/>
    <w:rsid w:val="00272AE9"/>
    <w:rsid w:val="00274D25"/>
    <w:rsid w:val="00275412"/>
    <w:rsid w:val="00275A62"/>
    <w:rsid w:val="00276475"/>
    <w:rsid w:val="00276E76"/>
    <w:rsid w:val="002776A6"/>
    <w:rsid w:val="00277CC2"/>
    <w:rsid w:val="00280C0D"/>
    <w:rsid w:val="002814BC"/>
    <w:rsid w:val="002833AA"/>
    <w:rsid w:val="00284645"/>
    <w:rsid w:val="00285621"/>
    <w:rsid w:val="0029053D"/>
    <w:rsid w:val="00291536"/>
    <w:rsid w:val="00291550"/>
    <w:rsid w:val="00292FDD"/>
    <w:rsid w:val="002956C3"/>
    <w:rsid w:val="00296EE6"/>
    <w:rsid w:val="002A1E22"/>
    <w:rsid w:val="002A2019"/>
    <w:rsid w:val="002A320E"/>
    <w:rsid w:val="002A3AF0"/>
    <w:rsid w:val="002A4244"/>
    <w:rsid w:val="002A4A48"/>
    <w:rsid w:val="002A4CBE"/>
    <w:rsid w:val="002A54EE"/>
    <w:rsid w:val="002A65EC"/>
    <w:rsid w:val="002A6AD8"/>
    <w:rsid w:val="002A7A04"/>
    <w:rsid w:val="002B0C16"/>
    <w:rsid w:val="002B34D5"/>
    <w:rsid w:val="002B43DA"/>
    <w:rsid w:val="002B7F82"/>
    <w:rsid w:val="002C0D4F"/>
    <w:rsid w:val="002C1499"/>
    <w:rsid w:val="002C3464"/>
    <w:rsid w:val="002C3ECF"/>
    <w:rsid w:val="002D161D"/>
    <w:rsid w:val="002D27F4"/>
    <w:rsid w:val="002D4E7C"/>
    <w:rsid w:val="002D5AE0"/>
    <w:rsid w:val="002D5C3B"/>
    <w:rsid w:val="002D73F8"/>
    <w:rsid w:val="002E050A"/>
    <w:rsid w:val="002E05B6"/>
    <w:rsid w:val="002E067C"/>
    <w:rsid w:val="002E2ED6"/>
    <w:rsid w:val="002E344C"/>
    <w:rsid w:val="002E3E5E"/>
    <w:rsid w:val="002E4186"/>
    <w:rsid w:val="002E5AE2"/>
    <w:rsid w:val="002E6674"/>
    <w:rsid w:val="002E7513"/>
    <w:rsid w:val="002E7592"/>
    <w:rsid w:val="002E7F32"/>
    <w:rsid w:val="002F0C65"/>
    <w:rsid w:val="002F20C2"/>
    <w:rsid w:val="002F4010"/>
    <w:rsid w:val="002F4922"/>
    <w:rsid w:val="002F5C79"/>
    <w:rsid w:val="002F60CA"/>
    <w:rsid w:val="0030232D"/>
    <w:rsid w:val="0030481F"/>
    <w:rsid w:val="003057A3"/>
    <w:rsid w:val="0031329C"/>
    <w:rsid w:val="00313848"/>
    <w:rsid w:val="00313FCD"/>
    <w:rsid w:val="00314278"/>
    <w:rsid w:val="00314893"/>
    <w:rsid w:val="00320F15"/>
    <w:rsid w:val="00321676"/>
    <w:rsid w:val="00321944"/>
    <w:rsid w:val="00321CE6"/>
    <w:rsid w:val="00321D57"/>
    <w:rsid w:val="0032275F"/>
    <w:rsid w:val="003243BD"/>
    <w:rsid w:val="0032454C"/>
    <w:rsid w:val="00324A26"/>
    <w:rsid w:val="00326A08"/>
    <w:rsid w:val="00326DC7"/>
    <w:rsid w:val="00331D53"/>
    <w:rsid w:val="00334291"/>
    <w:rsid w:val="0033459F"/>
    <w:rsid w:val="00335461"/>
    <w:rsid w:val="00335528"/>
    <w:rsid w:val="00335791"/>
    <w:rsid w:val="00337DB0"/>
    <w:rsid w:val="003405C1"/>
    <w:rsid w:val="0034138C"/>
    <w:rsid w:val="00341B12"/>
    <w:rsid w:val="00341FE8"/>
    <w:rsid w:val="00342323"/>
    <w:rsid w:val="00342833"/>
    <w:rsid w:val="0034718F"/>
    <w:rsid w:val="00350C96"/>
    <w:rsid w:val="003518AC"/>
    <w:rsid w:val="003533E3"/>
    <w:rsid w:val="0035391E"/>
    <w:rsid w:val="00354AD9"/>
    <w:rsid w:val="003565CA"/>
    <w:rsid w:val="00360CC3"/>
    <w:rsid w:val="0037395A"/>
    <w:rsid w:val="00374BB7"/>
    <w:rsid w:val="003756F7"/>
    <w:rsid w:val="00376992"/>
    <w:rsid w:val="00376A17"/>
    <w:rsid w:val="003772B6"/>
    <w:rsid w:val="003819D6"/>
    <w:rsid w:val="003842CC"/>
    <w:rsid w:val="00385BA2"/>
    <w:rsid w:val="0038646F"/>
    <w:rsid w:val="00386572"/>
    <w:rsid w:val="00387005"/>
    <w:rsid w:val="00387ACC"/>
    <w:rsid w:val="00390CBE"/>
    <w:rsid w:val="00391DE4"/>
    <w:rsid w:val="003A0BAE"/>
    <w:rsid w:val="003A1052"/>
    <w:rsid w:val="003A1913"/>
    <w:rsid w:val="003A215C"/>
    <w:rsid w:val="003A2337"/>
    <w:rsid w:val="003A26F8"/>
    <w:rsid w:val="003A595A"/>
    <w:rsid w:val="003A6A1F"/>
    <w:rsid w:val="003A6ECB"/>
    <w:rsid w:val="003A775A"/>
    <w:rsid w:val="003B09C9"/>
    <w:rsid w:val="003B0DD3"/>
    <w:rsid w:val="003B23CB"/>
    <w:rsid w:val="003B3022"/>
    <w:rsid w:val="003B698A"/>
    <w:rsid w:val="003C5289"/>
    <w:rsid w:val="003C67AB"/>
    <w:rsid w:val="003D1463"/>
    <w:rsid w:val="003D20CB"/>
    <w:rsid w:val="003D348D"/>
    <w:rsid w:val="003D3556"/>
    <w:rsid w:val="003D364F"/>
    <w:rsid w:val="003D4483"/>
    <w:rsid w:val="003D4D9A"/>
    <w:rsid w:val="003D69B8"/>
    <w:rsid w:val="003E0F7A"/>
    <w:rsid w:val="003E1902"/>
    <w:rsid w:val="003E4E91"/>
    <w:rsid w:val="003E5614"/>
    <w:rsid w:val="003E579A"/>
    <w:rsid w:val="003E6186"/>
    <w:rsid w:val="003F092E"/>
    <w:rsid w:val="003F1682"/>
    <w:rsid w:val="003F2674"/>
    <w:rsid w:val="003F3491"/>
    <w:rsid w:val="003F6819"/>
    <w:rsid w:val="0040047F"/>
    <w:rsid w:val="00401922"/>
    <w:rsid w:val="0040279F"/>
    <w:rsid w:val="00407C39"/>
    <w:rsid w:val="004113BA"/>
    <w:rsid w:val="00411B79"/>
    <w:rsid w:val="00411CC3"/>
    <w:rsid w:val="004125D6"/>
    <w:rsid w:val="00412C05"/>
    <w:rsid w:val="004229F4"/>
    <w:rsid w:val="00425FDE"/>
    <w:rsid w:val="00426275"/>
    <w:rsid w:val="00432093"/>
    <w:rsid w:val="00432C02"/>
    <w:rsid w:val="004345D2"/>
    <w:rsid w:val="00434864"/>
    <w:rsid w:val="00434F3A"/>
    <w:rsid w:val="00435F07"/>
    <w:rsid w:val="00437640"/>
    <w:rsid w:val="0044166B"/>
    <w:rsid w:val="004416AA"/>
    <w:rsid w:val="0044229E"/>
    <w:rsid w:val="00443C61"/>
    <w:rsid w:val="00444B5B"/>
    <w:rsid w:val="00444EAF"/>
    <w:rsid w:val="004454CF"/>
    <w:rsid w:val="004474C6"/>
    <w:rsid w:val="0045000A"/>
    <w:rsid w:val="00450DD1"/>
    <w:rsid w:val="00451E20"/>
    <w:rsid w:val="004522B2"/>
    <w:rsid w:val="004529C8"/>
    <w:rsid w:val="004540BE"/>
    <w:rsid w:val="0045513E"/>
    <w:rsid w:val="004567F0"/>
    <w:rsid w:val="00457D8C"/>
    <w:rsid w:val="004616F8"/>
    <w:rsid w:val="00461E5B"/>
    <w:rsid w:val="00462CBD"/>
    <w:rsid w:val="00462FB2"/>
    <w:rsid w:val="00464802"/>
    <w:rsid w:val="00464E74"/>
    <w:rsid w:val="00466C9D"/>
    <w:rsid w:val="00466D5B"/>
    <w:rsid w:val="004673FA"/>
    <w:rsid w:val="00467848"/>
    <w:rsid w:val="00470242"/>
    <w:rsid w:val="00471DCE"/>
    <w:rsid w:val="004734C1"/>
    <w:rsid w:val="004738C2"/>
    <w:rsid w:val="0047675D"/>
    <w:rsid w:val="0047726F"/>
    <w:rsid w:val="00477FD7"/>
    <w:rsid w:val="00480603"/>
    <w:rsid w:val="00480653"/>
    <w:rsid w:val="00481420"/>
    <w:rsid w:val="00481964"/>
    <w:rsid w:val="00481AF9"/>
    <w:rsid w:val="0048321B"/>
    <w:rsid w:val="00483AA6"/>
    <w:rsid w:val="0048565C"/>
    <w:rsid w:val="0048569E"/>
    <w:rsid w:val="0048643F"/>
    <w:rsid w:val="00486C0D"/>
    <w:rsid w:val="00487AC2"/>
    <w:rsid w:val="004901AB"/>
    <w:rsid w:val="004908E0"/>
    <w:rsid w:val="004909CC"/>
    <w:rsid w:val="00490CCB"/>
    <w:rsid w:val="004923CE"/>
    <w:rsid w:val="00492B7A"/>
    <w:rsid w:val="00492E6C"/>
    <w:rsid w:val="0049573B"/>
    <w:rsid w:val="0049799A"/>
    <w:rsid w:val="00497D11"/>
    <w:rsid w:val="00497EF7"/>
    <w:rsid w:val="004A0175"/>
    <w:rsid w:val="004A1002"/>
    <w:rsid w:val="004A12E7"/>
    <w:rsid w:val="004A1B25"/>
    <w:rsid w:val="004A1C8D"/>
    <w:rsid w:val="004A2AC0"/>
    <w:rsid w:val="004A460D"/>
    <w:rsid w:val="004A4D9D"/>
    <w:rsid w:val="004A50F2"/>
    <w:rsid w:val="004A6618"/>
    <w:rsid w:val="004B197E"/>
    <w:rsid w:val="004B5223"/>
    <w:rsid w:val="004B6826"/>
    <w:rsid w:val="004B706B"/>
    <w:rsid w:val="004B7203"/>
    <w:rsid w:val="004B7F1B"/>
    <w:rsid w:val="004C08D9"/>
    <w:rsid w:val="004C0CE8"/>
    <w:rsid w:val="004C2B27"/>
    <w:rsid w:val="004C736E"/>
    <w:rsid w:val="004C7B76"/>
    <w:rsid w:val="004D1B51"/>
    <w:rsid w:val="004D1FA8"/>
    <w:rsid w:val="004D3BC8"/>
    <w:rsid w:val="004D6E69"/>
    <w:rsid w:val="004D77DB"/>
    <w:rsid w:val="004E1EC0"/>
    <w:rsid w:val="004E2E72"/>
    <w:rsid w:val="004E582C"/>
    <w:rsid w:val="004E6115"/>
    <w:rsid w:val="004E7DF4"/>
    <w:rsid w:val="004F2418"/>
    <w:rsid w:val="004F24E6"/>
    <w:rsid w:val="004F2B28"/>
    <w:rsid w:val="004F2E26"/>
    <w:rsid w:val="004F352C"/>
    <w:rsid w:val="004F57CB"/>
    <w:rsid w:val="00500A17"/>
    <w:rsid w:val="0050184A"/>
    <w:rsid w:val="005046EE"/>
    <w:rsid w:val="005075E1"/>
    <w:rsid w:val="00507B81"/>
    <w:rsid w:val="00507FEC"/>
    <w:rsid w:val="00511ADB"/>
    <w:rsid w:val="005127AE"/>
    <w:rsid w:val="00513A28"/>
    <w:rsid w:val="00517CAA"/>
    <w:rsid w:val="00521BA8"/>
    <w:rsid w:val="00521F6C"/>
    <w:rsid w:val="00522697"/>
    <w:rsid w:val="0052763E"/>
    <w:rsid w:val="00527B48"/>
    <w:rsid w:val="00527B82"/>
    <w:rsid w:val="005305E2"/>
    <w:rsid w:val="00530CA1"/>
    <w:rsid w:val="005332FE"/>
    <w:rsid w:val="00534722"/>
    <w:rsid w:val="00535BC2"/>
    <w:rsid w:val="00536F4C"/>
    <w:rsid w:val="005416A9"/>
    <w:rsid w:val="0054376A"/>
    <w:rsid w:val="005452D8"/>
    <w:rsid w:val="00545B87"/>
    <w:rsid w:val="00550865"/>
    <w:rsid w:val="00550E65"/>
    <w:rsid w:val="00551370"/>
    <w:rsid w:val="005518E3"/>
    <w:rsid w:val="005522A6"/>
    <w:rsid w:val="005526D8"/>
    <w:rsid w:val="00554CD8"/>
    <w:rsid w:val="00556997"/>
    <w:rsid w:val="00557BB7"/>
    <w:rsid w:val="00561590"/>
    <w:rsid w:val="005616A0"/>
    <w:rsid w:val="00562AF1"/>
    <w:rsid w:val="00562FF3"/>
    <w:rsid w:val="00563C17"/>
    <w:rsid w:val="00564274"/>
    <w:rsid w:val="00565449"/>
    <w:rsid w:val="00565705"/>
    <w:rsid w:val="00565D8C"/>
    <w:rsid w:val="0056670B"/>
    <w:rsid w:val="0056787D"/>
    <w:rsid w:val="00570257"/>
    <w:rsid w:val="00571764"/>
    <w:rsid w:val="0057398E"/>
    <w:rsid w:val="00573E89"/>
    <w:rsid w:val="0057433B"/>
    <w:rsid w:val="0057648B"/>
    <w:rsid w:val="005800BF"/>
    <w:rsid w:val="00582857"/>
    <w:rsid w:val="005839BA"/>
    <w:rsid w:val="005842F6"/>
    <w:rsid w:val="00584F6B"/>
    <w:rsid w:val="00585BE3"/>
    <w:rsid w:val="00586F3B"/>
    <w:rsid w:val="005871C4"/>
    <w:rsid w:val="00587F1A"/>
    <w:rsid w:val="00590982"/>
    <w:rsid w:val="0059322A"/>
    <w:rsid w:val="005958C0"/>
    <w:rsid w:val="005A17B6"/>
    <w:rsid w:val="005A36D3"/>
    <w:rsid w:val="005A3C13"/>
    <w:rsid w:val="005A4742"/>
    <w:rsid w:val="005A74D4"/>
    <w:rsid w:val="005B11BE"/>
    <w:rsid w:val="005B28D4"/>
    <w:rsid w:val="005B3753"/>
    <w:rsid w:val="005B5A8D"/>
    <w:rsid w:val="005B6320"/>
    <w:rsid w:val="005C1450"/>
    <w:rsid w:val="005C2690"/>
    <w:rsid w:val="005C4914"/>
    <w:rsid w:val="005C49EE"/>
    <w:rsid w:val="005C4AFD"/>
    <w:rsid w:val="005C54CD"/>
    <w:rsid w:val="005C5B5D"/>
    <w:rsid w:val="005C7458"/>
    <w:rsid w:val="005D083F"/>
    <w:rsid w:val="005D1EFD"/>
    <w:rsid w:val="005D2038"/>
    <w:rsid w:val="005D244C"/>
    <w:rsid w:val="005D4946"/>
    <w:rsid w:val="005D50FF"/>
    <w:rsid w:val="005D53EB"/>
    <w:rsid w:val="005D70E9"/>
    <w:rsid w:val="005E01F3"/>
    <w:rsid w:val="005E0DD1"/>
    <w:rsid w:val="005E1126"/>
    <w:rsid w:val="005E4073"/>
    <w:rsid w:val="005E7E97"/>
    <w:rsid w:val="005F15ED"/>
    <w:rsid w:val="005F1FFB"/>
    <w:rsid w:val="005F2274"/>
    <w:rsid w:val="005F2A21"/>
    <w:rsid w:val="005F340C"/>
    <w:rsid w:val="005F4B6F"/>
    <w:rsid w:val="005F5587"/>
    <w:rsid w:val="005F5770"/>
    <w:rsid w:val="005F5816"/>
    <w:rsid w:val="005F5EAC"/>
    <w:rsid w:val="005F7989"/>
    <w:rsid w:val="00600591"/>
    <w:rsid w:val="006076C3"/>
    <w:rsid w:val="00610AD4"/>
    <w:rsid w:val="00610E6D"/>
    <w:rsid w:val="006154BD"/>
    <w:rsid w:val="00615712"/>
    <w:rsid w:val="0061605F"/>
    <w:rsid w:val="00616263"/>
    <w:rsid w:val="0061716D"/>
    <w:rsid w:val="00617249"/>
    <w:rsid w:val="006207E7"/>
    <w:rsid w:val="00620986"/>
    <w:rsid w:val="0062318D"/>
    <w:rsid w:val="006261CB"/>
    <w:rsid w:val="006264B1"/>
    <w:rsid w:val="006277D3"/>
    <w:rsid w:val="00627B0E"/>
    <w:rsid w:val="00627E09"/>
    <w:rsid w:val="0063069D"/>
    <w:rsid w:val="00630B5B"/>
    <w:rsid w:val="00631BB6"/>
    <w:rsid w:val="00631C05"/>
    <w:rsid w:val="006364FA"/>
    <w:rsid w:val="00636A2A"/>
    <w:rsid w:val="00641452"/>
    <w:rsid w:val="00643DCC"/>
    <w:rsid w:val="00647586"/>
    <w:rsid w:val="00651446"/>
    <w:rsid w:val="00652B92"/>
    <w:rsid w:val="00656320"/>
    <w:rsid w:val="006605CD"/>
    <w:rsid w:val="00662D3C"/>
    <w:rsid w:val="00665D8F"/>
    <w:rsid w:val="0066691C"/>
    <w:rsid w:val="00670B33"/>
    <w:rsid w:val="0067204B"/>
    <w:rsid w:val="00672698"/>
    <w:rsid w:val="00672A72"/>
    <w:rsid w:val="006739F2"/>
    <w:rsid w:val="006745DA"/>
    <w:rsid w:val="006807FC"/>
    <w:rsid w:val="00684F61"/>
    <w:rsid w:val="0068598D"/>
    <w:rsid w:val="00686416"/>
    <w:rsid w:val="00686C7D"/>
    <w:rsid w:val="006914A0"/>
    <w:rsid w:val="00691B46"/>
    <w:rsid w:val="00691E90"/>
    <w:rsid w:val="00691E93"/>
    <w:rsid w:val="00693287"/>
    <w:rsid w:val="006937DE"/>
    <w:rsid w:val="006A0C14"/>
    <w:rsid w:val="006B0F7E"/>
    <w:rsid w:val="006B1494"/>
    <w:rsid w:val="006B177B"/>
    <w:rsid w:val="006B2274"/>
    <w:rsid w:val="006B50EE"/>
    <w:rsid w:val="006B6943"/>
    <w:rsid w:val="006B70A0"/>
    <w:rsid w:val="006B7716"/>
    <w:rsid w:val="006C1593"/>
    <w:rsid w:val="006C1E94"/>
    <w:rsid w:val="006C2518"/>
    <w:rsid w:val="006C51BD"/>
    <w:rsid w:val="006C5513"/>
    <w:rsid w:val="006C6586"/>
    <w:rsid w:val="006C65BF"/>
    <w:rsid w:val="006D1B88"/>
    <w:rsid w:val="006D214F"/>
    <w:rsid w:val="006D2D50"/>
    <w:rsid w:val="006D3B4B"/>
    <w:rsid w:val="006D3E77"/>
    <w:rsid w:val="006D544F"/>
    <w:rsid w:val="006D67A9"/>
    <w:rsid w:val="006D7031"/>
    <w:rsid w:val="006D79B0"/>
    <w:rsid w:val="006E2210"/>
    <w:rsid w:val="006E31B0"/>
    <w:rsid w:val="006E4BE9"/>
    <w:rsid w:val="006E4FE8"/>
    <w:rsid w:val="006E5908"/>
    <w:rsid w:val="006E61D2"/>
    <w:rsid w:val="006E79FB"/>
    <w:rsid w:val="006E7FF8"/>
    <w:rsid w:val="006F0AC1"/>
    <w:rsid w:val="006F174D"/>
    <w:rsid w:val="006F285D"/>
    <w:rsid w:val="006F2F49"/>
    <w:rsid w:val="006F2F85"/>
    <w:rsid w:val="00701F66"/>
    <w:rsid w:val="00704D62"/>
    <w:rsid w:val="007076D1"/>
    <w:rsid w:val="007134BE"/>
    <w:rsid w:val="0071459C"/>
    <w:rsid w:val="00716D9A"/>
    <w:rsid w:val="00717ACE"/>
    <w:rsid w:val="00717B73"/>
    <w:rsid w:val="00720C46"/>
    <w:rsid w:val="0072114B"/>
    <w:rsid w:val="00722643"/>
    <w:rsid w:val="0072265D"/>
    <w:rsid w:val="007233BB"/>
    <w:rsid w:val="00723AB0"/>
    <w:rsid w:val="00724E0B"/>
    <w:rsid w:val="00725CE9"/>
    <w:rsid w:val="0072707F"/>
    <w:rsid w:val="0073043B"/>
    <w:rsid w:val="00730657"/>
    <w:rsid w:val="0073225A"/>
    <w:rsid w:val="0073281A"/>
    <w:rsid w:val="007347DF"/>
    <w:rsid w:val="007357EA"/>
    <w:rsid w:val="00735E7B"/>
    <w:rsid w:val="00736A39"/>
    <w:rsid w:val="00736A88"/>
    <w:rsid w:val="00737777"/>
    <w:rsid w:val="00741A78"/>
    <w:rsid w:val="007426EE"/>
    <w:rsid w:val="00742812"/>
    <w:rsid w:val="007452FE"/>
    <w:rsid w:val="0074589F"/>
    <w:rsid w:val="00750073"/>
    <w:rsid w:val="00750C36"/>
    <w:rsid w:val="00750D94"/>
    <w:rsid w:val="00751562"/>
    <w:rsid w:val="00752378"/>
    <w:rsid w:val="00753B8F"/>
    <w:rsid w:val="00756A2C"/>
    <w:rsid w:val="0075796C"/>
    <w:rsid w:val="00760963"/>
    <w:rsid w:val="00761385"/>
    <w:rsid w:val="00761569"/>
    <w:rsid w:val="00764E67"/>
    <w:rsid w:val="007665B5"/>
    <w:rsid w:val="00766EFE"/>
    <w:rsid w:val="00770BF1"/>
    <w:rsid w:val="00770CC0"/>
    <w:rsid w:val="00771CA6"/>
    <w:rsid w:val="00772658"/>
    <w:rsid w:val="00773053"/>
    <w:rsid w:val="007743FE"/>
    <w:rsid w:val="00774D01"/>
    <w:rsid w:val="00780D57"/>
    <w:rsid w:val="00782527"/>
    <w:rsid w:val="0078299C"/>
    <w:rsid w:val="00784D7C"/>
    <w:rsid w:val="0078552A"/>
    <w:rsid w:val="0078591C"/>
    <w:rsid w:val="007859FB"/>
    <w:rsid w:val="007862D5"/>
    <w:rsid w:val="00787124"/>
    <w:rsid w:val="00790105"/>
    <w:rsid w:val="007908E8"/>
    <w:rsid w:val="0079138E"/>
    <w:rsid w:val="00791512"/>
    <w:rsid w:val="007926F9"/>
    <w:rsid w:val="00792D9C"/>
    <w:rsid w:val="007941CC"/>
    <w:rsid w:val="00796767"/>
    <w:rsid w:val="0079735B"/>
    <w:rsid w:val="0079759C"/>
    <w:rsid w:val="007A0530"/>
    <w:rsid w:val="007A0A0C"/>
    <w:rsid w:val="007A1BEF"/>
    <w:rsid w:val="007A202A"/>
    <w:rsid w:val="007A5023"/>
    <w:rsid w:val="007A5E46"/>
    <w:rsid w:val="007A6055"/>
    <w:rsid w:val="007B0161"/>
    <w:rsid w:val="007B0C48"/>
    <w:rsid w:val="007B1863"/>
    <w:rsid w:val="007B2A31"/>
    <w:rsid w:val="007B7E20"/>
    <w:rsid w:val="007C35F1"/>
    <w:rsid w:val="007C3F98"/>
    <w:rsid w:val="007C451F"/>
    <w:rsid w:val="007C5327"/>
    <w:rsid w:val="007C5A85"/>
    <w:rsid w:val="007C6D07"/>
    <w:rsid w:val="007C746C"/>
    <w:rsid w:val="007C7634"/>
    <w:rsid w:val="007D0A38"/>
    <w:rsid w:val="007D0E40"/>
    <w:rsid w:val="007D1E5C"/>
    <w:rsid w:val="007D2B86"/>
    <w:rsid w:val="007D2E1E"/>
    <w:rsid w:val="007D3004"/>
    <w:rsid w:val="007D4062"/>
    <w:rsid w:val="007D4D62"/>
    <w:rsid w:val="007D587B"/>
    <w:rsid w:val="007D7C42"/>
    <w:rsid w:val="007E1B0A"/>
    <w:rsid w:val="007E35DA"/>
    <w:rsid w:val="007E477E"/>
    <w:rsid w:val="007E5993"/>
    <w:rsid w:val="007F013E"/>
    <w:rsid w:val="007F01C9"/>
    <w:rsid w:val="007F3529"/>
    <w:rsid w:val="007F5640"/>
    <w:rsid w:val="007F5927"/>
    <w:rsid w:val="007F606D"/>
    <w:rsid w:val="007F6506"/>
    <w:rsid w:val="00800A13"/>
    <w:rsid w:val="00800B56"/>
    <w:rsid w:val="00800C77"/>
    <w:rsid w:val="0080258B"/>
    <w:rsid w:val="008051FA"/>
    <w:rsid w:val="00805268"/>
    <w:rsid w:val="008054B3"/>
    <w:rsid w:val="00806A4B"/>
    <w:rsid w:val="008073C6"/>
    <w:rsid w:val="00810B63"/>
    <w:rsid w:val="00811782"/>
    <w:rsid w:val="00816B16"/>
    <w:rsid w:val="008175A6"/>
    <w:rsid w:val="00822D09"/>
    <w:rsid w:val="00823472"/>
    <w:rsid w:val="00823A6B"/>
    <w:rsid w:val="00823F0A"/>
    <w:rsid w:val="0082496E"/>
    <w:rsid w:val="00826E15"/>
    <w:rsid w:val="00826FDE"/>
    <w:rsid w:val="0083074C"/>
    <w:rsid w:val="008315FF"/>
    <w:rsid w:val="008316CE"/>
    <w:rsid w:val="008321EA"/>
    <w:rsid w:val="00834632"/>
    <w:rsid w:val="00835BF5"/>
    <w:rsid w:val="00837E48"/>
    <w:rsid w:val="00840223"/>
    <w:rsid w:val="0084053D"/>
    <w:rsid w:val="00841164"/>
    <w:rsid w:val="008414D8"/>
    <w:rsid w:val="0084276B"/>
    <w:rsid w:val="00842A5A"/>
    <w:rsid w:val="00842E4B"/>
    <w:rsid w:val="00843477"/>
    <w:rsid w:val="0084353B"/>
    <w:rsid w:val="0084533D"/>
    <w:rsid w:val="0084623C"/>
    <w:rsid w:val="00847241"/>
    <w:rsid w:val="0085053F"/>
    <w:rsid w:val="008515B1"/>
    <w:rsid w:val="00852DB5"/>
    <w:rsid w:val="00853AEE"/>
    <w:rsid w:val="0085563B"/>
    <w:rsid w:val="00856BEA"/>
    <w:rsid w:val="00857BFD"/>
    <w:rsid w:val="00860889"/>
    <w:rsid w:val="00861786"/>
    <w:rsid w:val="00861B2C"/>
    <w:rsid w:val="00861D45"/>
    <w:rsid w:val="008624EC"/>
    <w:rsid w:val="00863443"/>
    <w:rsid w:val="0086574D"/>
    <w:rsid w:val="00865EC3"/>
    <w:rsid w:val="0087030B"/>
    <w:rsid w:val="008716AD"/>
    <w:rsid w:val="008718EC"/>
    <w:rsid w:val="00872EE2"/>
    <w:rsid w:val="00873B50"/>
    <w:rsid w:val="008746CE"/>
    <w:rsid w:val="00874777"/>
    <w:rsid w:val="00874A1E"/>
    <w:rsid w:val="00875744"/>
    <w:rsid w:val="008775C6"/>
    <w:rsid w:val="00877A03"/>
    <w:rsid w:val="008828C9"/>
    <w:rsid w:val="00883294"/>
    <w:rsid w:val="008841A5"/>
    <w:rsid w:val="0088492C"/>
    <w:rsid w:val="0088497F"/>
    <w:rsid w:val="008852DC"/>
    <w:rsid w:val="00885522"/>
    <w:rsid w:val="00886F9E"/>
    <w:rsid w:val="00887347"/>
    <w:rsid w:val="00887963"/>
    <w:rsid w:val="00887C9D"/>
    <w:rsid w:val="0089003C"/>
    <w:rsid w:val="00891745"/>
    <w:rsid w:val="00891780"/>
    <w:rsid w:val="00891D09"/>
    <w:rsid w:val="008922E4"/>
    <w:rsid w:val="00893446"/>
    <w:rsid w:val="008935DD"/>
    <w:rsid w:val="008941B3"/>
    <w:rsid w:val="00894FA4"/>
    <w:rsid w:val="00896B6C"/>
    <w:rsid w:val="008A0460"/>
    <w:rsid w:val="008A780C"/>
    <w:rsid w:val="008B2038"/>
    <w:rsid w:val="008B26B0"/>
    <w:rsid w:val="008B3036"/>
    <w:rsid w:val="008B36BE"/>
    <w:rsid w:val="008B49D7"/>
    <w:rsid w:val="008B693F"/>
    <w:rsid w:val="008B701A"/>
    <w:rsid w:val="008B7EDE"/>
    <w:rsid w:val="008C2221"/>
    <w:rsid w:val="008C366E"/>
    <w:rsid w:val="008C438F"/>
    <w:rsid w:val="008C4E5C"/>
    <w:rsid w:val="008C50C7"/>
    <w:rsid w:val="008D22FC"/>
    <w:rsid w:val="008D2A78"/>
    <w:rsid w:val="008D35F6"/>
    <w:rsid w:val="008D50F9"/>
    <w:rsid w:val="008D573F"/>
    <w:rsid w:val="008D5E99"/>
    <w:rsid w:val="008D6B2D"/>
    <w:rsid w:val="008E0268"/>
    <w:rsid w:val="008E131A"/>
    <w:rsid w:val="008E13EE"/>
    <w:rsid w:val="008E2A34"/>
    <w:rsid w:val="008E3C4C"/>
    <w:rsid w:val="008E3D13"/>
    <w:rsid w:val="008E5707"/>
    <w:rsid w:val="008E6B00"/>
    <w:rsid w:val="008F0571"/>
    <w:rsid w:val="008F0748"/>
    <w:rsid w:val="008F7169"/>
    <w:rsid w:val="00901709"/>
    <w:rsid w:val="00904B9B"/>
    <w:rsid w:val="0090568F"/>
    <w:rsid w:val="00905A35"/>
    <w:rsid w:val="00906740"/>
    <w:rsid w:val="00910846"/>
    <w:rsid w:val="00910983"/>
    <w:rsid w:val="009109D6"/>
    <w:rsid w:val="009126B8"/>
    <w:rsid w:val="00915410"/>
    <w:rsid w:val="00915E17"/>
    <w:rsid w:val="0091687E"/>
    <w:rsid w:val="00917BFD"/>
    <w:rsid w:val="00917CEA"/>
    <w:rsid w:val="009214D3"/>
    <w:rsid w:val="00922BDE"/>
    <w:rsid w:val="00924301"/>
    <w:rsid w:val="009257CF"/>
    <w:rsid w:val="00925BBC"/>
    <w:rsid w:val="0093069E"/>
    <w:rsid w:val="00930BB8"/>
    <w:rsid w:val="00931DD5"/>
    <w:rsid w:val="00932033"/>
    <w:rsid w:val="009356AE"/>
    <w:rsid w:val="00935B66"/>
    <w:rsid w:val="00940708"/>
    <w:rsid w:val="00940855"/>
    <w:rsid w:val="00944F45"/>
    <w:rsid w:val="009453D0"/>
    <w:rsid w:val="00945A85"/>
    <w:rsid w:val="009462C2"/>
    <w:rsid w:val="00950DCE"/>
    <w:rsid w:val="00952A68"/>
    <w:rsid w:val="00952F66"/>
    <w:rsid w:val="00954531"/>
    <w:rsid w:val="0095506A"/>
    <w:rsid w:val="009556D0"/>
    <w:rsid w:val="009602F4"/>
    <w:rsid w:val="009620E6"/>
    <w:rsid w:val="0096378A"/>
    <w:rsid w:val="009641A6"/>
    <w:rsid w:val="00965436"/>
    <w:rsid w:val="00967642"/>
    <w:rsid w:val="009713C8"/>
    <w:rsid w:val="00971EFB"/>
    <w:rsid w:val="0097400F"/>
    <w:rsid w:val="00974B4B"/>
    <w:rsid w:val="00974BA2"/>
    <w:rsid w:val="00977735"/>
    <w:rsid w:val="00980D01"/>
    <w:rsid w:val="00980E24"/>
    <w:rsid w:val="00981721"/>
    <w:rsid w:val="0098394D"/>
    <w:rsid w:val="00985168"/>
    <w:rsid w:val="00985D10"/>
    <w:rsid w:val="00993FDE"/>
    <w:rsid w:val="009948C5"/>
    <w:rsid w:val="00996470"/>
    <w:rsid w:val="009A07DE"/>
    <w:rsid w:val="009A2468"/>
    <w:rsid w:val="009A3F22"/>
    <w:rsid w:val="009A40B3"/>
    <w:rsid w:val="009A56C4"/>
    <w:rsid w:val="009A6A78"/>
    <w:rsid w:val="009A7DE0"/>
    <w:rsid w:val="009B01CB"/>
    <w:rsid w:val="009B1666"/>
    <w:rsid w:val="009B29DB"/>
    <w:rsid w:val="009B45BA"/>
    <w:rsid w:val="009B4A9C"/>
    <w:rsid w:val="009B4D70"/>
    <w:rsid w:val="009B53AD"/>
    <w:rsid w:val="009B6E66"/>
    <w:rsid w:val="009B7A14"/>
    <w:rsid w:val="009C04EB"/>
    <w:rsid w:val="009C1A46"/>
    <w:rsid w:val="009C3CFA"/>
    <w:rsid w:val="009C3D61"/>
    <w:rsid w:val="009C47CE"/>
    <w:rsid w:val="009C4C9C"/>
    <w:rsid w:val="009C4D0F"/>
    <w:rsid w:val="009C589E"/>
    <w:rsid w:val="009C6245"/>
    <w:rsid w:val="009C6325"/>
    <w:rsid w:val="009C69B1"/>
    <w:rsid w:val="009D2769"/>
    <w:rsid w:val="009D39A9"/>
    <w:rsid w:val="009D45C6"/>
    <w:rsid w:val="009E1AA7"/>
    <w:rsid w:val="009E1E43"/>
    <w:rsid w:val="009E25EC"/>
    <w:rsid w:val="009E2BCF"/>
    <w:rsid w:val="009E2FBF"/>
    <w:rsid w:val="009E456B"/>
    <w:rsid w:val="009E5EFC"/>
    <w:rsid w:val="009E74E0"/>
    <w:rsid w:val="009F4206"/>
    <w:rsid w:val="009F4605"/>
    <w:rsid w:val="009F4F87"/>
    <w:rsid w:val="009F5874"/>
    <w:rsid w:val="00A00017"/>
    <w:rsid w:val="00A00EF6"/>
    <w:rsid w:val="00A025F3"/>
    <w:rsid w:val="00A044C5"/>
    <w:rsid w:val="00A050BE"/>
    <w:rsid w:val="00A052DD"/>
    <w:rsid w:val="00A05BAD"/>
    <w:rsid w:val="00A05CCE"/>
    <w:rsid w:val="00A06C83"/>
    <w:rsid w:val="00A0718F"/>
    <w:rsid w:val="00A1028B"/>
    <w:rsid w:val="00A10F91"/>
    <w:rsid w:val="00A15C10"/>
    <w:rsid w:val="00A178FF"/>
    <w:rsid w:val="00A17A1B"/>
    <w:rsid w:val="00A2068A"/>
    <w:rsid w:val="00A20BC9"/>
    <w:rsid w:val="00A20DF1"/>
    <w:rsid w:val="00A22512"/>
    <w:rsid w:val="00A231CF"/>
    <w:rsid w:val="00A23EC1"/>
    <w:rsid w:val="00A2542B"/>
    <w:rsid w:val="00A2683F"/>
    <w:rsid w:val="00A26A2D"/>
    <w:rsid w:val="00A273BC"/>
    <w:rsid w:val="00A30F48"/>
    <w:rsid w:val="00A316C8"/>
    <w:rsid w:val="00A31CDD"/>
    <w:rsid w:val="00A330D8"/>
    <w:rsid w:val="00A33207"/>
    <w:rsid w:val="00A340B5"/>
    <w:rsid w:val="00A346A8"/>
    <w:rsid w:val="00A34F3B"/>
    <w:rsid w:val="00A36EBB"/>
    <w:rsid w:val="00A372C7"/>
    <w:rsid w:val="00A40A45"/>
    <w:rsid w:val="00A411BA"/>
    <w:rsid w:val="00A42D9D"/>
    <w:rsid w:val="00A449B9"/>
    <w:rsid w:val="00A44AD7"/>
    <w:rsid w:val="00A45BD6"/>
    <w:rsid w:val="00A47979"/>
    <w:rsid w:val="00A50217"/>
    <w:rsid w:val="00A5029C"/>
    <w:rsid w:val="00A53DEB"/>
    <w:rsid w:val="00A559C0"/>
    <w:rsid w:val="00A55AA0"/>
    <w:rsid w:val="00A5637D"/>
    <w:rsid w:val="00A566FA"/>
    <w:rsid w:val="00A57939"/>
    <w:rsid w:val="00A606C0"/>
    <w:rsid w:val="00A6488B"/>
    <w:rsid w:val="00A66044"/>
    <w:rsid w:val="00A66F56"/>
    <w:rsid w:val="00A72EA3"/>
    <w:rsid w:val="00A73072"/>
    <w:rsid w:val="00A735A0"/>
    <w:rsid w:val="00A7402C"/>
    <w:rsid w:val="00A74099"/>
    <w:rsid w:val="00A75691"/>
    <w:rsid w:val="00A83893"/>
    <w:rsid w:val="00A83F00"/>
    <w:rsid w:val="00A8410B"/>
    <w:rsid w:val="00A85C4A"/>
    <w:rsid w:val="00A86159"/>
    <w:rsid w:val="00A872BA"/>
    <w:rsid w:val="00A87B03"/>
    <w:rsid w:val="00A87C67"/>
    <w:rsid w:val="00A906E3"/>
    <w:rsid w:val="00A90F13"/>
    <w:rsid w:val="00A95FB1"/>
    <w:rsid w:val="00AA075A"/>
    <w:rsid w:val="00AA095B"/>
    <w:rsid w:val="00AA1174"/>
    <w:rsid w:val="00AA1D05"/>
    <w:rsid w:val="00AA27A8"/>
    <w:rsid w:val="00AA2ACC"/>
    <w:rsid w:val="00AA38D4"/>
    <w:rsid w:val="00AA3B01"/>
    <w:rsid w:val="00AA3CFB"/>
    <w:rsid w:val="00AA466F"/>
    <w:rsid w:val="00AB0F20"/>
    <w:rsid w:val="00AB347A"/>
    <w:rsid w:val="00AB43B4"/>
    <w:rsid w:val="00AB461E"/>
    <w:rsid w:val="00AB4A35"/>
    <w:rsid w:val="00AB4AED"/>
    <w:rsid w:val="00AB4E72"/>
    <w:rsid w:val="00AB5F43"/>
    <w:rsid w:val="00AB6CD1"/>
    <w:rsid w:val="00AB76B1"/>
    <w:rsid w:val="00AC0DCC"/>
    <w:rsid w:val="00AC2D64"/>
    <w:rsid w:val="00AC36E7"/>
    <w:rsid w:val="00AC4526"/>
    <w:rsid w:val="00AC4612"/>
    <w:rsid w:val="00AC510B"/>
    <w:rsid w:val="00AC7CE1"/>
    <w:rsid w:val="00AD0286"/>
    <w:rsid w:val="00AD6EC9"/>
    <w:rsid w:val="00AD6F9E"/>
    <w:rsid w:val="00AD7A2B"/>
    <w:rsid w:val="00AE1014"/>
    <w:rsid w:val="00AE1387"/>
    <w:rsid w:val="00AE34A1"/>
    <w:rsid w:val="00AE3559"/>
    <w:rsid w:val="00AE4498"/>
    <w:rsid w:val="00AE4991"/>
    <w:rsid w:val="00AE4C6C"/>
    <w:rsid w:val="00AE5E1D"/>
    <w:rsid w:val="00AE66E7"/>
    <w:rsid w:val="00AE7805"/>
    <w:rsid w:val="00AF04AF"/>
    <w:rsid w:val="00AF15E6"/>
    <w:rsid w:val="00AF1FFE"/>
    <w:rsid w:val="00AF2380"/>
    <w:rsid w:val="00AF2D56"/>
    <w:rsid w:val="00AF319C"/>
    <w:rsid w:val="00AF47FD"/>
    <w:rsid w:val="00B004D4"/>
    <w:rsid w:val="00B01D8C"/>
    <w:rsid w:val="00B045B3"/>
    <w:rsid w:val="00B05B60"/>
    <w:rsid w:val="00B05D7C"/>
    <w:rsid w:val="00B06263"/>
    <w:rsid w:val="00B06AFC"/>
    <w:rsid w:val="00B0726B"/>
    <w:rsid w:val="00B079C8"/>
    <w:rsid w:val="00B10A9E"/>
    <w:rsid w:val="00B12426"/>
    <w:rsid w:val="00B124BF"/>
    <w:rsid w:val="00B13530"/>
    <w:rsid w:val="00B13563"/>
    <w:rsid w:val="00B13FA4"/>
    <w:rsid w:val="00B14257"/>
    <w:rsid w:val="00B14938"/>
    <w:rsid w:val="00B14A15"/>
    <w:rsid w:val="00B150C4"/>
    <w:rsid w:val="00B22145"/>
    <w:rsid w:val="00B235C7"/>
    <w:rsid w:val="00B25495"/>
    <w:rsid w:val="00B264D2"/>
    <w:rsid w:val="00B27029"/>
    <w:rsid w:val="00B273B5"/>
    <w:rsid w:val="00B27A87"/>
    <w:rsid w:val="00B312E8"/>
    <w:rsid w:val="00B36097"/>
    <w:rsid w:val="00B3680B"/>
    <w:rsid w:val="00B37194"/>
    <w:rsid w:val="00B40FD7"/>
    <w:rsid w:val="00B443AF"/>
    <w:rsid w:val="00B44F20"/>
    <w:rsid w:val="00B45321"/>
    <w:rsid w:val="00B4667C"/>
    <w:rsid w:val="00B47EED"/>
    <w:rsid w:val="00B503A3"/>
    <w:rsid w:val="00B51515"/>
    <w:rsid w:val="00B520E2"/>
    <w:rsid w:val="00B5228E"/>
    <w:rsid w:val="00B54403"/>
    <w:rsid w:val="00B55166"/>
    <w:rsid w:val="00B55405"/>
    <w:rsid w:val="00B62B0F"/>
    <w:rsid w:val="00B701B8"/>
    <w:rsid w:val="00B7156D"/>
    <w:rsid w:val="00B745D6"/>
    <w:rsid w:val="00B777F7"/>
    <w:rsid w:val="00B80083"/>
    <w:rsid w:val="00B8162E"/>
    <w:rsid w:val="00B81C61"/>
    <w:rsid w:val="00B82038"/>
    <w:rsid w:val="00B8204E"/>
    <w:rsid w:val="00B8238F"/>
    <w:rsid w:val="00B826CD"/>
    <w:rsid w:val="00B84388"/>
    <w:rsid w:val="00B87884"/>
    <w:rsid w:val="00B9079C"/>
    <w:rsid w:val="00B930F2"/>
    <w:rsid w:val="00B94430"/>
    <w:rsid w:val="00B9495C"/>
    <w:rsid w:val="00B9572A"/>
    <w:rsid w:val="00BA11FA"/>
    <w:rsid w:val="00BA420E"/>
    <w:rsid w:val="00BA4F6E"/>
    <w:rsid w:val="00BA7303"/>
    <w:rsid w:val="00BA7404"/>
    <w:rsid w:val="00BB05AA"/>
    <w:rsid w:val="00BB0834"/>
    <w:rsid w:val="00BB1C6C"/>
    <w:rsid w:val="00BB4AC4"/>
    <w:rsid w:val="00BB7C94"/>
    <w:rsid w:val="00BC2FE4"/>
    <w:rsid w:val="00BC3D1B"/>
    <w:rsid w:val="00BC6926"/>
    <w:rsid w:val="00BC7A3B"/>
    <w:rsid w:val="00BD0CCF"/>
    <w:rsid w:val="00BD21A5"/>
    <w:rsid w:val="00BD30F0"/>
    <w:rsid w:val="00BD4AC9"/>
    <w:rsid w:val="00BD5013"/>
    <w:rsid w:val="00BD5664"/>
    <w:rsid w:val="00BD7E37"/>
    <w:rsid w:val="00BD7ECB"/>
    <w:rsid w:val="00BE0A76"/>
    <w:rsid w:val="00BE2913"/>
    <w:rsid w:val="00BE2976"/>
    <w:rsid w:val="00BE3136"/>
    <w:rsid w:val="00BE360B"/>
    <w:rsid w:val="00BE392A"/>
    <w:rsid w:val="00BF073A"/>
    <w:rsid w:val="00BF1894"/>
    <w:rsid w:val="00BF28B7"/>
    <w:rsid w:val="00BF29AD"/>
    <w:rsid w:val="00BF3A1F"/>
    <w:rsid w:val="00BF3E25"/>
    <w:rsid w:val="00BF4496"/>
    <w:rsid w:val="00BF4A18"/>
    <w:rsid w:val="00BF4B65"/>
    <w:rsid w:val="00BF5104"/>
    <w:rsid w:val="00BF53B3"/>
    <w:rsid w:val="00BF564B"/>
    <w:rsid w:val="00BF6315"/>
    <w:rsid w:val="00C00F71"/>
    <w:rsid w:val="00C0167E"/>
    <w:rsid w:val="00C040B0"/>
    <w:rsid w:val="00C0451D"/>
    <w:rsid w:val="00C04B90"/>
    <w:rsid w:val="00C05874"/>
    <w:rsid w:val="00C05D74"/>
    <w:rsid w:val="00C100E3"/>
    <w:rsid w:val="00C14A71"/>
    <w:rsid w:val="00C16D7B"/>
    <w:rsid w:val="00C23C34"/>
    <w:rsid w:val="00C2421A"/>
    <w:rsid w:val="00C2497D"/>
    <w:rsid w:val="00C24EA2"/>
    <w:rsid w:val="00C250EF"/>
    <w:rsid w:val="00C253D5"/>
    <w:rsid w:val="00C278B6"/>
    <w:rsid w:val="00C27C77"/>
    <w:rsid w:val="00C328E9"/>
    <w:rsid w:val="00C337A8"/>
    <w:rsid w:val="00C34FD3"/>
    <w:rsid w:val="00C36870"/>
    <w:rsid w:val="00C41613"/>
    <w:rsid w:val="00C42071"/>
    <w:rsid w:val="00C424C6"/>
    <w:rsid w:val="00C43B97"/>
    <w:rsid w:val="00C44334"/>
    <w:rsid w:val="00C449A4"/>
    <w:rsid w:val="00C451A1"/>
    <w:rsid w:val="00C45B07"/>
    <w:rsid w:val="00C45FDF"/>
    <w:rsid w:val="00C46F08"/>
    <w:rsid w:val="00C546D6"/>
    <w:rsid w:val="00C60980"/>
    <w:rsid w:val="00C60C11"/>
    <w:rsid w:val="00C60E54"/>
    <w:rsid w:val="00C61933"/>
    <w:rsid w:val="00C63390"/>
    <w:rsid w:val="00C64050"/>
    <w:rsid w:val="00C6551E"/>
    <w:rsid w:val="00C65852"/>
    <w:rsid w:val="00C67775"/>
    <w:rsid w:val="00C71398"/>
    <w:rsid w:val="00C7177F"/>
    <w:rsid w:val="00C7522F"/>
    <w:rsid w:val="00C7579C"/>
    <w:rsid w:val="00C76FBA"/>
    <w:rsid w:val="00C77DC0"/>
    <w:rsid w:val="00C80349"/>
    <w:rsid w:val="00C80D10"/>
    <w:rsid w:val="00C90206"/>
    <w:rsid w:val="00C908C8"/>
    <w:rsid w:val="00C91226"/>
    <w:rsid w:val="00C92D26"/>
    <w:rsid w:val="00C93211"/>
    <w:rsid w:val="00C93719"/>
    <w:rsid w:val="00C948EC"/>
    <w:rsid w:val="00C97D06"/>
    <w:rsid w:val="00CA1EAB"/>
    <w:rsid w:val="00CA231E"/>
    <w:rsid w:val="00CA4C51"/>
    <w:rsid w:val="00CB0FEA"/>
    <w:rsid w:val="00CB3627"/>
    <w:rsid w:val="00CB3D8C"/>
    <w:rsid w:val="00CB62CD"/>
    <w:rsid w:val="00CB7CC1"/>
    <w:rsid w:val="00CC1766"/>
    <w:rsid w:val="00CC1F11"/>
    <w:rsid w:val="00CC1FA7"/>
    <w:rsid w:val="00CC3F5B"/>
    <w:rsid w:val="00CC4BE7"/>
    <w:rsid w:val="00CC4CAA"/>
    <w:rsid w:val="00CC7530"/>
    <w:rsid w:val="00CD0D36"/>
    <w:rsid w:val="00CD0EE7"/>
    <w:rsid w:val="00CD15A2"/>
    <w:rsid w:val="00CD2CA9"/>
    <w:rsid w:val="00CD41F0"/>
    <w:rsid w:val="00CE1797"/>
    <w:rsid w:val="00CE1EBA"/>
    <w:rsid w:val="00CE2A83"/>
    <w:rsid w:val="00CE30A8"/>
    <w:rsid w:val="00CE4FCC"/>
    <w:rsid w:val="00CE659F"/>
    <w:rsid w:val="00CE6D1B"/>
    <w:rsid w:val="00CE6F91"/>
    <w:rsid w:val="00CE73AC"/>
    <w:rsid w:val="00CE7407"/>
    <w:rsid w:val="00CF0D43"/>
    <w:rsid w:val="00CF1E5C"/>
    <w:rsid w:val="00CF3686"/>
    <w:rsid w:val="00CF384A"/>
    <w:rsid w:val="00CF3889"/>
    <w:rsid w:val="00CF3DC4"/>
    <w:rsid w:val="00CF4C95"/>
    <w:rsid w:val="00CF5506"/>
    <w:rsid w:val="00CF5AC0"/>
    <w:rsid w:val="00CF7353"/>
    <w:rsid w:val="00D00ECB"/>
    <w:rsid w:val="00D0156F"/>
    <w:rsid w:val="00D027C0"/>
    <w:rsid w:val="00D04CF0"/>
    <w:rsid w:val="00D050A1"/>
    <w:rsid w:val="00D050CD"/>
    <w:rsid w:val="00D050F3"/>
    <w:rsid w:val="00D06CA0"/>
    <w:rsid w:val="00D06DB0"/>
    <w:rsid w:val="00D10B34"/>
    <w:rsid w:val="00D10B5F"/>
    <w:rsid w:val="00D10C3C"/>
    <w:rsid w:val="00D14579"/>
    <w:rsid w:val="00D14DA1"/>
    <w:rsid w:val="00D20396"/>
    <w:rsid w:val="00D209E0"/>
    <w:rsid w:val="00D221D8"/>
    <w:rsid w:val="00D229F0"/>
    <w:rsid w:val="00D234E0"/>
    <w:rsid w:val="00D2709F"/>
    <w:rsid w:val="00D2765B"/>
    <w:rsid w:val="00D302D7"/>
    <w:rsid w:val="00D31457"/>
    <w:rsid w:val="00D34EAB"/>
    <w:rsid w:val="00D36F41"/>
    <w:rsid w:val="00D37EC2"/>
    <w:rsid w:val="00D37EE2"/>
    <w:rsid w:val="00D40079"/>
    <w:rsid w:val="00D41E72"/>
    <w:rsid w:val="00D429FA"/>
    <w:rsid w:val="00D46694"/>
    <w:rsid w:val="00D46CBB"/>
    <w:rsid w:val="00D50F05"/>
    <w:rsid w:val="00D528F8"/>
    <w:rsid w:val="00D561E4"/>
    <w:rsid w:val="00D563C9"/>
    <w:rsid w:val="00D565CF"/>
    <w:rsid w:val="00D57068"/>
    <w:rsid w:val="00D57115"/>
    <w:rsid w:val="00D6001B"/>
    <w:rsid w:val="00D60119"/>
    <w:rsid w:val="00D6078B"/>
    <w:rsid w:val="00D617FB"/>
    <w:rsid w:val="00D61C13"/>
    <w:rsid w:val="00D6503E"/>
    <w:rsid w:val="00D65C41"/>
    <w:rsid w:val="00D667F7"/>
    <w:rsid w:val="00D66CBF"/>
    <w:rsid w:val="00D72555"/>
    <w:rsid w:val="00D72EB9"/>
    <w:rsid w:val="00D73718"/>
    <w:rsid w:val="00D738F3"/>
    <w:rsid w:val="00D73F2C"/>
    <w:rsid w:val="00D73FBA"/>
    <w:rsid w:val="00D74AB3"/>
    <w:rsid w:val="00D74B87"/>
    <w:rsid w:val="00D75594"/>
    <w:rsid w:val="00D7687D"/>
    <w:rsid w:val="00D76966"/>
    <w:rsid w:val="00D76F88"/>
    <w:rsid w:val="00D76FDE"/>
    <w:rsid w:val="00D80BA8"/>
    <w:rsid w:val="00D8432B"/>
    <w:rsid w:val="00D904E8"/>
    <w:rsid w:val="00D9194F"/>
    <w:rsid w:val="00D91F79"/>
    <w:rsid w:val="00D920DE"/>
    <w:rsid w:val="00D950C0"/>
    <w:rsid w:val="00D9695A"/>
    <w:rsid w:val="00D97C8D"/>
    <w:rsid w:val="00D97E2C"/>
    <w:rsid w:val="00DA03B6"/>
    <w:rsid w:val="00DA1115"/>
    <w:rsid w:val="00DA182E"/>
    <w:rsid w:val="00DA1B41"/>
    <w:rsid w:val="00DA2776"/>
    <w:rsid w:val="00DA307B"/>
    <w:rsid w:val="00DA5B2B"/>
    <w:rsid w:val="00DA5B51"/>
    <w:rsid w:val="00DA712E"/>
    <w:rsid w:val="00DB082C"/>
    <w:rsid w:val="00DB0E63"/>
    <w:rsid w:val="00DB13E1"/>
    <w:rsid w:val="00DB2C30"/>
    <w:rsid w:val="00DB5E5F"/>
    <w:rsid w:val="00DB66EA"/>
    <w:rsid w:val="00DB677C"/>
    <w:rsid w:val="00DB6987"/>
    <w:rsid w:val="00DC130D"/>
    <w:rsid w:val="00DC40C2"/>
    <w:rsid w:val="00DC536F"/>
    <w:rsid w:val="00DD0B93"/>
    <w:rsid w:val="00DD3248"/>
    <w:rsid w:val="00DD3909"/>
    <w:rsid w:val="00DD4E37"/>
    <w:rsid w:val="00DD584F"/>
    <w:rsid w:val="00DD66C8"/>
    <w:rsid w:val="00DD6DC4"/>
    <w:rsid w:val="00DD730B"/>
    <w:rsid w:val="00DE0624"/>
    <w:rsid w:val="00DE0837"/>
    <w:rsid w:val="00DE1427"/>
    <w:rsid w:val="00DE7485"/>
    <w:rsid w:val="00DF02DE"/>
    <w:rsid w:val="00DF1BAB"/>
    <w:rsid w:val="00DF2A72"/>
    <w:rsid w:val="00DF61DB"/>
    <w:rsid w:val="00DF695E"/>
    <w:rsid w:val="00DF71EC"/>
    <w:rsid w:val="00E009BA"/>
    <w:rsid w:val="00E03AE5"/>
    <w:rsid w:val="00E0565F"/>
    <w:rsid w:val="00E112CC"/>
    <w:rsid w:val="00E1180C"/>
    <w:rsid w:val="00E11A7B"/>
    <w:rsid w:val="00E1231E"/>
    <w:rsid w:val="00E128D5"/>
    <w:rsid w:val="00E15C5C"/>
    <w:rsid w:val="00E179A3"/>
    <w:rsid w:val="00E2076B"/>
    <w:rsid w:val="00E21E00"/>
    <w:rsid w:val="00E22B96"/>
    <w:rsid w:val="00E23EEB"/>
    <w:rsid w:val="00E2520B"/>
    <w:rsid w:val="00E26835"/>
    <w:rsid w:val="00E26B92"/>
    <w:rsid w:val="00E26C34"/>
    <w:rsid w:val="00E27109"/>
    <w:rsid w:val="00E275DE"/>
    <w:rsid w:val="00E30282"/>
    <w:rsid w:val="00E304DD"/>
    <w:rsid w:val="00E3084C"/>
    <w:rsid w:val="00E30EF9"/>
    <w:rsid w:val="00E315A2"/>
    <w:rsid w:val="00E31696"/>
    <w:rsid w:val="00E33D09"/>
    <w:rsid w:val="00E35A7C"/>
    <w:rsid w:val="00E37DAF"/>
    <w:rsid w:val="00E4038F"/>
    <w:rsid w:val="00E410F8"/>
    <w:rsid w:val="00E412A9"/>
    <w:rsid w:val="00E43DBB"/>
    <w:rsid w:val="00E44673"/>
    <w:rsid w:val="00E45614"/>
    <w:rsid w:val="00E530A1"/>
    <w:rsid w:val="00E5345E"/>
    <w:rsid w:val="00E54774"/>
    <w:rsid w:val="00E555D8"/>
    <w:rsid w:val="00E57BCB"/>
    <w:rsid w:val="00E57E3A"/>
    <w:rsid w:val="00E62E56"/>
    <w:rsid w:val="00E63AF4"/>
    <w:rsid w:val="00E6556D"/>
    <w:rsid w:val="00E674A9"/>
    <w:rsid w:val="00E67B72"/>
    <w:rsid w:val="00E70125"/>
    <w:rsid w:val="00E712CB"/>
    <w:rsid w:val="00E71F58"/>
    <w:rsid w:val="00E71F9B"/>
    <w:rsid w:val="00E73BD1"/>
    <w:rsid w:val="00E74B1D"/>
    <w:rsid w:val="00E74DA5"/>
    <w:rsid w:val="00E77A01"/>
    <w:rsid w:val="00E80C2D"/>
    <w:rsid w:val="00E81341"/>
    <w:rsid w:val="00E86534"/>
    <w:rsid w:val="00E86E41"/>
    <w:rsid w:val="00E8752D"/>
    <w:rsid w:val="00E91AB0"/>
    <w:rsid w:val="00E92C2E"/>
    <w:rsid w:val="00E933EA"/>
    <w:rsid w:val="00E94025"/>
    <w:rsid w:val="00E942F0"/>
    <w:rsid w:val="00E9645A"/>
    <w:rsid w:val="00E968AD"/>
    <w:rsid w:val="00E97445"/>
    <w:rsid w:val="00EA21BB"/>
    <w:rsid w:val="00EA3095"/>
    <w:rsid w:val="00EA46E7"/>
    <w:rsid w:val="00EA6326"/>
    <w:rsid w:val="00EA69CF"/>
    <w:rsid w:val="00EB0318"/>
    <w:rsid w:val="00EB23BB"/>
    <w:rsid w:val="00EB3805"/>
    <w:rsid w:val="00EB3A47"/>
    <w:rsid w:val="00EB499C"/>
    <w:rsid w:val="00EB6624"/>
    <w:rsid w:val="00EB6AC2"/>
    <w:rsid w:val="00EB72ED"/>
    <w:rsid w:val="00EB7F20"/>
    <w:rsid w:val="00EC5E8E"/>
    <w:rsid w:val="00EC6250"/>
    <w:rsid w:val="00ED16D6"/>
    <w:rsid w:val="00ED1B8E"/>
    <w:rsid w:val="00ED1D7B"/>
    <w:rsid w:val="00ED2D28"/>
    <w:rsid w:val="00ED3882"/>
    <w:rsid w:val="00ED4100"/>
    <w:rsid w:val="00ED502A"/>
    <w:rsid w:val="00ED538C"/>
    <w:rsid w:val="00ED5C1E"/>
    <w:rsid w:val="00ED71F3"/>
    <w:rsid w:val="00EE07E2"/>
    <w:rsid w:val="00EE1ED4"/>
    <w:rsid w:val="00EE2C4E"/>
    <w:rsid w:val="00EE377D"/>
    <w:rsid w:val="00EE49BF"/>
    <w:rsid w:val="00EE614D"/>
    <w:rsid w:val="00EE6439"/>
    <w:rsid w:val="00EE693B"/>
    <w:rsid w:val="00EE70D4"/>
    <w:rsid w:val="00EE78EF"/>
    <w:rsid w:val="00EE7AA5"/>
    <w:rsid w:val="00EE7ED8"/>
    <w:rsid w:val="00EF03E1"/>
    <w:rsid w:val="00EF0934"/>
    <w:rsid w:val="00EF0C4F"/>
    <w:rsid w:val="00EF1D39"/>
    <w:rsid w:val="00EF3927"/>
    <w:rsid w:val="00EF4068"/>
    <w:rsid w:val="00EF5368"/>
    <w:rsid w:val="00F005D9"/>
    <w:rsid w:val="00F0120C"/>
    <w:rsid w:val="00F02175"/>
    <w:rsid w:val="00F02C53"/>
    <w:rsid w:val="00F038A8"/>
    <w:rsid w:val="00F0670F"/>
    <w:rsid w:val="00F06B52"/>
    <w:rsid w:val="00F115FB"/>
    <w:rsid w:val="00F129D6"/>
    <w:rsid w:val="00F14A8A"/>
    <w:rsid w:val="00F151E6"/>
    <w:rsid w:val="00F15F46"/>
    <w:rsid w:val="00F1707B"/>
    <w:rsid w:val="00F17149"/>
    <w:rsid w:val="00F171E8"/>
    <w:rsid w:val="00F171F5"/>
    <w:rsid w:val="00F17C75"/>
    <w:rsid w:val="00F2087F"/>
    <w:rsid w:val="00F218CB"/>
    <w:rsid w:val="00F24253"/>
    <w:rsid w:val="00F24E21"/>
    <w:rsid w:val="00F25E69"/>
    <w:rsid w:val="00F26CE2"/>
    <w:rsid w:val="00F26E3E"/>
    <w:rsid w:val="00F30C3D"/>
    <w:rsid w:val="00F31826"/>
    <w:rsid w:val="00F3279A"/>
    <w:rsid w:val="00F32EA9"/>
    <w:rsid w:val="00F35270"/>
    <w:rsid w:val="00F354D8"/>
    <w:rsid w:val="00F36E88"/>
    <w:rsid w:val="00F403A9"/>
    <w:rsid w:val="00F42200"/>
    <w:rsid w:val="00F44C4A"/>
    <w:rsid w:val="00F472AA"/>
    <w:rsid w:val="00F47AA7"/>
    <w:rsid w:val="00F5033D"/>
    <w:rsid w:val="00F506A1"/>
    <w:rsid w:val="00F51007"/>
    <w:rsid w:val="00F51F3E"/>
    <w:rsid w:val="00F52008"/>
    <w:rsid w:val="00F533EF"/>
    <w:rsid w:val="00F55A4C"/>
    <w:rsid w:val="00F56A66"/>
    <w:rsid w:val="00F6083C"/>
    <w:rsid w:val="00F60929"/>
    <w:rsid w:val="00F64DEF"/>
    <w:rsid w:val="00F64E71"/>
    <w:rsid w:val="00F6678D"/>
    <w:rsid w:val="00F66D66"/>
    <w:rsid w:val="00F6714D"/>
    <w:rsid w:val="00F70C06"/>
    <w:rsid w:val="00F71848"/>
    <w:rsid w:val="00F73026"/>
    <w:rsid w:val="00F75341"/>
    <w:rsid w:val="00F75DFF"/>
    <w:rsid w:val="00F76B34"/>
    <w:rsid w:val="00F8041F"/>
    <w:rsid w:val="00F81005"/>
    <w:rsid w:val="00F8154C"/>
    <w:rsid w:val="00F82D31"/>
    <w:rsid w:val="00F83EBF"/>
    <w:rsid w:val="00F87395"/>
    <w:rsid w:val="00F90056"/>
    <w:rsid w:val="00F9024D"/>
    <w:rsid w:val="00F91B89"/>
    <w:rsid w:val="00F91D96"/>
    <w:rsid w:val="00F9329A"/>
    <w:rsid w:val="00F9396D"/>
    <w:rsid w:val="00F94071"/>
    <w:rsid w:val="00F9549F"/>
    <w:rsid w:val="00F9701A"/>
    <w:rsid w:val="00F97911"/>
    <w:rsid w:val="00FA019C"/>
    <w:rsid w:val="00FA0E16"/>
    <w:rsid w:val="00FA1C3A"/>
    <w:rsid w:val="00FA2095"/>
    <w:rsid w:val="00FA3B52"/>
    <w:rsid w:val="00FA4E09"/>
    <w:rsid w:val="00FA5AF6"/>
    <w:rsid w:val="00FA793D"/>
    <w:rsid w:val="00FA7C3F"/>
    <w:rsid w:val="00FB1ABB"/>
    <w:rsid w:val="00FB242A"/>
    <w:rsid w:val="00FB2C0E"/>
    <w:rsid w:val="00FB35BB"/>
    <w:rsid w:val="00FB39DC"/>
    <w:rsid w:val="00FB44B1"/>
    <w:rsid w:val="00FB4959"/>
    <w:rsid w:val="00FB4A05"/>
    <w:rsid w:val="00FB560E"/>
    <w:rsid w:val="00FB634F"/>
    <w:rsid w:val="00FB656D"/>
    <w:rsid w:val="00FB683F"/>
    <w:rsid w:val="00FB699C"/>
    <w:rsid w:val="00FB6A20"/>
    <w:rsid w:val="00FB70A5"/>
    <w:rsid w:val="00FC0615"/>
    <w:rsid w:val="00FC17BA"/>
    <w:rsid w:val="00FC3EBD"/>
    <w:rsid w:val="00FC4DCF"/>
    <w:rsid w:val="00FC64B8"/>
    <w:rsid w:val="00FD1BCF"/>
    <w:rsid w:val="00FD2D5D"/>
    <w:rsid w:val="00FD3CF2"/>
    <w:rsid w:val="00FD49DF"/>
    <w:rsid w:val="00FD6050"/>
    <w:rsid w:val="00FD6252"/>
    <w:rsid w:val="00FD66DB"/>
    <w:rsid w:val="00FD6BE3"/>
    <w:rsid w:val="00FD7240"/>
    <w:rsid w:val="00FD75E4"/>
    <w:rsid w:val="00FD7DC0"/>
    <w:rsid w:val="00FE15DB"/>
    <w:rsid w:val="00FE17A5"/>
    <w:rsid w:val="00FE3C63"/>
    <w:rsid w:val="00FE5FB4"/>
    <w:rsid w:val="00FF08CD"/>
    <w:rsid w:val="00FF1B7A"/>
    <w:rsid w:val="00FF1FCF"/>
    <w:rsid w:val="00FF3044"/>
    <w:rsid w:val="00FF4635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08B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028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028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0A1"/>
    <w:pPr>
      <w:ind w:left="720"/>
      <w:contextualSpacing/>
    </w:pPr>
  </w:style>
  <w:style w:type="character" w:customStyle="1" w:styleId="apple-style-span">
    <w:name w:val="apple-style-span"/>
    <w:basedOn w:val="Fontepargpadro"/>
    <w:rsid w:val="00037692"/>
  </w:style>
  <w:style w:type="character" w:customStyle="1" w:styleId="apple-converted-space">
    <w:name w:val="apple-converted-space"/>
    <w:basedOn w:val="Fontepargpadro"/>
    <w:rsid w:val="00037692"/>
  </w:style>
  <w:style w:type="character" w:styleId="Hyperlink">
    <w:name w:val="Hyperlink"/>
    <w:basedOn w:val="Fontepargpadro"/>
    <w:uiPriority w:val="99"/>
    <w:unhideWhenUsed/>
    <w:rsid w:val="00037692"/>
    <w:rPr>
      <w:color w:val="0000FF"/>
      <w:u w:val="single"/>
    </w:rPr>
  </w:style>
  <w:style w:type="paragraph" w:customStyle="1" w:styleId="ecxmsonormal">
    <w:name w:val="ecxmsonormal"/>
    <w:basedOn w:val="Normal"/>
    <w:rsid w:val="0044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">
    <w:name w:val="meta"/>
    <w:basedOn w:val="Fontepargpadro"/>
    <w:rsid w:val="0044229E"/>
  </w:style>
  <w:style w:type="character" w:customStyle="1" w:styleId="Ttulo1Char">
    <w:name w:val="Título 1 Char"/>
    <w:basedOn w:val="Fontepargpadro"/>
    <w:link w:val="Ttulo1"/>
    <w:uiPriority w:val="9"/>
    <w:rsid w:val="000D08B6"/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NormalWeb">
    <w:name w:val="Normal (Web)"/>
    <w:basedOn w:val="Normal"/>
    <w:uiPriority w:val="99"/>
    <w:unhideWhenUsed/>
    <w:rsid w:val="002F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6B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6B3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76B34"/>
    <w:rPr>
      <w:vertAlign w:val="superscript"/>
    </w:rPr>
  </w:style>
  <w:style w:type="character" w:customStyle="1" w:styleId="qterm">
    <w:name w:val="qterm"/>
    <w:basedOn w:val="Fontepargpadro"/>
    <w:rsid w:val="00A2683F"/>
  </w:style>
  <w:style w:type="character" w:styleId="Forte">
    <w:name w:val="Strong"/>
    <w:basedOn w:val="Fontepargpadro"/>
    <w:uiPriority w:val="22"/>
    <w:qFormat/>
    <w:rsid w:val="00A2683F"/>
    <w:rPr>
      <w:b/>
      <w:bCs/>
    </w:rPr>
  </w:style>
  <w:style w:type="character" w:styleId="nfase">
    <w:name w:val="Emphasis"/>
    <w:basedOn w:val="Fontepargpadro"/>
    <w:uiPriority w:val="20"/>
    <w:qFormat/>
    <w:rsid w:val="006F2F8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1028B"/>
    <w:rPr>
      <w:rFonts w:ascii="Arial" w:eastAsiaTheme="majorEastAsia" w:hAnsi="Arial" w:cstheme="majorBidi"/>
      <w:b/>
      <w:bCs/>
      <w:sz w:val="24"/>
    </w:rPr>
  </w:style>
  <w:style w:type="character" w:customStyle="1" w:styleId="marcado">
    <w:name w:val="marcado"/>
    <w:basedOn w:val="Fontepargpadro"/>
    <w:rsid w:val="008624EC"/>
  </w:style>
  <w:style w:type="paragraph" w:customStyle="1" w:styleId="fr0">
    <w:name w:val="fr0"/>
    <w:basedOn w:val="Normal"/>
    <w:rsid w:val="0033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">
    <w:name w:val="aut"/>
    <w:basedOn w:val="Fontepargpadro"/>
    <w:rsid w:val="00334291"/>
  </w:style>
  <w:style w:type="paragraph" w:styleId="Cabealho">
    <w:name w:val="header"/>
    <w:basedOn w:val="Normal"/>
    <w:link w:val="CabealhoChar"/>
    <w:uiPriority w:val="99"/>
    <w:unhideWhenUsed/>
    <w:rsid w:val="00A9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6E3"/>
  </w:style>
  <w:style w:type="paragraph" w:styleId="Rodap">
    <w:name w:val="footer"/>
    <w:basedOn w:val="Normal"/>
    <w:link w:val="RodapChar"/>
    <w:uiPriority w:val="99"/>
    <w:unhideWhenUsed/>
    <w:rsid w:val="00A9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6E3"/>
  </w:style>
  <w:style w:type="character" w:customStyle="1" w:styleId="Ttulo2Char">
    <w:name w:val="Título 2 Char"/>
    <w:basedOn w:val="Fontepargpadro"/>
    <w:link w:val="Ttulo2"/>
    <w:uiPriority w:val="9"/>
    <w:rsid w:val="00A1028B"/>
    <w:rPr>
      <w:rFonts w:ascii="Arial" w:eastAsiaTheme="majorEastAsia" w:hAnsi="Arial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028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7C5327"/>
    <w:pPr>
      <w:tabs>
        <w:tab w:val="right" w:leader="dot" w:pos="8268"/>
      </w:tabs>
      <w:spacing w:after="100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1028B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28B"/>
    <w:rPr>
      <w:rFonts w:ascii="Tahoma" w:hAnsi="Tahoma" w:cs="Tahoma"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unhideWhenUsed/>
    <w:rsid w:val="00A1028B"/>
    <w:pPr>
      <w:spacing w:after="100"/>
      <w:ind w:left="440"/>
    </w:pPr>
  </w:style>
  <w:style w:type="paragraph" w:customStyle="1" w:styleId="Textodenotaderodap1">
    <w:name w:val="Texto de nota de rodapé1"/>
    <w:rsid w:val="0044166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character" w:customStyle="1" w:styleId="Refdenotaderodap1">
    <w:name w:val="Ref. de nota de rodapé1"/>
    <w:rsid w:val="0044166B"/>
    <w:rPr>
      <w:color w:val="000000"/>
      <w:sz w:val="20"/>
      <w:vertAlign w:val="superscript"/>
    </w:rPr>
  </w:style>
  <w:style w:type="paragraph" w:styleId="Corpodetexto3">
    <w:name w:val="Body Text 3"/>
    <w:basedOn w:val="Normal"/>
    <w:link w:val="Corpodetexto3Char"/>
    <w:semiHidden/>
    <w:unhideWhenUsed/>
    <w:rsid w:val="00CE17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CE179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56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5614"/>
  </w:style>
  <w:style w:type="paragraph" w:styleId="Corpodetexto">
    <w:name w:val="Body Text"/>
    <w:basedOn w:val="Normal"/>
    <w:link w:val="CorpodetextoChar"/>
    <w:uiPriority w:val="99"/>
    <w:unhideWhenUsed/>
    <w:rsid w:val="009B4A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A9C"/>
  </w:style>
  <w:style w:type="table" w:styleId="Tabelacomgrade">
    <w:name w:val="Table Grid"/>
    <w:basedOn w:val="Tabelanormal"/>
    <w:uiPriority w:val="59"/>
    <w:rsid w:val="00FD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08B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028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028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0A1"/>
    <w:pPr>
      <w:ind w:left="720"/>
      <w:contextualSpacing/>
    </w:pPr>
  </w:style>
  <w:style w:type="character" w:customStyle="1" w:styleId="apple-style-span">
    <w:name w:val="apple-style-span"/>
    <w:basedOn w:val="Fontepargpadro"/>
    <w:rsid w:val="00037692"/>
  </w:style>
  <w:style w:type="character" w:customStyle="1" w:styleId="apple-converted-space">
    <w:name w:val="apple-converted-space"/>
    <w:basedOn w:val="Fontepargpadro"/>
    <w:rsid w:val="00037692"/>
  </w:style>
  <w:style w:type="character" w:styleId="Hyperlink">
    <w:name w:val="Hyperlink"/>
    <w:basedOn w:val="Fontepargpadro"/>
    <w:uiPriority w:val="99"/>
    <w:unhideWhenUsed/>
    <w:rsid w:val="00037692"/>
    <w:rPr>
      <w:color w:val="0000FF"/>
      <w:u w:val="single"/>
    </w:rPr>
  </w:style>
  <w:style w:type="paragraph" w:customStyle="1" w:styleId="ecxmsonormal">
    <w:name w:val="ecxmsonormal"/>
    <w:basedOn w:val="Normal"/>
    <w:rsid w:val="0044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">
    <w:name w:val="meta"/>
    <w:basedOn w:val="Fontepargpadro"/>
    <w:rsid w:val="0044229E"/>
  </w:style>
  <w:style w:type="character" w:customStyle="1" w:styleId="Ttulo1Char">
    <w:name w:val="Título 1 Char"/>
    <w:basedOn w:val="Fontepargpadro"/>
    <w:link w:val="Ttulo1"/>
    <w:uiPriority w:val="9"/>
    <w:rsid w:val="000D08B6"/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NormalWeb">
    <w:name w:val="Normal (Web)"/>
    <w:basedOn w:val="Normal"/>
    <w:uiPriority w:val="99"/>
    <w:unhideWhenUsed/>
    <w:rsid w:val="002F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6B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6B3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76B34"/>
    <w:rPr>
      <w:vertAlign w:val="superscript"/>
    </w:rPr>
  </w:style>
  <w:style w:type="character" w:customStyle="1" w:styleId="qterm">
    <w:name w:val="qterm"/>
    <w:basedOn w:val="Fontepargpadro"/>
    <w:rsid w:val="00A2683F"/>
  </w:style>
  <w:style w:type="character" w:styleId="Forte">
    <w:name w:val="Strong"/>
    <w:basedOn w:val="Fontepargpadro"/>
    <w:uiPriority w:val="22"/>
    <w:qFormat/>
    <w:rsid w:val="00A2683F"/>
    <w:rPr>
      <w:b/>
      <w:bCs/>
    </w:rPr>
  </w:style>
  <w:style w:type="character" w:styleId="nfase">
    <w:name w:val="Emphasis"/>
    <w:basedOn w:val="Fontepargpadro"/>
    <w:uiPriority w:val="20"/>
    <w:qFormat/>
    <w:rsid w:val="006F2F8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1028B"/>
    <w:rPr>
      <w:rFonts w:ascii="Arial" w:eastAsiaTheme="majorEastAsia" w:hAnsi="Arial" w:cstheme="majorBidi"/>
      <w:b/>
      <w:bCs/>
      <w:sz w:val="24"/>
    </w:rPr>
  </w:style>
  <w:style w:type="character" w:customStyle="1" w:styleId="marcado">
    <w:name w:val="marcado"/>
    <w:basedOn w:val="Fontepargpadro"/>
    <w:rsid w:val="008624EC"/>
  </w:style>
  <w:style w:type="paragraph" w:customStyle="1" w:styleId="fr0">
    <w:name w:val="fr0"/>
    <w:basedOn w:val="Normal"/>
    <w:rsid w:val="0033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">
    <w:name w:val="aut"/>
    <w:basedOn w:val="Fontepargpadro"/>
    <w:rsid w:val="00334291"/>
  </w:style>
  <w:style w:type="paragraph" w:styleId="Cabealho">
    <w:name w:val="header"/>
    <w:basedOn w:val="Normal"/>
    <w:link w:val="CabealhoChar"/>
    <w:uiPriority w:val="99"/>
    <w:unhideWhenUsed/>
    <w:rsid w:val="00A9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6E3"/>
  </w:style>
  <w:style w:type="paragraph" w:styleId="Rodap">
    <w:name w:val="footer"/>
    <w:basedOn w:val="Normal"/>
    <w:link w:val="RodapChar"/>
    <w:uiPriority w:val="99"/>
    <w:unhideWhenUsed/>
    <w:rsid w:val="00A9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6E3"/>
  </w:style>
  <w:style w:type="character" w:customStyle="1" w:styleId="Ttulo2Char">
    <w:name w:val="Título 2 Char"/>
    <w:basedOn w:val="Fontepargpadro"/>
    <w:link w:val="Ttulo2"/>
    <w:uiPriority w:val="9"/>
    <w:rsid w:val="00A1028B"/>
    <w:rPr>
      <w:rFonts w:ascii="Arial" w:eastAsiaTheme="majorEastAsia" w:hAnsi="Arial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028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7C5327"/>
    <w:pPr>
      <w:tabs>
        <w:tab w:val="right" w:leader="dot" w:pos="8268"/>
      </w:tabs>
      <w:spacing w:after="100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1028B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28B"/>
    <w:rPr>
      <w:rFonts w:ascii="Tahoma" w:hAnsi="Tahoma" w:cs="Tahoma"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unhideWhenUsed/>
    <w:rsid w:val="00A1028B"/>
    <w:pPr>
      <w:spacing w:after="100"/>
      <w:ind w:left="440"/>
    </w:pPr>
  </w:style>
  <w:style w:type="paragraph" w:customStyle="1" w:styleId="Textodenotaderodap1">
    <w:name w:val="Texto de nota de rodapé1"/>
    <w:rsid w:val="0044166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character" w:customStyle="1" w:styleId="Refdenotaderodap1">
    <w:name w:val="Ref. de nota de rodapé1"/>
    <w:rsid w:val="0044166B"/>
    <w:rPr>
      <w:color w:val="000000"/>
      <w:sz w:val="20"/>
      <w:vertAlign w:val="superscript"/>
    </w:rPr>
  </w:style>
  <w:style w:type="paragraph" w:styleId="Corpodetexto3">
    <w:name w:val="Body Text 3"/>
    <w:basedOn w:val="Normal"/>
    <w:link w:val="Corpodetexto3Char"/>
    <w:semiHidden/>
    <w:unhideWhenUsed/>
    <w:rsid w:val="00CE17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CE179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56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5614"/>
  </w:style>
  <w:style w:type="paragraph" w:styleId="Corpodetexto">
    <w:name w:val="Body Text"/>
    <w:basedOn w:val="Normal"/>
    <w:link w:val="CorpodetextoChar"/>
    <w:uiPriority w:val="99"/>
    <w:unhideWhenUsed/>
    <w:rsid w:val="009B4A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A9C"/>
  </w:style>
  <w:style w:type="table" w:styleId="Tabelacomgrade">
    <w:name w:val="Table Grid"/>
    <w:basedOn w:val="Tabelanormal"/>
    <w:uiPriority w:val="59"/>
    <w:rsid w:val="00FD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30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2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CDC1-C129-4C87-ACAE-74EBE0B2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4519</Words>
  <Characters>24405</Characters>
  <Application>Microsoft Office Word</Application>
  <DocSecurity>0</DocSecurity>
  <Lines>203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Suzano Papel e Celulose</Company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Yuri Kawakami</dc:creator>
  <cp:lastModifiedBy>PMKA Advogados</cp:lastModifiedBy>
  <cp:revision>7</cp:revision>
  <cp:lastPrinted>2013-09-23T16:23:00Z</cp:lastPrinted>
  <dcterms:created xsi:type="dcterms:W3CDTF">2013-10-23T15:36:00Z</dcterms:created>
  <dcterms:modified xsi:type="dcterms:W3CDTF">2013-10-23T16:00:00Z</dcterms:modified>
</cp:coreProperties>
</file>