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23" w:rsidRPr="0064434E" w:rsidRDefault="0064434E" w:rsidP="008E0623">
      <w:pPr>
        <w:jc w:val="center"/>
        <w:rPr>
          <w:sz w:val="24"/>
          <w:szCs w:val="24"/>
        </w:rPr>
      </w:pPr>
      <w:r w:rsidRPr="0064434E">
        <w:rPr>
          <w:rFonts w:ascii="Times" w:hAnsi="Times" w:cs="Arial"/>
          <w:b/>
          <w:sz w:val="24"/>
          <w:szCs w:val="24"/>
        </w:rPr>
        <w:t xml:space="preserve">SISTEMA JURÍDICO DA </w:t>
      </w:r>
      <w:r w:rsidRPr="0064434E">
        <w:rPr>
          <w:rFonts w:ascii="Times" w:hAnsi="Times" w:cs="Arial"/>
          <w:b/>
          <w:i/>
          <w:sz w:val="24"/>
          <w:szCs w:val="24"/>
        </w:rPr>
        <w:t>CIVIL LAW</w:t>
      </w:r>
      <w:r w:rsidRPr="0064434E">
        <w:rPr>
          <w:rFonts w:ascii="Times" w:hAnsi="Times" w:cs="Arial"/>
          <w:b/>
          <w:sz w:val="24"/>
          <w:szCs w:val="24"/>
        </w:rPr>
        <w:t xml:space="preserve"> E DA </w:t>
      </w:r>
      <w:r w:rsidRPr="0064434E">
        <w:rPr>
          <w:rFonts w:ascii="Times" w:hAnsi="Times" w:cs="Arial"/>
          <w:b/>
          <w:i/>
          <w:sz w:val="24"/>
          <w:szCs w:val="24"/>
        </w:rPr>
        <w:t>COMMOM LAW</w:t>
      </w:r>
      <w:r w:rsidR="00770076" w:rsidRPr="0064434E">
        <w:rPr>
          <w:rFonts w:ascii="Times" w:hAnsi="Times" w:cs="Arial"/>
          <w:b/>
          <w:sz w:val="24"/>
          <w:szCs w:val="24"/>
        </w:rPr>
        <w:t xml:space="preserve">: </w:t>
      </w:r>
      <w:r w:rsidR="00C76AFD">
        <w:rPr>
          <w:rFonts w:ascii="Times" w:hAnsi="Times" w:cs="Arial"/>
          <w:b/>
          <w:sz w:val="24"/>
          <w:szCs w:val="24"/>
        </w:rPr>
        <w:t>origem, definição, classificação</w:t>
      </w:r>
      <w:r w:rsidR="002E30BE">
        <w:rPr>
          <w:rFonts w:ascii="Times" w:hAnsi="Times" w:cs="Arial"/>
          <w:b/>
          <w:sz w:val="24"/>
          <w:szCs w:val="24"/>
        </w:rPr>
        <w:t xml:space="preserve"> e as decisões judiciais</w:t>
      </w:r>
      <w:r w:rsidR="00C76AFD">
        <w:rPr>
          <w:rFonts w:ascii="Times" w:hAnsi="Times" w:cs="Arial"/>
          <w:b/>
          <w:sz w:val="24"/>
          <w:szCs w:val="24"/>
        </w:rPr>
        <w:t xml:space="preserve"> do direito consuetudinário anglo-saxão e do direito romano canônico</w:t>
      </w:r>
      <w:r w:rsidR="002E30BE">
        <w:rPr>
          <w:rFonts w:ascii="Times" w:hAnsi="Times" w:cs="Arial"/>
          <w:b/>
          <w:sz w:val="24"/>
          <w:szCs w:val="24"/>
        </w:rPr>
        <w:t xml:space="preserve"> brasileiro.</w:t>
      </w:r>
    </w:p>
    <w:p w:rsidR="008E0623" w:rsidRPr="0048710E" w:rsidRDefault="008E0623" w:rsidP="008E0623">
      <w:pPr>
        <w:jc w:val="center"/>
        <w:rPr>
          <w:rFonts w:ascii="Times" w:hAnsi="Times" w:cs="Arial"/>
        </w:rPr>
      </w:pPr>
    </w:p>
    <w:p w:rsidR="00770076" w:rsidRPr="00533183" w:rsidRDefault="00770076" w:rsidP="00533183">
      <w:pPr>
        <w:spacing w:after="0" w:line="240" w:lineRule="auto"/>
        <w:jc w:val="right"/>
        <w:rPr>
          <w:rFonts w:ascii="Times" w:hAnsi="Times" w:cs="Arial"/>
          <w:i/>
          <w:sz w:val="20"/>
          <w:szCs w:val="20"/>
        </w:rPr>
      </w:pPr>
      <w:r w:rsidRPr="00533183">
        <w:rPr>
          <w:rFonts w:ascii="Times" w:hAnsi="Times" w:cs="Arial"/>
          <w:i/>
          <w:sz w:val="20"/>
          <w:szCs w:val="20"/>
        </w:rPr>
        <w:t>Bruno Pereira Rodrigues</w:t>
      </w:r>
    </w:p>
    <w:p w:rsidR="008E0623" w:rsidRPr="00533183" w:rsidRDefault="00770076" w:rsidP="00533183">
      <w:pPr>
        <w:spacing w:after="0" w:line="240" w:lineRule="auto"/>
        <w:jc w:val="right"/>
        <w:rPr>
          <w:rFonts w:ascii="Times" w:hAnsi="Times" w:cs="Arial"/>
          <w:i/>
          <w:sz w:val="20"/>
          <w:szCs w:val="20"/>
        </w:rPr>
      </w:pPr>
      <w:r w:rsidRPr="00533183">
        <w:rPr>
          <w:rFonts w:ascii="Times" w:hAnsi="Times" w:cs="Arial"/>
          <w:i/>
          <w:sz w:val="20"/>
          <w:szCs w:val="20"/>
        </w:rPr>
        <w:t>Daniel Abdon Arouche França</w:t>
      </w:r>
    </w:p>
    <w:p w:rsidR="008E0623" w:rsidRPr="00533183" w:rsidRDefault="00770076" w:rsidP="00533183">
      <w:pPr>
        <w:spacing w:after="0" w:line="240" w:lineRule="auto"/>
        <w:jc w:val="right"/>
        <w:rPr>
          <w:rFonts w:ascii="Times" w:hAnsi="Times" w:cs="Arial"/>
          <w:i/>
          <w:sz w:val="20"/>
          <w:szCs w:val="20"/>
        </w:rPr>
      </w:pPr>
      <w:r w:rsidRPr="00533183">
        <w:rPr>
          <w:rFonts w:ascii="Times" w:hAnsi="Times" w:cs="Arial"/>
          <w:i/>
          <w:sz w:val="20"/>
          <w:szCs w:val="20"/>
        </w:rPr>
        <w:t>Larissa Pereira Rodrigues</w:t>
      </w:r>
      <w:r w:rsidR="008E0623" w:rsidRPr="00533183">
        <w:rPr>
          <w:rStyle w:val="Refdenotaderodap"/>
          <w:rFonts w:ascii="Times" w:hAnsi="Times" w:cs="Arial"/>
          <w:i/>
          <w:sz w:val="20"/>
          <w:szCs w:val="20"/>
        </w:rPr>
        <w:footnoteReference w:customMarkFollows="1" w:id="2"/>
        <w:t>**</w:t>
      </w:r>
    </w:p>
    <w:p w:rsidR="008E0623" w:rsidRPr="0048710E" w:rsidRDefault="008E0623" w:rsidP="008E0623">
      <w:pPr>
        <w:jc w:val="center"/>
        <w:rPr>
          <w:rFonts w:ascii="Times" w:hAnsi="Times" w:cs="Arial"/>
        </w:rPr>
      </w:pPr>
    </w:p>
    <w:p w:rsidR="008E0623" w:rsidRPr="00BB14CE" w:rsidRDefault="008E0623" w:rsidP="00BF1364">
      <w:pPr>
        <w:spacing w:after="0" w:line="240" w:lineRule="auto"/>
        <w:ind w:left="2268"/>
        <w:jc w:val="both"/>
        <w:rPr>
          <w:rFonts w:ascii="Times New Roman" w:hAnsi="Times New Roman" w:cs="Times New Roman"/>
          <w:sz w:val="21"/>
          <w:szCs w:val="21"/>
        </w:rPr>
      </w:pPr>
      <w:r w:rsidRPr="00BB14CE">
        <w:rPr>
          <w:rFonts w:ascii="Times New Roman" w:hAnsi="Times New Roman" w:cs="Times New Roman"/>
          <w:b/>
          <w:sz w:val="21"/>
          <w:szCs w:val="21"/>
        </w:rPr>
        <w:t>SUMÁRIO</w:t>
      </w:r>
      <w:r w:rsidRPr="00BB14CE">
        <w:rPr>
          <w:rFonts w:ascii="Times New Roman" w:hAnsi="Times New Roman" w:cs="Times New Roman"/>
          <w:sz w:val="21"/>
          <w:szCs w:val="21"/>
        </w:rPr>
        <w:t>: Introdução; 1</w:t>
      </w:r>
      <w:r w:rsidR="00984838">
        <w:rPr>
          <w:rFonts w:ascii="Times New Roman" w:hAnsi="Times New Roman" w:cs="Times New Roman"/>
          <w:sz w:val="21"/>
          <w:szCs w:val="21"/>
        </w:rPr>
        <w:t>.</w:t>
      </w:r>
      <w:r w:rsidRPr="00BB14CE">
        <w:rPr>
          <w:rFonts w:ascii="Times New Roman" w:hAnsi="Times New Roman" w:cs="Times New Roman"/>
          <w:sz w:val="21"/>
          <w:szCs w:val="21"/>
        </w:rPr>
        <w:t xml:space="preserve"> </w:t>
      </w:r>
      <w:r w:rsidR="00770076" w:rsidRPr="00BB14CE">
        <w:rPr>
          <w:rFonts w:ascii="Times New Roman" w:hAnsi="Times New Roman" w:cs="Times New Roman"/>
          <w:sz w:val="21"/>
          <w:szCs w:val="21"/>
        </w:rPr>
        <w:t xml:space="preserve">A evolução e o aperfeiçoamento do sistema jurídico da </w:t>
      </w:r>
      <w:r w:rsidR="00770076" w:rsidRPr="00BB14CE">
        <w:rPr>
          <w:rFonts w:ascii="Times New Roman" w:hAnsi="Times New Roman" w:cs="Times New Roman"/>
          <w:i/>
          <w:sz w:val="21"/>
          <w:szCs w:val="21"/>
        </w:rPr>
        <w:t>civil law</w:t>
      </w:r>
      <w:r w:rsidR="00770076" w:rsidRPr="00BB14CE">
        <w:rPr>
          <w:rFonts w:ascii="Times New Roman" w:hAnsi="Times New Roman" w:cs="Times New Roman"/>
          <w:sz w:val="21"/>
          <w:szCs w:val="21"/>
        </w:rPr>
        <w:t xml:space="preserve"> e da </w:t>
      </w:r>
      <w:r w:rsidR="00770076" w:rsidRPr="00BB14CE">
        <w:rPr>
          <w:rFonts w:ascii="Times New Roman" w:hAnsi="Times New Roman" w:cs="Times New Roman"/>
          <w:i/>
          <w:sz w:val="21"/>
          <w:szCs w:val="21"/>
        </w:rPr>
        <w:t>commom law</w:t>
      </w:r>
      <w:r w:rsidRPr="00BB14CE">
        <w:rPr>
          <w:rFonts w:ascii="Times New Roman" w:hAnsi="Times New Roman" w:cs="Times New Roman"/>
          <w:sz w:val="21"/>
          <w:szCs w:val="21"/>
        </w:rPr>
        <w:t>;</w:t>
      </w:r>
      <w:r w:rsidR="00770076" w:rsidRPr="00BB14CE">
        <w:rPr>
          <w:rFonts w:ascii="Times New Roman" w:hAnsi="Times New Roman" w:cs="Times New Roman"/>
          <w:sz w:val="21"/>
          <w:szCs w:val="21"/>
        </w:rPr>
        <w:t xml:space="preserve"> 2</w:t>
      </w:r>
      <w:r w:rsidR="00984838">
        <w:rPr>
          <w:rFonts w:ascii="Times New Roman" w:hAnsi="Times New Roman" w:cs="Times New Roman"/>
          <w:sz w:val="21"/>
          <w:szCs w:val="21"/>
        </w:rPr>
        <w:t>.</w:t>
      </w:r>
      <w:r w:rsidR="00770076" w:rsidRPr="00BB14CE">
        <w:rPr>
          <w:rFonts w:ascii="Times New Roman" w:hAnsi="Times New Roman" w:cs="Times New Roman"/>
          <w:sz w:val="21"/>
          <w:szCs w:val="21"/>
        </w:rPr>
        <w:t xml:space="preserve"> Decisões judiciais do sistema jurídico da </w:t>
      </w:r>
      <w:r w:rsidR="00770076" w:rsidRPr="00BB14CE">
        <w:rPr>
          <w:rFonts w:ascii="Times New Roman" w:hAnsi="Times New Roman" w:cs="Times New Roman"/>
          <w:i/>
          <w:sz w:val="21"/>
          <w:szCs w:val="21"/>
        </w:rPr>
        <w:t>civil law</w:t>
      </w:r>
      <w:r w:rsidR="00770076" w:rsidRPr="00BB14CE">
        <w:rPr>
          <w:rFonts w:ascii="Times New Roman" w:hAnsi="Times New Roman" w:cs="Times New Roman"/>
          <w:sz w:val="21"/>
          <w:szCs w:val="21"/>
        </w:rPr>
        <w:t xml:space="preserve"> e da </w:t>
      </w:r>
      <w:r w:rsidR="00770076" w:rsidRPr="00BB14CE">
        <w:rPr>
          <w:rFonts w:ascii="Times New Roman" w:hAnsi="Times New Roman" w:cs="Times New Roman"/>
          <w:i/>
          <w:sz w:val="21"/>
          <w:szCs w:val="21"/>
        </w:rPr>
        <w:t>commom law</w:t>
      </w:r>
      <w:r w:rsidR="00770076" w:rsidRPr="00BB14CE">
        <w:rPr>
          <w:rFonts w:ascii="Times New Roman" w:hAnsi="Times New Roman" w:cs="Times New Roman"/>
          <w:sz w:val="21"/>
          <w:szCs w:val="21"/>
        </w:rPr>
        <w:t xml:space="preserve">;.3. Diferenciações estruturais da ciência processual no sistema jurídico da </w:t>
      </w:r>
      <w:r w:rsidR="00770076" w:rsidRPr="00BB14CE">
        <w:rPr>
          <w:rFonts w:ascii="Times New Roman" w:hAnsi="Times New Roman" w:cs="Times New Roman"/>
          <w:i/>
          <w:sz w:val="21"/>
          <w:szCs w:val="21"/>
        </w:rPr>
        <w:t>civil law</w:t>
      </w:r>
      <w:r w:rsidR="00770076" w:rsidRPr="00BB14CE">
        <w:rPr>
          <w:rFonts w:ascii="Times New Roman" w:hAnsi="Times New Roman" w:cs="Times New Roman"/>
          <w:sz w:val="21"/>
          <w:szCs w:val="21"/>
        </w:rPr>
        <w:t xml:space="preserve"> e da  </w:t>
      </w:r>
      <w:r w:rsidR="00770076" w:rsidRPr="00BB14CE">
        <w:rPr>
          <w:rFonts w:ascii="Times New Roman" w:hAnsi="Times New Roman" w:cs="Times New Roman"/>
          <w:i/>
          <w:sz w:val="21"/>
          <w:szCs w:val="21"/>
        </w:rPr>
        <w:t>commom law</w:t>
      </w:r>
      <w:r w:rsidR="00770076" w:rsidRPr="00BB14CE">
        <w:rPr>
          <w:rFonts w:ascii="Times New Roman" w:hAnsi="Times New Roman" w:cs="Times New Roman"/>
          <w:sz w:val="21"/>
          <w:szCs w:val="21"/>
        </w:rPr>
        <w:t>;</w:t>
      </w:r>
      <w:r w:rsidR="00984838">
        <w:rPr>
          <w:rFonts w:ascii="Times New Roman" w:hAnsi="Times New Roman" w:cs="Times New Roman"/>
          <w:sz w:val="21"/>
          <w:szCs w:val="21"/>
        </w:rPr>
        <w:t xml:space="preserve"> </w:t>
      </w:r>
      <w:r w:rsidR="00770076" w:rsidRPr="00BB14CE">
        <w:rPr>
          <w:rFonts w:ascii="Times New Roman" w:hAnsi="Times New Roman" w:cs="Times New Roman"/>
          <w:sz w:val="21"/>
          <w:szCs w:val="21"/>
        </w:rPr>
        <w:t>4. Classificação dos precedentes normativos</w:t>
      </w:r>
      <w:r w:rsidR="00F72AE9">
        <w:rPr>
          <w:rFonts w:ascii="Times New Roman" w:hAnsi="Times New Roman" w:cs="Times New Roman"/>
          <w:sz w:val="21"/>
          <w:szCs w:val="21"/>
        </w:rPr>
        <w:t xml:space="preserve"> pelos estudiosos do direito brasileiro</w:t>
      </w:r>
      <w:r w:rsidR="00B939D0" w:rsidRPr="00BB14CE">
        <w:rPr>
          <w:rFonts w:ascii="Times New Roman" w:hAnsi="Times New Roman" w:cs="Times New Roman"/>
          <w:sz w:val="21"/>
          <w:szCs w:val="21"/>
        </w:rPr>
        <w:t xml:space="preserve">. </w:t>
      </w:r>
      <w:r w:rsidRPr="00BB14CE">
        <w:rPr>
          <w:rFonts w:ascii="Times New Roman" w:hAnsi="Times New Roman" w:cs="Times New Roman"/>
          <w:sz w:val="21"/>
          <w:szCs w:val="21"/>
        </w:rPr>
        <w:t>Considerações Finais. REFERÊNCIAS.</w:t>
      </w:r>
    </w:p>
    <w:p w:rsidR="008E0623" w:rsidRDefault="008E0623" w:rsidP="008E0623">
      <w:pPr>
        <w:jc w:val="center"/>
        <w:rPr>
          <w:rFonts w:ascii="Times" w:hAnsi="Times" w:cs="Arial"/>
          <w:b/>
        </w:rPr>
      </w:pPr>
    </w:p>
    <w:p w:rsidR="008E0623" w:rsidRPr="004348F8" w:rsidRDefault="008E0623" w:rsidP="008E0623">
      <w:pPr>
        <w:spacing w:line="360" w:lineRule="auto"/>
        <w:jc w:val="center"/>
        <w:rPr>
          <w:rFonts w:ascii="Times" w:hAnsi="Times" w:cs="Arial"/>
          <w:b/>
        </w:rPr>
      </w:pPr>
      <w:r w:rsidRPr="004348F8">
        <w:rPr>
          <w:rFonts w:ascii="Times" w:hAnsi="Times" w:cs="Arial"/>
          <w:b/>
        </w:rPr>
        <w:t>RESUMO</w:t>
      </w:r>
    </w:p>
    <w:p w:rsidR="008E0623" w:rsidRDefault="008E0623" w:rsidP="008E0623">
      <w:pPr>
        <w:spacing w:line="360" w:lineRule="auto"/>
        <w:jc w:val="both"/>
        <w:rPr>
          <w:rFonts w:ascii="Times" w:hAnsi="Times" w:cs="Arial"/>
        </w:rPr>
      </w:pPr>
      <w:r w:rsidRPr="00BF1364">
        <w:rPr>
          <w:rFonts w:ascii="Times" w:hAnsi="Times" w:cs="Arial"/>
          <w:sz w:val="24"/>
          <w:szCs w:val="24"/>
        </w:rPr>
        <w:t xml:space="preserve">O presente estudo trata do sistema jurídico da </w:t>
      </w:r>
      <w:r w:rsidRPr="00BF1364">
        <w:rPr>
          <w:rFonts w:ascii="Times" w:hAnsi="Times" w:cs="Arial"/>
          <w:i/>
          <w:sz w:val="24"/>
          <w:szCs w:val="24"/>
        </w:rPr>
        <w:t xml:space="preserve">civil </w:t>
      </w:r>
      <w:r w:rsidR="00770076" w:rsidRPr="00BF1364">
        <w:rPr>
          <w:rFonts w:ascii="Times" w:hAnsi="Times" w:cs="Arial"/>
          <w:i/>
          <w:sz w:val="24"/>
          <w:szCs w:val="24"/>
        </w:rPr>
        <w:t>l</w:t>
      </w:r>
      <w:r w:rsidRPr="00BF1364">
        <w:rPr>
          <w:rFonts w:ascii="Times" w:hAnsi="Times" w:cs="Arial"/>
          <w:i/>
          <w:sz w:val="24"/>
          <w:szCs w:val="24"/>
        </w:rPr>
        <w:t>aw</w:t>
      </w:r>
      <w:r w:rsidRPr="00BF1364">
        <w:rPr>
          <w:rFonts w:ascii="Times" w:hAnsi="Times" w:cs="Arial"/>
          <w:sz w:val="24"/>
          <w:szCs w:val="24"/>
        </w:rPr>
        <w:t xml:space="preserve"> e </w:t>
      </w:r>
      <w:r w:rsidRPr="00BF1364">
        <w:rPr>
          <w:rFonts w:ascii="Times" w:hAnsi="Times" w:cs="Arial"/>
          <w:i/>
          <w:sz w:val="24"/>
          <w:szCs w:val="24"/>
        </w:rPr>
        <w:t>commom law</w:t>
      </w:r>
      <w:r w:rsidRPr="00BF1364">
        <w:rPr>
          <w:rFonts w:ascii="Times" w:hAnsi="Times" w:cs="Arial"/>
          <w:sz w:val="24"/>
          <w:szCs w:val="24"/>
        </w:rPr>
        <w:t>, isto é,</w:t>
      </w:r>
      <w:r w:rsidR="002765DB">
        <w:rPr>
          <w:rFonts w:ascii="Times" w:hAnsi="Times" w:cs="Arial"/>
          <w:sz w:val="24"/>
          <w:szCs w:val="24"/>
        </w:rPr>
        <w:t xml:space="preserve"> se realizará a definição e a evolução dos aludidos sistemas jurídicos, especialmente, pela prevalência do sistema jurídico da </w:t>
      </w:r>
      <w:r w:rsidR="002765DB" w:rsidRPr="002765DB">
        <w:rPr>
          <w:rFonts w:ascii="Times" w:hAnsi="Times" w:cs="Arial"/>
          <w:i/>
          <w:sz w:val="24"/>
          <w:szCs w:val="24"/>
        </w:rPr>
        <w:t>commom law</w:t>
      </w:r>
      <w:r w:rsidR="002765DB">
        <w:rPr>
          <w:rFonts w:ascii="Times" w:hAnsi="Times" w:cs="Arial"/>
          <w:sz w:val="24"/>
          <w:szCs w:val="24"/>
        </w:rPr>
        <w:t>, que tem sido prestigiado pela preocupação com a higidez do ordenamento jurídico, principalmente, com a uniformização jurisprudencial ou da proeminência das decisões judiciais em vez do culto a lei. Atualmente, tanto o direito consuetudinário quanto o direito canônico tem prestigiado a segurança jurídica frente aos desafios dos tribunais nos dias de hoje.</w:t>
      </w:r>
    </w:p>
    <w:p w:rsidR="008E0623" w:rsidRPr="0048710E" w:rsidRDefault="008E0623" w:rsidP="008E0623">
      <w:pPr>
        <w:spacing w:line="360" w:lineRule="auto"/>
        <w:jc w:val="both"/>
        <w:rPr>
          <w:rFonts w:ascii="Times" w:hAnsi="Times" w:cs="Arial"/>
        </w:rPr>
      </w:pPr>
    </w:p>
    <w:p w:rsidR="008E0623" w:rsidRPr="008E0623" w:rsidRDefault="008E0623" w:rsidP="008E0623">
      <w:pPr>
        <w:spacing w:line="360" w:lineRule="auto"/>
        <w:jc w:val="center"/>
        <w:rPr>
          <w:rFonts w:ascii="Times" w:hAnsi="Times" w:cs="Arial"/>
        </w:rPr>
      </w:pPr>
      <w:r w:rsidRPr="00EA7918">
        <w:rPr>
          <w:rFonts w:ascii="Times" w:hAnsi="Times" w:cs="Arial"/>
          <w:b/>
          <w:caps/>
        </w:rPr>
        <w:t>Palavras-Chave</w:t>
      </w:r>
    </w:p>
    <w:p w:rsidR="008E0623" w:rsidRPr="008E0623" w:rsidRDefault="008E0623" w:rsidP="008E0623">
      <w:pPr>
        <w:spacing w:line="360" w:lineRule="auto"/>
        <w:jc w:val="center"/>
        <w:rPr>
          <w:rFonts w:ascii="Times" w:hAnsi="Times" w:cs="Arial"/>
        </w:rPr>
      </w:pPr>
      <w:r>
        <w:rPr>
          <w:rFonts w:ascii="Times" w:hAnsi="Times" w:cs="Arial"/>
        </w:rPr>
        <w:t>Sistema Jur</w:t>
      </w:r>
      <w:r w:rsidR="002765DB">
        <w:rPr>
          <w:rFonts w:ascii="Times" w:hAnsi="Times" w:cs="Arial"/>
        </w:rPr>
        <w:t xml:space="preserve">ídico – Decisão Judicial – Lei </w:t>
      </w:r>
      <w:r>
        <w:rPr>
          <w:rFonts w:ascii="Times" w:hAnsi="Times" w:cs="Arial"/>
        </w:rPr>
        <w:t>– Segurança Jurídica</w:t>
      </w:r>
      <w:r w:rsidR="002765DB">
        <w:rPr>
          <w:rFonts w:ascii="Times" w:hAnsi="Times" w:cs="Arial"/>
        </w:rPr>
        <w:t xml:space="preserve"> - Ordenamento</w:t>
      </w:r>
    </w:p>
    <w:p w:rsidR="008E0623" w:rsidRPr="008E0623" w:rsidRDefault="008E0623" w:rsidP="008E0623">
      <w:pPr>
        <w:jc w:val="center"/>
        <w:rPr>
          <w:rFonts w:ascii="Times" w:hAnsi="Times" w:cs="Arial"/>
        </w:rPr>
      </w:pPr>
    </w:p>
    <w:p w:rsidR="003433AC" w:rsidRPr="008E0623" w:rsidRDefault="003433AC" w:rsidP="00B833FC">
      <w:pPr>
        <w:spacing w:line="360" w:lineRule="auto"/>
        <w:rPr>
          <w:rFonts w:ascii="Times" w:hAnsi="Times" w:cs="Arial"/>
        </w:rPr>
      </w:pPr>
    </w:p>
    <w:p w:rsidR="008E0623" w:rsidRPr="0048710E" w:rsidRDefault="008E0623" w:rsidP="008E0623">
      <w:pPr>
        <w:spacing w:line="360" w:lineRule="auto"/>
        <w:jc w:val="both"/>
        <w:rPr>
          <w:rFonts w:ascii="Times" w:hAnsi="Times" w:cs="Arial"/>
          <w:b/>
        </w:rPr>
      </w:pPr>
      <w:r w:rsidRPr="0048710E">
        <w:rPr>
          <w:rFonts w:ascii="Times" w:hAnsi="Times" w:cs="Arial"/>
          <w:b/>
        </w:rPr>
        <w:t>INTRODUÇÃO</w:t>
      </w:r>
    </w:p>
    <w:p w:rsidR="00841B64" w:rsidRPr="00677774" w:rsidRDefault="00841B64" w:rsidP="001F572D">
      <w:pPr>
        <w:spacing w:after="0" w:line="360" w:lineRule="auto"/>
        <w:jc w:val="both"/>
        <w:rPr>
          <w:rFonts w:ascii="Times New Roman" w:hAnsi="Times New Roman" w:cs="Times New Roman"/>
          <w:sz w:val="24"/>
          <w:szCs w:val="24"/>
        </w:rPr>
      </w:pPr>
    </w:p>
    <w:p w:rsidR="00B939D0" w:rsidRPr="003A62BD" w:rsidRDefault="00B939D0" w:rsidP="00B939D0">
      <w:pPr>
        <w:tabs>
          <w:tab w:val="left" w:pos="851"/>
        </w:tabs>
        <w:spacing w:after="0" w:line="360" w:lineRule="auto"/>
        <w:ind w:firstLine="1134"/>
        <w:jc w:val="both"/>
        <w:rPr>
          <w:rFonts w:ascii="Times New Roman" w:hAnsi="Times New Roman" w:cs="Times New Roman"/>
          <w:sz w:val="24"/>
          <w:szCs w:val="24"/>
        </w:rPr>
      </w:pPr>
      <w:r w:rsidRPr="003A62BD">
        <w:rPr>
          <w:rFonts w:ascii="Times New Roman" w:hAnsi="Times New Roman" w:cs="Times New Roman"/>
          <w:sz w:val="24"/>
          <w:szCs w:val="24"/>
        </w:rPr>
        <w:t xml:space="preserve">É plausível a indicação dos sistemas jurídicos mais famosos do mundo. O sistema jurídico da </w:t>
      </w:r>
      <w:r w:rsidR="003433AC" w:rsidRPr="003A62BD">
        <w:rPr>
          <w:rFonts w:ascii="Times New Roman" w:hAnsi="Times New Roman" w:cs="Times New Roman"/>
          <w:i/>
          <w:sz w:val="24"/>
          <w:szCs w:val="24"/>
        </w:rPr>
        <w:t xml:space="preserve">civil law </w:t>
      </w:r>
      <w:r w:rsidRPr="003A62BD">
        <w:rPr>
          <w:rFonts w:ascii="Times New Roman" w:hAnsi="Times New Roman" w:cs="Times New Roman"/>
          <w:sz w:val="24"/>
          <w:szCs w:val="24"/>
        </w:rPr>
        <w:t xml:space="preserve">é constatado pelo fato do legado romano aos </w:t>
      </w:r>
      <w:r w:rsidR="003433AC" w:rsidRPr="003A62BD">
        <w:rPr>
          <w:rFonts w:ascii="Times New Roman" w:hAnsi="Times New Roman" w:cs="Times New Roman"/>
          <w:sz w:val="24"/>
          <w:szCs w:val="24"/>
        </w:rPr>
        <w:t>países</w:t>
      </w:r>
      <w:r w:rsidRPr="003A62BD">
        <w:rPr>
          <w:rFonts w:ascii="Times New Roman" w:hAnsi="Times New Roman" w:cs="Times New Roman"/>
          <w:sz w:val="24"/>
          <w:szCs w:val="24"/>
        </w:rPr>
        <w:t xml:space="preserve"> da </w:t>
      </w:r>
      <w:r w:rsidRPr="003A62BD">
        <w:rPr>
          <w:rFonts w:ascii="Times New Roman" w:hAnsi="Times New Roman" w:cs="Times New Roman"/>
          <w:sz w:val="24"/>
          <w:szCs w:val="24"/>
        </w:rPr>
        <w:lastRenderedPageBreak/>
        <w:t>europa continental, que posteriormente, exerceu uma grande influência nos países do globo terrestre em decorrência d</w:t>
      </w:r>
      <w:r w:rsidR="003433AC">
        <w:rPr>
          <w:rFonts w:ascii="Times New Roman" w:hAnsi="Times New Roman" w:cs="Times New Roman"/>
          <w:sz w:val="24"/>
          <w:szCs w:val="24"/>
        </w:rPr>
        <w:t>a colonização européia no mundo, após as grandes navegações do século XV-XVI.</w:t>
      </w:r>
    </w:p>
    <w:p w:rsidR="00B939D0" w:rsidRPr="003A62BD" w:rsidRDefault="00B939D0" w:rsidP="00B939D0">
      <w:pPr>
        <w:tabs>
          <w:tab w:val="left" w:pos="851"/>
        </w:tabs>
        <w:spacing w:after="0" w:line="360" w:lineRule="auto"/>
        <w:ind w:firstLine="1134"/>
        <w:jc w:val="both"/>
        <w:rPr>
          <w:rFonts w:ascii="Times New Roman" w:hAnsi="Times New Roman" w:cs="Times New Roman"/>
          <w:sz w:val="24"/>
          <w:szCs w:val="24"/>
        </w:rPr>
      </w:pPr>
      <w:r w:rsidRPr="003A62BD">
        <w:rPr>
          <w:rFonts w:ascii="Times New Roman" w:hAnsi="Times New Roman" w:cs="Times New Roman"/>
          <w:sz w:val="24"/>
          <w:szCs w:val="24"/>
        </w:rPr>
        <w:t xml:space="preserve">Já o sistema jurídico da </w:t>
      </w:r>
      <w:r w:rsidR="001E0E4D" w:rsidRPr="003A62BD">
        <w:rPr>
          <w:rFonts w:ascii="Times New Roman" w:hAnsi="Times New Roman" w:cs="Times New Roman"/>
          <w:i/>
          <w:sz w:val="24"/>
          <w:szCs w:val="24"/>
        </w:rPr>
        <w:t>commom law</w:t>
      </w:r>
      <w:r w:rsidR="001E0E4D" w:rsidRPr="003A62BD">
        <w:rPr>
          <w:rFonts w:ascii="Times New Roman" w:hAnsi="Times New Roman" w:cs="Times New Roman"/>
          <w:sz w:val="24"/>
          <w:szCs w:val="24"/>
        </w:rPr>
        <w:t xml:space="preserve"> </w:t>
      </w:r>
      <w:r w:rsidRPr="003A62BD">
        <w:rPr>
          <w:rFonts w:ascii="Times New Roman" w:hAnsi="Times New Roman" w:cs="Times New Roman"/>
          <w:sz w:val="24"/>
          <w:szCs w:val="24"/>
        </w:rPr>
        <w:t>é mencionado pelo legado do direito anglo-saxão, originário da Inglaterra, que séculos atrás, esse país possuía um elevado prestígio e influenciou</w:t>
      </w:r>
      <w:r w:rsidR="003433AC">
        <w:rPr>
          <w:rFonts w:ascii="Times New Roman" w:hAnsi="Times New Roman" w:cs="Times New Roman"/>
          <w:sz w:val="24"/>
          <w:szCs w:val="24"/>
        </w:rPr>
        <w:t xml:space="preserve"> inúmeros países, em especial, uma das</w:t>
      </w:r>
      <w:r w:rsidRPr="003A62BD">
        <w:rPr>
          <w:rFonts w:ascii="Times New Roman" w:hAnsi="Times New Roman" w:cs="Times New Roman"/>
          <w:sz w:val="24"/>
          <w:szCs w:val="24"/>
        </w:rPr>
        <w:t xml:space="preserve"> maior</w:t>
      </w:r>
      <w:r w:rsidR="003433AC">
        <w:rPr>
          <w:rFonts w:ascii="Times New Roman" w:hAnsi="Times New Roman" w:cs="Times New Roman"/>
          <w:sz w:val="24"/>
          <w:szCs w:val="24"/>
        </w:rPr>
        <w:t>es</w:t>
      </w:r>
      <w:r w:rsidRPr="003A62BD">
        <w:rPr>
          <w:rFonts w:ascii="Times New Roman" w:hAnsi="Times New Roman" w:cs="Times New Roman"/>
          <w:sz w:val="24"/>
          <w:szCs w:val="24"/>
        </w:rPr>
        <w:t xml:space="preserve"> potência</w:t>
      </w:r>
      <w:r w:rsidR="003433AC">
        <w:rPr>
          <w:rFonts w:ascii="Times New Roman" w:hAnsi="Times New Roman" w:cs="Times New Roman"/>
          <w:sz w:val="24"/>
          <w:szCs w:val="24"/>
        </w:rPr>
        <w:t xml:space="preserve"> do ponto de vista econômico e militar do planeta, que são os Estados Unidos da América.</w:t>
      </w:r>
    </w:p>
    <w:p w:rsidR="00B939D0" w:rsidRPr="003A62BD" w:rsidRDefault="00B939D0" w:rsidP="00B939D0">
      <w:pPr>
        <w:tabs>
          <w:tab w:val="left" w:pos="85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Pr="003A62BD">
        <w:rPr>
          <w:rFonts w:ascii="Times New Roman" w:hAnsi="Times New Roman" w:cs="Times New Roman"/>
          <w:sz w:val="24"/>
          <w:szCs w:val="24"/>
        </w:rPr>
        <w:t xml:space="preserve">ste </w:t>
      </w:r>
      <w:r>
        <w:rPr>
          <w:rFonts w:ascii="Times New Roman" w:hAnsi="Times New Roman" w:cs="Times New Roman"/>
          <w:sz w:val="24"/>
          <w:szCs w:val="24"/>
        </w:rPr>
        <w:t>estudo</w:t>
      </w:r>
      <w:r w:rsidR="003433AC">
        <w:rPr>
          <w:rFonts w:ascii="Times New Roman" w:hAnsi="Times New Roman" w:cs="Times New Roman"/>
          <w:sz w:val="24"/>
          <w:szCs w:val="24"/>
        </w:rPr>
        <w:t xml:space="preserve"> indica</w:t>
      </w:r>
      <w:r w:rsidRPr="003A62BD">
        <w:rPr>
          <w:rFonts w:ascii="Times New Roman" w:hAnsi="Times New Roman" w:cs="Times New Roman"/>
          <w:sz w:val="24"/>
          <w:szCs w:val="24"/>
        </w:rPr>
        <w:t xml:space="preserve"> que esses sistemas jurídicos tiveram uma evolução jurídica diferenciada (</w:t>
      </w:r>
      <w:r w:rsidR="003433AC">
        <w:rPr>
          <w:rFonts w:ascii="Times New Roman" w:hAnsi="Times New Roman" w:cs="Times New Roman"/>
          <w:sz w:val="24"/>
          <w:szCs w:val="24"/>
        </w:rPr>
        <w:t>origem), primeiramente, a influê</w:t>
      </w:r>
      <w:r w:rsidRPr="003A62BD">
        <w:rPr>
          <w:rFonts w:ascii="Times New Roman" w:hAnsi="Times New Roman" w:cs="Times New Roman"/>
          <w:sz w:val="24"/>
          <w:szCs w:val="24"/>
        </w:rPr>
        <w:t>ncia do direito canônico romano perante o direito consuetudinário, e posteriormente, a importância desse perante aquele no tocante ao prestígio do Pode Judiciário. As definições dos respectivos sistemas jurídicos - decisões jurídicas de ambos sistemas,</w:t>
      </w:r>
      <w:r w:rsidR="003433AC">
        <w:rPr>
          <w:rFonts w:ascii="Times New Roman" w:hAnsi="Times New Roman" w:cs="Times New Roman"/>
          <w:sz w:val="24"/>
          <w:szCs w:val="24"/>
        </w:rPr>
        <w:t xml:space="preserve"> e</w:t>
      </w:r>
      <w:r w:rsidRPr="003A62BD">
        <w:rPr>
          <w:rFonts w:ascii="Times New Roman" w:hAnsi="Times New Roman" w:cs="Times New Roman"/>
          <w:sz w:val="24"/>
          <w:szCs w:val="24"/>
        </w:rPr>
        <w:t xml:space="preserve"> a classificação dos precedentes normativos pelos teóricos brasileiros</w:t>
      </w:r>
      <w:r w:rsidR="003433AC">
        <w:rPr>
          <w:rFonts w:ascii="Times New Roman" w:hAnsi="Times New Roman" w:cs="Times New Roman"/>
          <w:sz w:val="24"/>
          <w:szCs w:val="24"/>
        </w:rPr>
        <w:t>.</w:t>
      </w:r>
    </w:p>
    <w:p w:rsidR="00B939D0" w:rsidRPr="003A62BD" w:rsidRDefault="00B939D0" w:rsidP="00B939D0">
      <w:pPr>
        <w:tabs>
          <w:tab w:val="left" w:pos="851"/>
        </w:tabs>
        <w:spacing w:after="0" w:line="360" w:lineRule="auto"/>
        <w:ind w:firstLine="1134"/>
        <w:jc w:val="both"/>
        <w:rPr>
          <w:rFonts w:ascii="Times New Roman" w:hAnsi="Times New Roman" w:cs="Times New Roman"/>
          <w:sz w:val="24"/>
          <w:szCs w:val="24"/>
        </w:rPr>
      </w:pPr>
      <w:r w:rsidRPr="003A62BD">
        <w:rPr>
          <w:rFonts w:ascii="Times New Roman" w:hAnsi="Times New Roman" w:cs="Times New Roman"/>
          <w:sz w:val="24"/>
          <w:szCs w:val="24"/>
        </w:rPr>
        <w:t xml:space="preserve">Sobressai-se o direito do </w:t>
      </w:r>
      <w:r w:rsidR="001E0E4D" w:rsidRPr="003A62BD">
        <w:rPr>
          <w:rFonts w:ascii="Times New Roman" w:hAnsi="Times New Roman" w:cs="Times New Roman"/>
          <w:i/>
          <w:sz w:val="24"/>
          <w:szCs w:val="24"/>
        </w:rPr>
        <w:t>commom law</w:t>
      </w:r>
      <w:r w:rsidR="001E0E4D" w:rsidRPr="003A62BD">
        <w:rPr>
          <w:rFonts w:ascii="Times New Roman" w:hAnsi="Times New Roman" w:cs="Times New Roman"/>
          <w:sz w:val="24"/>
          <w:szCs w:val="24"/>
        </w:rPr>
        <w:t xml:space="preserve"> </w:t>
      </w:r>
      <w:r w:rsidRPr="003A62BD">
        <w:rPr>
          <w:rFonts w:ascii="Times New Roman" w:hAnsi="Times New Roman" w:cs="Times New Roman"/>
          <w:sz w:val="24"/>
          <w:szCs w:val="24"/>
        </w:rPr>
        <w:t>em virtude deste trazer lições valiosas em relação às necessidades atuais de quaisquer sistemas jurídicos do mundo</w:t>
      </w:r>
      <w:r w:rsidR="003433AC">
        <w:rPr>
          <w:rFonts w:ascii="Times New Roman" w:hAnsi="Times New Roman" w:cs="Times New Roman"/>
          <w:sz w:val="24"/>
          <w:szCs w:val="24"/>
        </w:rPr>
        <w:t xml:space="preserve">. </w:t>
      </w:r>
      <w:r w:rsidRPr="003A62BD">
        <w:rPr>
          <w:rFonts w:ascii="Times New Roman" w:hAnsi="Times New Roman" w:cs="Times New Roman"/>
          <w:sz w:val="24"/>
          <w:szCs w:val="24"/>
        </w:rPr>
        <w:t>Uma vez que a complexificação das relações sociais, políticas, econômicas, e jurídicas dema</w:t>
      </w:r>
      <w:r w:rsidR="003433AC">
        <w:rPr>
          <w:rFonts w:ascii="Times New Roman" w:hAnsi="Times New Roman" w:cs="Times New Roman"/>
          <w:sz w:val="24"/>
          <w:szCs w:val="24"/>
        </w:rPr>
        <w:t xml:space="preserve">ndam de um atendimento rápido, </w:t>
      </w:r>
      <w:r w:rsidRPr="003A62BD">
        <w:rPr>
          <w:rFonts w:ascii="Times New Roman" w:hAnsi="Times New Roman" w:cs="Times New Roman"/>
          <w:sz w:val="24"/>
          <w:szCs w:val="24"/>
        </w:rPr>
        <w:t>eficiente</w:t>
      </w:r>
      <w:r w:rsidR="003433AC">
        <w:rPr>
          <w:rFonts w:ascii="Times New Roman" w:hAnsi="Times New Roman" w:cs="Times New Roman"/>
          <w:sz w:val="24"/>
          <w:szCs w:val="24"/>
        </w:rPr>
        <w:t xml:space="preserve"> e seguro</w:t>
      </w:r>
      <w:r w:rsidRPr="003A62BD">
        <w:rPr>
          <w:rFonts w:ascii="Times New Roman" w:hAnsi="Times New Roman" w:cs="Times New Roman"/>
          <w:sz w:val="24"/>
          <w:szCs w:val="24"/>
        </w:rPr>
        <w:t xml:space="preserve"> em que o direito consuetudinário anglo-saxão se adequou perfeitamente.</w:t>
      </w:r>
    </w:p>
    <w:p w:rsidR="00B939D0" w:rsidRPr="003A62BD" w:rsidRDefault="00B939D0" w:rsidP="00B939D0">
      <w:pPr>
        <w:tabs>
          <w:tab w:val="left" w:pos="851"/>
        </w:tabs>
        <w:spacing w:after="0" w:line="360" w:lineRule="auto"/>
        <w:ind w:firstLine="1134"/>
        <w:jc w:val="both"/>
        <w:rPr>
          <w:rFonts w:ascii="Times New Roman" w:hAnsi="Times New Roman" w:cs="Times New Roman"/>
          <w:sz w:val="24"/>
          <w:szCs w:val="24"/>
        </w:rPr>
      </w:pPr>
    </w:p>
    <w:p w:rsidR="00B939D0" w:rsidRDefault="00B939D0" w:rsidP="00B939D0">
      <w:pPr>
        <w:tabs>
          <w:tab w:val="left" w:pos="851"/>
        </w:tabs>
        <w:spacing w:after="0" w:line="360" w:lineRule="auto"/>
        <w:ind w:firstLine="1134"/>
        <w:jc w:val="both"/>
        <w:rPr>
          <w:rFonts w:ascii="Times New Roman" w:hAnsi="Times New Roman" w:cs="Times New Roman"/>
          <w:sz w:val="24"/>
          <w:szCs w:val="24"/>
        </w:rPr>
      </w:pPr>
    </w:p>
    <w:p w:rsidR="003433AC" w:rsidRPr="003A62BD" w:rsidRDefault="003433AC" w:rsidP="00B939D0">
      <w:pPr>
        <w:tabs>
          <w:tab w:val="left" w:pos="851"/>
        </w:tabs>
        <w:spacing w:after="0" w:line="360" w:lineRule="auto"/>
        <w:ind w:firstLine="1134"/>
        <w:jc w:val="both"/>
        <w:rPr>
          <w:rFonts w:ascii="Times New Roman" w:hAnsi="Times New Roman" w:cs="Times New Roman"/>
          <w:sz w:val="24"/>
          <w:szCs w:val="24"/>
        </w:rPr>
      </w:pPr>
    </w:p>
    <w:p w:rsidR="00B939D0" w:rsidRPr="003A62BD" w:rsidRDefault="00B939D0" w:rsidP="00B939D0">
      <w:pPr>
        <w:tabs>
          <w:tab w:val="left" w:pos="851"/>
        </w:tabs>
        <w:spacing w:after="0" w:line="360" w:lineRule="auto"/>
        <w:jc w:val="both"/>
        <w:rPr>
          <w:rFonts w:ascii="Times New Roman" w:hAnsi="Times New Roman" w:cs="Times New Roman"/>
          <w:b/>
          <w:sz w:val="24"/>
          <w:szCs w:val="24"/>
        </w:rPr>
      </w:pPr>
      <w:r w:rsidRPr="003A62BD">
        <w:rPr>
          <w:rFonts w:ascii="Times New Roman" w:hAnsi="Times New Roman" w:cs="Times New Roman"/>
          <w:b/>
          <w:sz w:val="24"/>
          <w:szCs w:val="24"/>
        </w:rPr>
        <w:t xml:space="preserve">1. A evolução e o aperfeiçoamento do sistema jurídico da </w:t>
      </w:r>
      <w:r w:rsidRPr="003A62BD">
        <w:rPr>
          <w:rFonts w:ascii="Times New Roman" w:hAnsi="Times New Roman" w:cs="Times New Roman"/>
          <w:b/>
          <w:i/>
          <w:sz w:val="24"/>
          <w:szCs w:val="24"/>
        </w:rPr>
        <w:t>Civil Law</w:t>
      </w:r>
      <w:r w:rsidRPr="003A62BD">
        <w:rPr>
          <w:rFonts w:ascii="Times New Roman" w:hAnsi="Times New Roman" w:cs="Times New Roman"/>
          <w:b/>
          <w:sz w:val="24"/>
          <w:szCs w:val="24"/>
        </w:rPr>
        <w:t xml:space="preserve"> e </w:t>
      </w:r>
      <w:r w:rsidRPr="003A62BD">
        <w:rPr>
          <w:rFonts w:ascii="Times New Roman" w:hAnsi="Times New Roman" w:cs="Times New Roman"/>
          <w:b/>
          <w:i/>
          <w:sz w:val="24"/>
          <w:szCs w:val="24"/>
        </w:rPr>
        <w:t>Commom Law</w:t>
      </w:r>
    </w:p>
    <w:p w:rsidR="00B939D0" w:rsidRPr="003A62BD" w:rsidRDefault="00B939D0" w:rsidP="00B939D0">
      <w:pPr>
        <w:tabs>
          <w:tab w:val="left" w:pos="851"/>
        </w:tabs>
        <w:spacing w:after="0" w:line="360" w:lineRule="auto"/>
        <w:ind w:firstLine="1134"/>
        <w:jc w:val="both"/>
        <w:rPr>
          <w:rFonts w:ascii="Times New Roman" w:hAnsi="Times New Roman" w:cs="Times New Roman"/>
          <w:sz w:val="24"/>
          <w:szCs w:val="24"/>
        </w:rPr>
      </w:pPr>
    </w:p>
    <w:p w:rsidR="00B939D0" w:rsidRPr="003A62BD" w:rsidRDefault="00B939D0" w:rsidP="00B939D0">
      <w:pPr>
        <w:tabs>
          <w:tab w:val="left" w:pos="851"/>
        </w:tabs>
        <w:spacing w:after="0" w:line="360" w:lineRule="auto"/>
        <w:ind w:firstLine="1134"/>
        <w:jc w:val="both"/>
        <w:rPr>
          <w:rFonts w:ascii="Times New Roman" w:hAnsi="Times New Roman" w:cs="Times New Roman"/>
          <w:sz w:val="24"/>
          <w:szCs w:val="24"/>
        </w:rPr>
      </w:pPr>
      <w:r w:rsidRPr="003A62BD">
        <w:rPr>
          <w:rFonts w:ascii="Times New Roman" w:hAnsi="Times New Roman" w:cs="Times New Roman"/>
          <w:sz w:val="24"/>
          <w:szCs w:val="24"/>
        </w:rPr>
        <w:t xml:space="preserve">Frisa-se que o sistema jurídico da </w:t>
      </w:r>
      <w:r w:rsidR="001E0E4D" w:rsidRPr="003A62BD">
        <w:rPr>
          <w:rFonts w:ascii="Times New Roman" w:hAnsi="Times New Roman" w:cs="Times New Roman"/>
          <w:i/>
          <w:sz w:val="24"/>
          <w:szCs w:val="24"/>
        </w:rPr>
        <w:t>commom law</w:t>
      </w:r>
      <w:r w:rsidR="001E0E4D" w:rsidRPr="003A62BD">
        <w:rPr>
          <w:rFonts w:ascii="Times New Roman" w:hAnsi="Times New Roman" w:cs="Times New Roman"/>
          <w:sz w:val="24"/>
          <w:szCs w:val="24"/>
        </w:rPr>
        <w:t xml:space="preserve"> </w:t>
      </w:r>
      <w:r w:rsidRPr="003A62BD">
        <w:rPr>
          <w:rFonts w:ascii="Times New Roman" w:hAnsi="Times New Roman" w:cs="Times New Roman"/>
          <w:sz w:val="24"/>
          <w:szCs w:val="24"/>
        </w:rPr>
        <w:t xml:space="preserve">e da </w:t>
      </w:r>
      <w:r w:rsidR="001E0E4D" w:rsidRPr="003A62BD">
        <w:rPr>
          <w:rFonts w:ascii="Times New Roman" w:hAnsi="Times New Roman" w:cs="Times New Roman"/>
          <w:i/>
          <w:sz w:val="24"/>
          <w:szCs w:val="24"/>
        </w:rPr>
        <w:t>civil law</w:t>
      </w:r>
      <w:r w:rsidR="001E0E4D" w:rsidRPr="003A62BD">
        <w:rPr>
          <w:rFonts w:ascii="Times New Roman" w:hAnsi="Times New Roman" w:cs="Times New Roman"/>
          <w:sz w:val="24"/>
          <w:szCs w:val="24"/>
        </w:rPr>
        <w:t xml:space="preserve"> </w:t>
      </w:r>
      <w:r w:rsidRPr="003A62BD">
        <w:rPr>
          <w:rFonts w:ascii="Times New Roman" w:hAnsi="Times New Roman" w:cs="Times New Roman"/>
          <w:sz w:val="24"/>
          <w:szCs w:val="24"/>
        </w:rPr>
        <w:t xml:space="preserve">tem por primado o julgado (o precedente normativo) e a lei, respectivamente, como meios de solução de suas controvérsias judiciais. Quanto aos efeitos de suas decisões o do direito consuetudinário anglo-saxão tem um efeito vinculativo, denominado de </w:t>
      </w:r>
      <w:r w:rsidRPr="003A62BD">
        <w:rPr>
          <w:rFonts w:ascii="Times New Roman" w:hAnsi="Times New Roman" w:cs="Times New Roman"/>
          <w:i/>
          <w:sz w:val="24"/>
          <w:szCs w:val="24"/>
        </w:rPr>
        <w:t>erga omnes</w:t>
      </w:r>
      <w:r w:rsidRPr="003A62BD">
        <w:rPr>
          <w:rFonts w:ascii="Times New Roman" w:hAnsi="Times New Roman" w:cs="Times New Roman"/>
          <w:sz w:val="24"/>
          <w:szCs w:val="24"/>
        </w:rPr>
        <w:t>, contra todos enquanto o do direito canônico romano não tem efeito contra todos,</w:t>
      </w:r>
      <w:r w:rsidR="003433AC">
        <w:rPr>
          <w:rFonts w:ascii="Times New Roman" w:hAnsi="Times New Roman" w:cs="Times New Roman"/>
          <w:sz w:val="24"/>
          <w:szCs w:val="24"/>
        </w:rPr>
        <w:t xml:space="preserve"> mas</w:t>
      </w:r>
      <w:r w:rsidRPr="003A62BD">
        <w:rPr>
          <w:rFonts w:ascii="Times New Roman" w:hAnsi="Times New Roman" w:cs="Times New Roman"/>
          <w:sz w:val="24"/>
          <w:szCs w:val="24"/>
        </w:rPr>
        <w:t xml:space="preserve">, entre as partes processuais envolvidas no litígio. </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O sistema jurídico da </w:t>
      </w:r>
      <w:r w:rsidR="001E0E4D" w:rsidRPr="003A62BD">
        <w:rPr>
          <w:rFonts w:ascii="Times New Roman" w:hAnsi="Times New Roman"/>
          <w:i/>
          <w:sz w:val="24"/>
          <w:szCs w:val="24"/>
        </w:rPr>
        <w:t>civil law</w:t>
      </w:r>
      <w:r w:rsidR="001E0E4D" w:rsidRPr="003A62BD">
        <w:rPr>
          <w:rFonts w:ascii="Times New Roman" w:hAnsi="Times New Roman"/>
          <w:sz w:val="24"/>
          <w:szCs w:val="24"/>
        </w:rPr>
        <w:t xml:space="preserve"> </w:t>
      </w:r>
      <w:r w:rsidRPr="003A62BD">
        <w:rPr>
          <w:rFonts w:ascii="Times New Roman" w:hAnsi="Times New Roman"/>
          <w:sz w:val="24"/>
          <w:szCs w:val="24"/>
        </w:rPr>
        <w:t xml:space="preserve">ou direito românico tem por primado a lei. O seu surgimento remonta ao período clássico, que se iniciou da República ao Principado Romano. De fato, a codificação romana veio a ser a condensação da </w:t>
      </w:r>
      <w:r w:rsidRPr="003A62BD">
        <w:rPr>
          <w:rFonts w:ascii="Times New Roman" w:hAnsi="Times New Roman"/>
          <w:i/>
          <w:iCs/>
          <w:sz w:val="24"/>
          <w:szCs w:val="24"/>
        </w:rPr>
        <w:t>legis actionis</w:t>
      </w:r>
      <w:r w:rsidRPr="003A62BD">
        <w:rPr>
          <w:rFonts w:ascii="Times New Roman" w:hAnsi="Times New Roman"/>
          <w:sz w:val="24"/>
          <w:szCs w:val="24"/>
        </w:rPr>
        <w:t xml:space="preserve"> do período arcaico: em que se legislava os costumes mais relevantes da sociedade romana </w:t>
      </w:r>
      <w:r w:rsidRPr="003A62BD">
        <w:rPr>
          <w:rFonts w:ascii="Times New Roman" w:hAnsi="Times New Roman"/>
          <w:sz w:val="24"/>
          <w:szCs w:val="24"/>
        </w:rPr>
        <w:lastRenderedPageBreak/>
        <w:t>(MRAD, 2010, p.</w:t>
      </w:r>
      <w:r w:rsidR="003433AC">
        <w:rPr>
          <w:rFonts w:ascii="Times New Roman" w:hAnsi="Times New Roman"/>
          <w:sz w:val="24"/>
          <w:szCs w:val="24"/>
        </w:rPr>
        <w:t xml:space="preserve"> </w:t>
      </w:r>
      <w:r w:rsidRPr="003A62BD">
        <w:rPr>
          <w:rFonts w:ascii="Times New Roman" w:hAnsi="Times New Roman"/>
          <w:sz w:val="24"/>
          <w:szCs w:val="24"/>
        </w:rPr>
        <w:t xml:space="preserve">56). Pela herança cultural a civilização ocidental, </w:t>
      </w:r>
      <w:r w:rsidR="003433AC">
        <w:rPr>
          <w:rFonts w:ascii="Times New Roman" w:hAnsi="Times New Roman"/>
          <w:sz w:val="24"/>
          <w:szCs w:val="24"/>
        </w:rPr>
        <w:t>se presenciou</w:t>
      </w:r>
      <w:r w:rsidRPr="003A62BD">
        <w:rPr>
          <w:rFonts w:ascii="Times New Roman" w:hAnsi="Times New Roman"/>
          <w:sz w:val="24"/>
          <w:szCs w:val="24"/>
        </w:rPr>
        <w:t xml:space="preserve"> o advento e o aperfeiçoamento da codificação.</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Em face do evolucionismo jurídico romano (MRAD, 2010, p. </w:t>
      </w:r>
      <w:smartTag w:uri="urn:schemas-microsoft-com:office:smarttags" w:element="metricconverter">
        <w:smartTagPr>
          <w:attr w:name="ProductID" w:val="57 a"/>
        </w:smartTagPr>
        <w:r w:rsidRPr="003A62BD">
          <w:rPr>
            <w:rFonts w:ascii="Times New Roman" w:hAnsi="Times New Roman"/>
            <w:sz w:val="24"/>
            <w:szCs w:val="24"/>
          </w:rPr>
          <w:t>57 a</w:t>
        </w:r>
      </w:smartTag>
      <w:r w:rsidRPr="003A62BD">
        <w:rPr>
          <w:rFonts w:ascii="Times New Roman" w:hAnsi="Times New Roman"/>
          <w:sz w:val="24"/>
          <w:szCs w:val="24"/>
        </w:rPr>
        <w:t xml:space="preserve"> 58) em desejar condensar não somente interesses políticos, e até de práticas sociais em seus códigos, se percebe que a </w:t>
      </w:r>
      <w:r w:rsidR="001E0E4D" w:rsidRPr="003A62BD">
        <w:rPr>
          <w:rFonts w:ascii="Times New Roman" w:hAnsi="Times New Roman"/>
          <w:i/>
          <w:iCs/>
          <w:sz w:val="24"/>
          <w:szCs w:val="24"/>
        </w:rPr>
        <w:t xml:space="preserve">civil law </w:t>
      </w:r>
      <w:r w:rsidRPr="003A62BD">
        <w:rPr>
          <w:rFonts w:ascii="Times New Roman" w:hAnsi="Times New Roman"/>
          <w:sz w:val="24"/>
          <w:szCs w:val="24"/>
        </w:rPr>
        <w:t>era também uma das enunciadoras do jusnaturalismo em que a “verdade” se revelava pela proeminência da lei.</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Influência esta usufruída pelo poder temporal da Igreja Católica em suas relações com os seus vassalos na Europa medieval. Esta instituição religiosa era a única a estabelecer a verdade prescrita nas sagradas escrituras. Permitindo ao advento do positivismo jurídico moderno: o primado da lei sob a imparcialidade do magistrado em face da consolidação do poder do monarca e a fidelidade dos juristas à lei</w:t>
      </w:r>
      <w:r w:rsidRPr="003A62BD">
        <w:rPr>
          <w:rStyle w:val="Refdenotaderodap"/>
          <w:rFonts w:ascii="Times New Roman" w:hAnsi="Times New Roman"/>
          <w:sz w:val="24"/>
          <w:szCs w:val="24"/>
        </w:rPr>
        <w:footnoteReference w:id="3"/>
      </w:r>
      <w:r w:rsidRPr="003A62BD">
        <w:rPr>
          <w:rFonts w:ascii="Times New Roman" w:hAnsi="Times New Roman"/>
          <w:sz w:val="24"/>
          <w:szCs w:val="24"/>
        </w:rPr>
        <w:t xml:space="preserve"> (FERRAZ JÚNIOR, 2001, p. 241).</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Tanto é evidente essas afirmativas, que o Ricardo Mrad (2010, p. 57 a 58) admite obrigação a um precedente no Brasil, atualmente, quando se trata de uma súmula vinculante, advinda da positivação da Emenda Constitucional nº 45 de 2004, que consagrou o art. 103-A da CF/88. Alguma decisão judicial que não tenha a orientação da lei, torna o exercício de controvér</w:t>
      </w:r>
      <w:r w:rsidR="001E0E4D">
        <w:rPr>
          <w:rFonts w:ascii="Times New Roman" w:hAnsi="Times New Roman"/>
          <w:sz w:val="24"/>
          <w:szCs w:val="24"/>
        </w:rPr>
        <w:t>s</w:t>
      </w:r>
      <w:r w:rsidRPr="003A62BD">
        <w:rPr>
          <w:rFonts w:ascii="Times New Roman" w:hAnsi="Times New Roman"/>
          <w:sz w:val="24"/>
          <w:szCs w:val="24"/>
        </w:rPr>
        <w:t>ia judicial do direito civilista canônico impreciso dada a fé ao método de subsunção da regra jurídica ao caso concreto.</w:t>
      </w:r>
    </w:p>
    <w:p w:rsidR="00B939D0" w:rsidRPr="003A62BD" w:rsidRDefault="003433AC" w:rsidP="00B939D0">
      <w:pPr>
        <w:tabs>
          <w:tab w:val="left" w:pos="851"/>
        </w:tabs>
        <w:spacing w:after="0" w:line="360" w:lineRule="auto"/>
        <w:ind w:firstLine="1134"/>
        <w:jc w:val="both"/>
        <w:rPr>
          <w:rFonts w:ascii="Times New Roman" w:hAnsi="Times New Roman"/>
          <w:sz w:val="24"/>
          <w:szCs w:val="24"/>
        </w:rPr>
      </w:pPr>
      <w:r>
        <w:rPr>
          <w:rFonts w:ascii="Times New Roman" w:hAnsi="Times New Roman"/>
          <w:sz w:val="24"/>
          <w:szCs w:val="24"/>
        </w:rPr>
        <w:t>A</w:t>
      </w:r>
      <w:r w:rsidR="00B939D0" w:rsidRPr="003A62BD">
        <w:rPr>
          <w:rFonts w:ascii="Times New Roman" w:hAnsi="Times New Roman"/>
          <w:sz w:val="24"/>
          <w:szCs w:val="24"/>
        </w:rPr>
        <w:t xml:space="preserve"> plausibilidade da adoção do modelo de i</w:t>
      </w:r>
      <w:r>
        <w:rPr>
          <w:rFonts w:ascii="Times New Roman" w:hAnsi="Times New Roman"/>
          <w:sz w:val="24"/>
          <w:szCs w:val="24"/>
        </w:rPr>
        <w:t>nterpretação de subsunção fática-normativa</w:t>
      </w:r>
      <w:r w:rsidR="00B939D0" w:rsidRPr="003A62BD">
        <w:rPr>
          <w:rFonts w:ascii="Times New Roman" w:hAnsi="Times New Roman"/>
          <w:sz w:val="24"/>
          <w:szCs w:val="24"/>
        </w:rPr>
        <w:t xml:space="preserve"> típica do positivismo jurídico: a dedução de um comando geral e abstrato ao caso concreto, ao passo que o Ricardo Mrad (2010, p. </w:t>
      </w:r>
      <w:smartTag w:uri="urn:schemas-microsoft-com:office:smarttags" w:element="metricconverter">
        <w:smartTagPr>
          <w:attr w:name="ProductID" w:val="59 a"/>
        </w:smartTagPr>
        <w:r w:rsidR="00B939D0" w:rsidRPr="003A62BD">
          <w:rPr>
            <w:rFonts w:ascii="Times New Roman" w:hAnsi="Times New Roman"/>
            <w:sz w:val="24"/>
            <w:szCs w:val="24"/>
          </w:rPr>
          <w:t>59 a</w:t>
        </w:r>
      </w:smartTag>
      <w:r w:rsidR="00B939D0" w:rsidRPr="003A62BD">
        <w:rPr>
          <w:rFonts w:ascii="Times New Roman" w:hAnsi="Times New Roman"/>
          <w:sz w:val="24"/>
          <w:szCs w:val="24"/>
        </w:rPr>
        <w:t xml:space="preserve"> 60) entende que o indutivismo</w:t>
      </w:r>
      <w:r w:rsidR="00B939D0" w:rsidRPr="003A62BD">
        <w:rPr>
          <w:rStyle w:val="Refdenotaderodap"/>
          <w:rFonts w:ascii="Times New Roman" w:hAnsi="Times New Roman"/>
          <w:sz w:val="24"/>
          <w:szCs w:val="24"/>
        </w:rPr>
        <w:footnoteReference w:id="4"/>
      </w:r>
      <w:r w:rsidR="00B939D0" w:rsidRPr="003A62BD">
        <w:rPr>
          <w:rFonts w:ascii="Times New Roman" w:hAnsi="Times New Roman"/>
          <w:sz w:val="24"/>
          <w:szCs w:val="24"/>
        </w:rPr>
        <w:t xml:space="preserve"> do sistema da </w:t>
      </w:r>
      <w:r w:rsidR="001E0E4D" w:rsidRPr="003A62BD">
        <w:rPr>
          <w:rFonts w:ascii="Times New Roman" w:hAnsi="Times New Roman"/>
          <w:i/>
          <w:iCs/>
          <w:sz w:val="24"/>
          <w:szCs w:val="24"/>
        </w:rPr>
        <w:t>commom law</w:t>
      </w:r>
      <w:r w:rsidR="001E0E4D" w:rsidRPr="003A62BD">
        <w:rPr>
          <w:rFonts w:ascii="Times New Roman" w:hAnsi="Times New Roman"/>
          <w:sz w:val="24"/>
          <w:szCs w:val="24"/>
        </w:rPr>
        <w:t xml:space="preserve"> </w:t>
      </w:r>
      <w:r w:rsidR="00B939D0" w:rsidRPr="003A62BD">
        <w:rPr>
          <w:rFonts w:ascii="Times New Roman" w:hAnsi="Times New Roman"/>
          <w:sz w:val="24"/>
          <w:szCs w:val="24"/>
        </w:rPr>
        <w:t>permite o cerceamento de defesa de uma demanda judicial futura, uma vez que se uma suposta matéria jurídica restar pacificada, não caberá a sua rediscussão.</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Por outro lado (MRAD, 2010, p. 61), não</w:t>
      </w:r>
      <w:r w:rsidR="003433AC">
        <w:rPr>
          <w:rFonts w:ascii="Times New Roman" w:hAnsi="Times New Roman"/>
          <w:sz w:val="24"/>
          <w:szCs w:val="24"/>
        </w:rPr>
        <w:t xml:space="preserve"> se</w:t>
      </w:r>
      <w:r w:rsidRPr="003A62BD">
        <w:rPr>
          <w:rFonts w:ascii="Times New Roman" w:hAnsi="Times New Roman"/>
          <w:sz w:val="24"/>
          <w:szCs w:val="24"/>
        </w:rPr>
        <w:t xml:space="preserve"> exige uma congência ou uniformização da jurisprudência em face do julgamento, este se dá de acordo com o primado da lei e do convencimento motivado do juiz, evidenciando uma desestruturação </w:t>
      </w:r>
      <w:r w:rsidRPr="003A62BD">
        <w:rPr>
          <w:rFonts w:ascii="Times New Roman" w:hAnsi="Times New Roman"/>
          <w:sz w:val="24"/>
          <w:szCs w:val="24"/>
        </w:rPr>
        <w:lastRenderedPageBreak/>
        <w:t xml:space="preserve">ao princípio da segurança jurídica: decisões semelhantes e uniformes são importantes, porque geram estabilidade das relações jurídicas. Ademais que o sistema da </w:t>
      </w:r>
      <w:r w:rsidR="001E0E4D" w:rsidRPr="003A62BD">
        <w:rPr>
          <w:rFonts w:ascii="Times New Roman" w:hAnsi="Times New Roman"/>
          <w:i/>
          <w:iCs/>
          <w:sz w:val="24"/>
          <w:szCs w:val="24"/>
        </w:rPr>
        <w:t>civil law</w:t>
      </w:r>
      <w:r w:rsidR="001E0E4D" w:rsidRPr="003A62BD">
        <w:rPr>
          <w:rFonts w:ascii="Times New Roman" w:hAnsi="Times New Roman"/>
          <w:sz w:val="24"/>
          <w:szCs w:val="24"/>
        </w:rPr>
        <w:t xml:space="preserve"> </w:t>
      </w:r>
      <w:r w:rsidRPr="003A62BD">
        <w:rPr>
          <w:rFonts w:ascii="Times New Roman" w:hAnsi="Times New Roman"/>
          <w:sz w:val="24"/>
          <w:szCs w:val="24"/>
        </w:rPr>
        <w:t>não transparece os anseios sociais que o direito consuetudinário o faz.</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Evidencia-se que o primado da lei do sistema jurídico do direito civilista canônico não significa a exclusão dos julgados como meio de resolução de controvérsias judicias, ou seja, no direito brasileiro pelo que estabelece o art. 4º da Lei de Introdução ao Direito Brasileiro: </w:t>
      </w:r>
      <w:r w:rsidRPr="003A62BD">
        <w:rPr>
          <w:rFonts w:ascii="Times New Roman" w:hAnsi="Times New Roman" w:cs="Times New Roman"/>
          <w:sz w:val="24"/>
          <w:szCs w:val="24"/>
        </w:rPr>
        <w:t xml:space="preserve">Lei nº 12.376/2010 indica que na falta da lei se aplica </w:t>
      </w:r>
      <w:r w:rsidR="00984838" w:rsidRPr="003A62BD">
        <w:rPr>
          <w:rFonts w:ascii="Times New Roman" w:hAnsi="Times New Roman" w:cs="Times New Roman"/>
          <w:sz w:val="24"/>
          <w:szCs w:val="24"/>
        </w:rPr>
        <w:t>a analogia, os costumes, compreendida</w:t>
      </w:r>
      <w:r w:rsidRPr="003A62BD">
        <w:rPr>
          <w:rFonts w:ascii="Times New Roman" w:hAnsi="Times New Roman" w:cs="Times New Roman"/>
          <w:sz w:val="24"/>
          <w:szCs w:val="24"/>
        </w:rPr>
        <w:t xml:space="preserve"> quanto aos julgados, e por último, os princípios gerais de direito.</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Outra causa que tem permitido a impopularidade dos magistrados na condução das decisões judiciais em relação à lei no sistema jurídico da </w:t>
      </w:r>
      <w:r w:rsidR="001E0E4D" w:rsidRPr="00DB5583">
        <w:rPr>
          <w:rFonts w:ascii="Times New Roman" w:hAnsi="Times New Roman"/>
          <w:i/>
          <w:sz w:val="24"/>
          <w:szCs w:val="24"/>
        </w:rPr>
        <w:t>civil law</w:t>
      </w:r>
      <w:r w:rsidRPr="003A62BD">
        <w:rPr>
          <w:rFonts w:ascii="Times New Roman" w:hAnsi="Times New Roman"/>
          <w:sz w:val="24"/>
          <w:szCs w:val="24"/>
        </w:rPr>
        <w:t>, em especial na França, se deu pelo caráter corrupto dos magistrados do antigo regime, compreendido da monarquia absol</w:t>
      </w:r>
      <w:r w:rsidR="00DB5583">
        <w:rPr>
          <w:rFonts w:ascii="Times New Roman" w:hAnsi="Times New Roman"/>
          <w:sz w:val="24"/>
          <w:szCs w:val="24"/>
        </w:rPr>
        <w:t>utista até a revolução francesa, por isso,</w:t>
      </w:r>
      <w:r w:rsidRPr="003A62BD">
        <w:rPr>
          <w:rFonts w:ascii="Times New Roman" w:hAnsi="Times New Roman"/>
          <w:sz w:val="24"/>
          <w:szCs w:val="24"/>
        </w:rPr>
        <w:t xml:space="preserve"> a codificação napoleônica</w:t>
      </w:r>
      <w:r w:rsidR="00DB5583">
        <w:rPr>
          <w:rFonts w:ascii="Times New Roman" w:hAnsi="Times New Roman"/>
          <w:sz w:val="24"/>
          <w:szCs w:val="24"/>
        </w:rPr>
        <w:t xml:space="preserve"> era</w:t>
      </w:r>
      <w:r w:rsidRPr="003A62BD">
        <w:rPr>
          <w:rFonts w:ascii="Times New Roman" w:hAnsi="Times New Roman"/>
          <w:sz w:val="24"/>
          <w:szCs w:val="24"/>
        </w:rPr>
        <w:t xml:space="preserve"> pautada na interpretação exegética (MARINONI, 2011, p.52 a 54).</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Ou seja, o primado e da transparência da lei veio refletir a atuação imparcial do magistrado em obediência a tripartição dos três poderes pelo fato de um dos idealizadores desse sistema de poder, o conde de Montesquieu, ter repúdio ao descompromisso dos magistrados, então, para aquela realidade era injustificável a liberdade de atuação dos juízes em face do racionalismo jurídico do século XVIII (MARINONI, 2011, p.52 a 54).</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O </w:t>
      </w:r>
      <w:r w:rsidR="00DB5583" w:rsidRPr="003A62BD">
        <w:rPr>
          <w:rFonts w:ascii="Times New Roman" w:hAnsi="Times New Roman"/>
          <w:sz w:val="24"/>
          <w:szCs w:val="24"/>
        </w:rPr>
        <w:t xml:space="preserve">sistema da </w:t>
      </w:r>
      <w:r w:rsidR="00DB5583" w:rsidRPr="003A62BD">
        <w:rPr>
          <w:rFonts w:ascii="Times New Roman" w:hAnsi="Times New Roman"/>
          <w:i/>
          <w:iCs/>
          <w:sz w:val="24"/>
          <w:szCs w:val="24"/>
        </w:rPr>
        <w:t>commom law</w:t>
      </w:r>
      <w:r w:rsidR="00DB5583" w:rsidRPr="003A62BD">
        <w:rPr>
          <w:rFonts w:ascii="Times New Roman" w:hAnsi="Times New Roman"/>
          <w:sz w:val="24"/>
          <w:szCs w:val="24"/>
        </w:rPr>
        <w:t xml:space="preserve"> </w:t>
      </w:r>
      <w:r w:rsidRPr="003A62BD">
        <w:rPr>
          <w:rFonts w:ascii="Times New Roman" w:hAnsi="Times New Roman"/>
          <w:sz w:val="24"/>
          <w:szCs w:val="24"/>
        </w:rPr>
        <w:t xml:space="preserve">ou direito consuetudinário (FERRAZ JÚNIOR, 2001, p. </w:t>
      </w:r>
      <w:smartTag w:uri="urn:schemas-microsoft-com:office:smarttags" w:element="metricconverter">
        <w:smartTagPr>
          <w:attr w:name="ProductID" w:val="237 a"/>
        </w:smartTagPr>
        <w:r w:rsidRPr="003A62BD">
          <w:rPr>
            <w:rFonts w:ascii="Times New Roman" w:hAnsi="Times New Roman"/>
            <w:sz w:val="24"/>
            <w:szCs w:val="24"/>
          </w:rPr>
          <w:t>237 a</w:t>
        </w:r>
      </w:smartTag>
      <w:r w:rsidRPr="003A62BD">
        <w:rPr>
          <w:rFonts w:ascii="Times New Roman" w:hAnsi="Times New Roman"/>
          <w:sz w:val="24"/>
          <w:szCs w:val="24"/>
        </w:rPr>
        <w:t xml:space="preserve"> 238) se caracteriza pela validação de costumes a categoria de normas jurídicas. Verifica-se o primado dos julgamentos em relação à lei. (GUSMÃO, 2012, p. 120), em suma, caracteriza-se por ser um direito jurisprudencial, também.</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É importante acentuar que a lei no sistema jurídico da </w:t>
      </w:r>
      <w:r w:rsidR="001E0E4D" w:rsidRPr="003A62BD">
        <w:rPr>
          <w:rFonts w:ascii="Times New Roman" w:hAnsi="Times New Roman"/>
          <w:i/>
          <w:sz w:val="24"/>
          <w:szCs w:val="24"/>
        </w:rPr>
        <w:t>commom law</w:t>
      </w:r>
      <w:r w:rsidR="001E0E4D" w:rsidRPr="003A62BD">
        <w:rPr>
          <w:rFonts w:ascii="Times New Roman" w:hAnsi="Times New Roman"/>
          <w:sz w:val="24"/>
          <w:szCs w:val="24"/>
        </w:rPr>
        <w:t xml:space="preserve"> </w:t>
      </w:r>
      <w:r w:rsidRPr="003A62BD">
        <w:rPr>
          <w:rFonts w:ascii="Times New Roman" w:hAnsi="Times New Roman"/>
          <w:sz w:val="24"/>
          <w:szCs w:val="24"/>
        </w:rPr>
        <w:t xml:space="preserve">é fonte primária, atualmente, assim como o direito da </w:t>
      </w:r>
      <w:r w:rsidR="00DB5583" w:rsidRPr="003A62BD">
        <w:rPr>
          <w:rFonts w:ascii="Times New Roman" w:hAnsi="Times New Roman"/>
          <w:i/>
          <w:sz w:val="24"/>
          <w:szCs w:val="24"/>
        </w:rPr>
        <w:t>civil law</w:t>
      </w:r>
      <w:r w:rsidRPr="003A62BD">
        <w:rPr>
          <w:rFonts w:ascii="Times New Roman" w:hAnsi="Times New Roman"/>
          <w:sz w:val="24"/>
          <w:szCs w:val="24"/>
        </w:rPr>
        <w:t>. Uma das diferenças apontadas por Thiago Baldani Gomes de Fillipo (2010, p. 85) é que essa postura do Poder Legislativo, no sistema jurídico do direito anglo-saxão, reflete a necessidade de aperfeiçoamento desse poder diante da falta de previsão normativa ou jurisprudencial a respeito de um tema. Além do que a lei, também, pode servir de superação do precedente normativo, tendo por escopo às necessidades sociais.</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A sua origem, do sistema jurídico da </w:t>
      </w:r>
      <w:r w:rsidR="001E0E4D" w:rsidRPr="003A62BD">
        <w:rPr>
          <w:rFonts w:ascii="Times New Roman" w:hAnsi="Times New Roman"/>
          <w:i/>
          <w:sz w:val="24"/>
          <w:szCs w:val="24"/>
        </w:rPr>
        <w:t>commom law</w:t>
      </w:r>
      <w:r w:rsidRPr="003A62BD">
        <w:rPr>
          <w:rFonts w:ascii="Times New Roman" w:hAnsi="Times New Roman"/>
          <w:sz w:val="24"/>
          <w:szCs w:val="24"/>
        </w:rPr>
        <w:t>, remonta aos países anglo-saxão (países que compõe a Grã-Bretanha) e algumas de suas ex-colônias, entre elas: EUA, Austrália, Nova Zelândia. (GUSMÃO, 2012, p. 120).</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lastRenderedPageBreak/>
        <w:t>Com o advento da realeza inglesa no século XI, após a conquista normanda, os anglo-saxões não estabeleciam as suas normas sob a força de uma codificação semelhante à prerrogativa de poder absolutista dos demais monarcas europeus, mas em coerência aos anseios sociais, e por isso, existia um costume entre os normandos de que a decisão não era de competência de uma pessoa, pelo contrário, por um colegiado, os grupos tribais decidiam seus conflitos em condições de paridade.(MRAD, 2010, p.50)</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Com isso, se repensa na importância do poder judiciário na realeza absolu</w:t>
      </w:r>
      <w:r w:rsidR="00984838">
        <w:rPr>
          <w:rFonts w:ascii="Times New Roman" w:hAnsi="Times New Roman"/>
          <w:sz w:val="24"/>
          <w:szCs w:val="24"/>
        </w:rPr>
        <w:t>tista inglesa. Consequentemente</w:t>
      </w:r>
      <w:r w:rsidRPr="003A62BD">
        <w:rPr>
          <w:rFonts w:ascii="Times New Roman" w:hAnsi="Times New Roman"/>
          <w:sz w:val="24"/>
          <w:szCs w:val="24"/>
        </w:rPr>
        <w:t xml:space="preserve"> não se pensa, primeiramente, no primado da lei, pelo contrário, a legitimação da norma jurídica consolida-se paulatinamente em harmonia as práticas sociais (MRAD, 2010, p. 50), que é frisada pelo jurista. </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Em seguida, observou-se a positivação de costumes, basta nos lembrarmos do constitucionalismo inglês do século XIII, percebe-se a enunciação de práticas já consolidadas, além de outros interesses políticos dos lordes ou senhores de terra. Nesse mesmo período, século XIII, já se destacava a transcrição de casos e decisões judiciais - </w:t>
      </w:r>
      <w:r w:rsidRPr="003A62BD">
        <w:rPr>
          <w:rFonts w:ascii="Times New Roman" w:hAnsi="Times New Roman"/>
          <w:i/>
          <w:sz w:val="24"/>
          <w:szCs w:val="24"/>
        </w:rPr>
        <w:t>Case Law</w:t>
      </w:r>
      <w:r w:rsidRPr="003A62BD">
        <w:rPr>
          <w:rFonts w:ascii="Times New Roman" w:hAnsi="Times New Roman"/>
          <w:sz w:val="24"/>
          <w:szCs w:val="24"/>
        </w:rPr>
        <w:t>. (FERRAZ JÚNIOR, 2001, p. 240).</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Em solo americano, que se constata, também, a importância do sistema jurídico do direito consuetudinário com o aperfeiçoamento dos repertórios dos casos (</w:t>
      </w:r>
      <w:r w:rsidRPr="003A62BD">
        <w:rPr>
          <w:rFonts w:ascii="Times New Roman" w:hAnsi="Times New Roman"/>
          <w:i/>
          <w:iCs/>
          <w:sz w:val="24"/>
          <w:szCs w:val="24"/>
        </w:rPr>
        <w:t>law reports</w:t>
      </w:r>
      <w:r w:rsidRPr="003A62BD">
        <w:rPr>
          <w:rFonts w:ascii="Times New Roman" w:hAnsi="Times New Roman"/>
          <w:sz w:val="24"/>
          <w:szCs w:val="24"/>
        </w:rPr>
        <w:t>) gozando de vinculação o precedente normativo em face da reorganização do sistema judiciário no século XIX e do abarrotamento de demandas judiciais nos Estados Unidos. (GUIMARÃES JÚNIOR, 2008, p. 14).</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Já o sistema do direito consuetudinário anglo-saxão, se carateriza pela vinculação a toda sociedade compreendido quanto à vinculação horizontal (uma das partes processuais exige que o seu caso tenha o mesmo tratamento de um precedente normativo pacificado em atendimento ao princípio da equidade) e a vinculação vertical (quanto ao controle de constitucionalidade difuso ou a de que o juízo singular respeite o posicionamento do tribunal que está adstrito) (MARINONI, 2011, p. 33 a 35). Além da objetivação quanto à estabilidade (MITIDIERO, 2012, p. 70), certeza e previsibilidade das relações jurídicas em atendimento ao princípio da segurança jurídica.</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Com a atuação do </w:t>
      </w:r>
      <w:r w:rsidRPr="003A62BD">
        <w:rPr>
          <w:rFonts w:ascii="Times New Roman" w:hAnsi="Times New Roman"/>
          <w:i/>
          <w:iCs/>
          <w:sz w:val="24"/>
          <w:szCs w:val="24"/>
        </w:rPr>
        <w:t>Stare Decisis</w:t>
      </w:r>
      <w:r w:rsidRPr="003A62BD">
        <w:rPr>
          <w:rStyle w:val="Refdenotaderodap"/>
          <w:rFonts w:ascii="Times New Roman" w:hAnsi="Times New Roman"/>
          <w:i/>
          <w:iCs/>
          <w:sz w:val="24"/>
          <w:szCs w:val="24"/>
        </w:rPr>
        <w:footnoteReference w:id="5"/>
      </w:r>
      <w:r w:rsidRPr="003A62BD">
        <w:rPr>
          <w:rFonts w:ascii="Times New Roman" w:hAnsi="Times New Roman"/>
          <w:sz w:val="24"/>
          <w:szCs w:val="24"/>
        </w:rPr>
        <w:t xml:space="preserve"> pensou-se em controle de constitucionalidade no mundo ocidental no século XIX, especificamente, em um </w:t>
      </w:r>
      <w:r w:rsidRPr="003A62BD">
        <w:rPr>
          <w:rFonts w:ascii="Times New Roman" w:hAnsi="Times New Roman"/>
          <w:sz w:val="24"/>
          <w:szCs w:val="24"/>
        </w:rPr>
        <w:lastRenderedPageBreak/>
        <w:t xml:space="preserve">controle de constitucionalidade difuso. Ou seja, o Recurso Extraordinário conhecido no Brasil é uma influência do sistema jurídico norte-americano, entre outras palavras, a interferência do sistema da </w:t>
      </w:r>
      <w:r w:rsidR="001E0E4D" w:rsidRPr="003A62BD">
        <w:rPr>
          <w:rFonts w:ascii="Times New Roman" w:hAnsi="Times New Roman"/>
          <w:i/>
          <w:iCs/>
          <w:sz w:val="24"/>
          <w:szCs w:val="24"/>
        </w:rPr>
        <w:t>commom law</w:t>
      </w:r>
      <w:r w:rsidR="001E0E4D" w:rsidRPr="003A62BD">
        <w:rPr>
          <w:rFonts w:ascii="Times New Roman" w:hAnsi="Times New Roman"/>
          <w:sz w:val="24"/>
          <w:szCs w:val="24"/>
        </w:rPr>
        <w:t xml:space="preserve"> </w:t>
      </w:r>
      <w:r w:rsidRPr="003A62BD">
        <w:rPr>
          <w:rFonts w:ascii="Times New Roman" w:hAnsi="Times New Roman"/>
          <w:sz w:val="24"/>
          <w:szCs w:val="24"/>
        </w:rPr>
        <w:t xml:space="preserve">no sistema da </w:t>
      </w:r>
      <w:r w:rsidR="001E0E4D" w:rsidRPr="003A62BD">
        <w:rPr>
          <w:rFonts w:ascii="Times New Roman" w:hAnsi="Times New Roman"/>
          <w:i/>
          <w:iCs/>
          <w:sz w:val="24"/>
          <w:szCs w:val="24"/>
        </w:rPr>
        <w:t>civil law</w:t>
      </w:r>
      <w:r w:rsidRPr="003A62BD">
        <w:rPr>
          <w:rFonts w:ascii="Times New Roman" w:hAnsi="Times New Roman"/>
          <w:sz w:val="24"/>
          <w:szCs w:val="24"/>
        </w:rPr>
        <w:t>: a força dos precedentes normativos.(GUIMARÃES JÚNIOR, 2008, p.14)</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Os norte-americanos remodelaram a clássica tripartição dos poderes, ou seja, eles aperfeiçoaram-na em face da evolução normativa da sociedade ocidental, permitindo, posteriormente, que outros ordenamentos elencassem o Poder Judiciário como um dos guardiões de suas respectivas Constituições. (GOMES DE FILLIPO, 2010, p. 76)</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Atualmente, em face do destaque dado ao Poder Judiciário percebe-se uma nova postura, embora criticada por alguns adeptos do positivismo clássico, demonstra-se o ativismo judicial. O ativismo é um novo paradigma judicial pautada numa maneira proativa de se interpretar a Constituição Federal em decorrência do</w:t>
      </w:r>
      <w:r w:rsidR="00DB5583">
        <w:rPr>
          <w:rFonts w:ascii="Times New Roman" w:hAnsi="Times New Roman"/>
          <w:sz w:val="24"/>
          <w:szCs w:val="24"/>
        </w:rPr>
        <w:t xml:space="preserve"> compromisso social, político, jurídico e ético constante da Constituição Federal de 1988</w:t>
      </w:r>
      <w:r w:rsidRPr="003A62BD">
        <w:rPr>
          <w:rStyle w:val="Refdenotaderodap"/>
          <w:rFonts w:ascii="Times New Roman" w:hAnsi="Times New Roman"/>
          <w:sz w:val="24"/>
          <w:szCs w:val="24"/>
        </w:rPr>
        <w:footnoteReference w:id="6"/>
      </w:r>
      <w:r w:rsidRPr="003A62BD">
        <w:rPr>
          <w:rFonts w:ascii="Times New Roman" w:hAnsi="Times New Roman"/>
          <w:sz w:val="24"/>
          <w:szCs w:val="24"/>
        </w:rPr>
        <w:t xml:space="preserve"> (BARROSO, 2009, p. 335).</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Ou seja, o poder emana do povo em um</w:t>
      </w:r>
      <w:r w:rsidR="00DB5583">
        <w:rPr>
          <w:rFonts w:ascii="Times New Roman" w:hAnsi="Times New Roman"/>
          <w:sz w:val="24"/>
          <w:szCs w:val="24"/>
        </w:rPr>
        <w:t xml:space="preserve"> Estado Democrático de Direito</w:t>
      </w:r>
      <w:r w:rsidRPr="003A62BD">
        <w:rPr>
          <w:rFonts w:ascii="Times New Roman" w:hAnsi="Times New Roman"/>
          <w:sz w:val="24"/>
          <w:szCs w:val="24"/>
        </w:rPr>
        <w:t xml:space="preserve"> o exercício por aquele que detém o poder deve ser em benefício do povo. O Poder Legislativo por meio dos</w:t>
      </w:r>
      <w:r w:rsidR="00DB5583">
        <w:rPr>
          <w:rFonts w:ascii="Times New Roman" w:hAnsi="Times New Roman"/>
          <w:sz w:val="24"/>
          <w:szCs w:val="24"/>
        </w:rPr>
        <w:t xml:space="preserve"> seus parlamentares devem ser fí</w:t>
      </w:r>
      <w:r w:rsidRPr="003A62BD">
        <w:rPr>
          <w:rFonts w:ascii="Times New Roman" w:hAnsi="Times New Roman"/>
          <w:sz w:val="24"/>
          <w:szCs w:val="24"/>
        </w:rPr>
        <w:t>eis ao mandato que lhe foi confiado, como também, o Poder Judiciário</w:t>
      </w:r>
      <w:r w:rsidR="00DB5583">
        <w:rPr>
          <w:rFonts w:ascii="Times New Roman" w:hAnsi="Times New Roman"/>
          <w:sz w:val="24"/>
          <w:szCs w:val="24"/>
        </w:rPr>
        <w:t xml:space="preserve"> devem ser coerentes aos anseios da sociedade, uma vez que</w:t>
      </w:r>
      <w:r w:rsidRPr="003A62BD">
        <w:rPr>
          <w:rFonts w:ascii="Times New Roman" w:hAnsi="Times New Roman"/>
          <w:sz w:val="24"/>
          <w:szCs w:val="24"/>
        </w:rPr>
        <w:t xml:space="preserve"> o juiz realiza a atualização da lei, porque é o elo da sociedade com a norma jurídica (GOMES DE FILLIPO, 2010, p. 76)</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Na sua dissertação de mestrado, Thiago Gomes de Filippo (2010, p. 76) parte da pressuposição, de que tanto no sistema jurídico civilista quanto do direito consuetudinário, o Poder Judiciário veio atender não só os reclamos dos indivíduos, como também, a de categorias sociais, que pertencem a agrupamentos distintos, entre </w:t>
      </w:r>
      <w:r w:rsidRPr="003A62BD">
        <w:rPr>
          <w:rFonts w:ascii="Times New Roman" w:hAnsi="Times New Roman"/>
          <w:sz w:val="24"/>
          <w:szCs w:val="24"/>
        </w:rPr>
        <w:lastRenderedPageBreak/>
        <w:t>outras palavras, (THEODORO JÚNIOR, NUNES, BAHIA, 2000, p.</w:t>
      </w:r>
      <w:r w:rsidR="00DB5583">
        <w:rPr>
          <w:rFonts w:ascii="Times New Roman" w:hAnsi="Times New Roman"/>
          <w:sz w:val="24"/>
          <w:szCs w:val="24"/>
        </w:rPr>
        <w:t xml:space="preserve"> 14 a 19) a singularidade de um determinado grupo</w:t>
      </w:r>
      <w:r w:rsidRPr="003A62BD">
        <w:rPr>
          <w:rFonts w:ascii="Times New Roman" w:hAnsi="Times New Roman"/>
          <w:sz w:val="24"/>
          <w:szCs w:val="24"/>
        </w:rPr>
        <w:t>, uma etnia, por exemplo.</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Tanto nos países da </w:t>
      </w:r>
      <w:r w:rsidR="00DB5583" w:rsidRPr="00B833FC">
        <w:rPr>
          <w:rFonts w:ascii="Times New Roman" w:hAnsi="Times New Roman"/>
          <w:i/>
          <w:sz w:val="24"/>
          <w:szCs w:val="24"/>
        </w:rPr>
        <w:t>civil law</w:t>
      </w:r>
      <w:r w:rsidRPr="003A62BD">
        <w:rPr>
          <w:rFonts w:ascii="Times New Roman" w:hAnsi="Times New Roman"/>
          <w:sz w:val="24"/>
          <w:szCs w:val="24"/>
        </w:rPr>
        <w:t xml:space="preserve">, como também, da </w:t>
      </w:r>
      <w:r w:rsidR="00DB5583" w:rsidRPr="003A62BD">
        <w:rPr>
          <w:rFonts w:ascii="Times New Roman" w:hAnsi="Times New Roman"/>
          <w:i/>
          <w:sz w:val="24"/>
          <w:szCs w:val="24"/>
        </w:rPr>
        <w:t>commom law</w:t>
      </w:r>
      <w:r w:rsidR="00DB5583" w:rsidRPr="003A62BD">
        <w:rPr>
          <w:rFonts w:ascii="Times New Roman" w:hAnsi="Times New Roman"/>
          <w:sz w:val="24"/>
          <w:szCs w:val="24"/>
        </w:rPr>
        <w:t xml:space="preserve"> </w:t>
      </w:r>
      <w:r w:rsidRPr="003A62BD">
        <w:rPr>
          <w:rFonts w:ascii="Times New Roman" w:hAnsi="Times New Roman"/>
          <w:sz w:val="24"/>
          <w:szCs w:val="24"/>
        </w:rPr>
        <w:t>se constatou a importância do Poder Judiciário, quando esta esfera de poder assumiu uma postura ativa quando acolheu em relação aos direitos e garantias fundamentais de cunho social (THEODORO JÚNIOR, NUNES, BAHIA, 2000, p. 14 a 19).</w:t>
      </w:r>
    </w:p>
    <w:p w:rsidR="00B939D0"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Frisa-se que os efeitos decorrentes das sentenças dos sistemas jurídicos da </w:t>
      </w:r>
      <w:r w:rsidR="001E0E4D" w:rsidRPr="003A62BD">
        <w:rPr>
          <w:rFonts w:ascii="Times New Roman" w:hAnsi="Times New Roman"/>
          <w:i/>
          <w:sz w:val="24"/>
          <w:szCs w:val="24"/>
        </w:rPr>
        <w:t xml:space="preserve">civil law </w:t>
      </w:r>
      <w:r w:rsidR="001E0E4D" w:rsidRPr="003A62BD">
        <w:rPr>
          <w:rFonts w:ascii="Times New Roman" w:hAnsi="Times New Roman"/>
          <w:sz w:val="24"/>
          <w:szCs w:val="24"/>
        </w:rPr>
        <w:t xml:space="preserve">e da </w:t>
      </w:r>
      <w:r w:rsidR="001E0E4D" w:rsidRPr="003A62BD">
        <w:rPr>
          <w:rFonts w:ascii="Times New Roman" w:hAnsi="Times New Roman"/>
          <w:i/>
          <w:sz w:val="24"/>
          <w:szCs w:val="24"/>
        </w:rPr>
        <w:t>commom law</w:t>
      </w:r>
      <w:r w:rsidR="001E0E4D" w:rsidRPr="003A62BD">
        <w:rPr>
          <w:rFonts w:ascii="Times New Roman" w:hAnsi="Times New Roman"/>
          <w:sz w:val="24"/>
          <w:szCs w:val="24"/>
        </w:rPr>
        <w:t xml:space="preserve">, </w:t>
      </w:r>
      <w:r w:rsidRPr="003A62BD">
        <w:rPr>
          <w:rFonts w:ascii="Times New Roman" w:hAnsi="Times New Roman"/>
          <w:sz w:val="24"/>
          <w:szCs w:val="24"/>
        </w:rPr>
        <w:t>na maioria dos casos, são diferenciados, quanto ao duelo judicial de duas pessoas perante uma controvérsia judicial. O sistema do direito romano canônico tem estabelecido uma vinculação, somente, às partes processuais envolvidos na lide. (MARINONI, 2011, p. 33 a 35). Já o sistema do direito consuetudinário anglo-saxão vincula toda a sociedade.</w:t>
      </w:r>
    </w:p>
    <w:p w:rsidR="00B939D0" w:rsidRDefault="00B939D0" w:rsidP="00B939D0">
      <w:pPr>
        <w:tabs>
          <w:tab w:val="left" w:pos="851"/>
        </w:tabs>
        <w:spacing w:after="0" w:line="360" w:lineRule="auto"/>
        <w:ind w:firstLine="1134"/>
        <w:jc w:val="both"/>
        <w:rPr>
          <w:rFonts w:ascii="Times New Roman" w:hAnsi="Times New Roman"/>
          <w:sz w:val="24"/>
          <w:szCs w:val="24"/>
        </w:rPr>
      </w:pPr>
    </w:p>
    <w:p w:rsidR="007472D3" w:rsidRPr="003A62BD" w:rsidRDefault="007472D3"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tabs>
          <w:tab w:val="left" w:pos="851"/>
        </w:tabs>
        <w:spacing w:after="0" w:line="360" w:lineRule="auto"/>
        <w:jc w:val="both"/>
        <w:rPr>
          <w:rFonts w:ascii="Times New Roman" w:hAnsi="Times New Roman"/>
          <w:b/>
          <w:sz w:val="24"/>
          <w:szCs w:val="24"/>
        </w:rPr>
      </w:pPr>
      <w:r w:rsidRPr="003A62BD">
        <w:rPr>
          <w:rFonts w:ascii="Times New Roman" w:hAnsi="Times New Roman"/>
          <w:b/>
          <w:sz w:val="24"/>
          <w:szCs w:val="24"/>
        </w:rPr>
        <w:t xml:space="preserve">2 – Decisões judiciais do sistema jurídico da </w:t>
      </w:r>
      <w:r w:rsidR="00FA2538" w:rsidRPr="003A62BD">
        <w:rPr>
          <w:rFonts w:ascii="Times New Roman" w:hAnsi="Times New Roman"/>
          <w:b/>
          <w:i/>
          <w:sz w:val="24"/>
          <w:szCs w:val="24"/>
        </w:rPr>
        <w:t>civil law</w:t>
      </w:r>
      <w:r w:rsidR="00FA2538" w:rsidRPr="003A62BD">
        <w:rPr>
          <w:rFonts w:ascii="Times New Roman" w:hAnsi="Times New Roman"/>
          <w:b/>
          <w:sz w:val="24"/>
          <w:szCs w:val="24"/>
        </w:rPr>
        <w:t xml:space="preserve"> e </w:t>
      </w:r>
      <w:r w:rsidR="00FA2538" w:rsidRPr="003A62BD">
        <w:rPr>
          <w:rFonts w:ascii="Times New Roman" w:hAnsi="Times New Roman"/>
          <w:b/>
          <w:i/>
          <w:sz w:val="24"/>
          <w:szCs w:val="24"/>
        </w:rPr>
        <w:t>commom law</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Demonstra-se que a estrutura do julgado (ou das decisões judiciais) dos sistemas jurídicos do direito romano canônico e do direito consuetudinário anglo-saxão são distintos.</w:t>
      </w:r>
      <w:r w:rsidR="00E86CC3">
        <w:rPr>
          <w:rFonts w:ascii="Times New Roman" w:hAnsi="Times New Roman"/>
          <w:sz w:val="24"/>
          <w:szCs w:val="24"/>
        </w:rPr>
        <w:t xml:space="preserve"> Enquanto o direito consuetudinário anglo-saxão se segmenta em duas partes razões fundamentais (</w:t>
      </w:r>
      <w:r w:rsidR="00E86CC3" w:rsidRPr="00AC5585">
        <w:rPr>
          <w:rFonts w:ascii="Times New Roman" w:hAnsi="Times New Roman"/>
          <w:i/>
          <w:sz w:val="24"/>
          <w:szCs w:val="24"/>
        </w:rPr>
        <w:t>holding</w:t>
      </w:r>
      <w:r w:rsidR="00E86CC3" w:rsidRPr="00AC5585">
        <w:rPr>
          <w:rFonts w:ascii="Times New Roman" w:hAnsi="Times New Roman"/>
          <w:sz w:val="24"/>
          <w:szCs w:val="24"/>
        </w:rPr>
        <w:t>)</w:t>
      </w:r>
      <w:r w:rsidR="00E86CC3">
        <w:rPr>
          <w:rFonts w:ascii="Times New Roman" w:hAnsi="Times New Roman"/>
          <w:sz w:val="24"/>
          <w:szCs w:val="24"/>
        </w:rPr>
        <w:t xml:space="preserve"> e razões periféricas (</w:t>
      </w:r>
      <w:r w:rsidR="00E86CC3" w:rsidRPr="00AC5585">
        <w:rPr>
          <w:rFonts w:ascii="Times New Roman" w:hAnsi="Times New Roman"/>
          <w:i/>
          <w:sz w:val="24"/>
          <w:szCs w:val="24"/>
        </w:rPr>
        <w:t>obter dictum</w:t>
      </w:r>
      <w:r w:rsidR="00E86CC3">
        <w:rPr>
          <w:rFonts w:ascii="Times New Roman" w:hAnsi="Times New Roman"/>
          <w:sz w:val="24"/>
          <w:szCs w:val="24"/>
        </w:rPr>
        <w:t>).</w:t>
      </w:r>
      <w:r w:rsidRPr="003A62BD">
        <w:rPr>
          <w:rFonts w:ascii="Times New Roman" w:hAnsi="Times New Roman"/>
          <w:sz w:val="24"/>
          <w:szCs w:val="24"/>
        </w:rPr>
        <w:t xml:space="preserve"> A decisão jurídica da </w:t>
      </w:r>
      <w:r w:rsidR="00AC5585" w:rsidRPr="00AC5585">
        <w:rPr>
          <w:rFonts w:ascii="Times New Roman" w:hAnsi="Times New Roman"/>
          <w:i/>
          <w:sz w:val="24"/>
          <w:szCs w:val="24"/>
        </w:rPr>
        <w:t>civil law</w:t>
      </w:r>
      <w:r w:rsidRPr="003A62BD">
        <w:rPr>
          <w:rFonts w:ascii="Times New Roman" w:hAnsi="Times New Roman"/>
          <w:sz w:val="24"/>
          <w:szCs w:val="24"/>
        </w:rPr>
        <w:t>, em especial, a do direito brasileiro nos revela que diante do art. 458 do CPC</w:t>
      </w:r>
      <w:r w:rsidRPr="003A62BD">
        <w:rPr>
          <w:rStyle w:val="Refdenotaderodap"/>
          <w:rFonts w:ascii="Times New Roman" w:hAnsi="Times New Roman"/>
          <w:sz w:val="24"/>
          <w:szCs w:val="24"/>
        </w:rPr>
        <w:footnoteReference w:id="7"/>
      </w:r>
      <w:r w:rsidRPr="003A62BD">
        <w:rPr>
          <w:rFonts w:ascii="Times New Roman" w:hAnsi="Times New Roman"/>
          <w:sz w:val="24"/>
          <w:szCs w:val="24"/>
        </w:rPr>
        <w:t>, a sentença judicial tem de obedecer a seguinte classificação: relatório, fundamentação, e dispositivo.</w:t>
      </w:r>
      <w:r w:rsidR="00AC5585">
        <w:rPr>
          <w:rFonts w:ascii="Times New Roman" w:hAnsi="Times New Roman"/>
          <w:sz w:val="24"/>
          <w:szCs w:val="24"/>
        </w:rPr>
        <w:t xml:space="preserve"> </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No relatório se realiza o resumo dos fatos e da ocorrência mais importante dos autos do processo, entre elas a utilização dos recursos, por exemplo. Na fundamentação será demonstrado a decisão motivada do magistrado. Percebe-se que o juiz estabelecerá quem tem o direito a vitória do deslinde judicial, em regra, como também, a menção dos meios de prova que lhe auxiliaram na fundamentação judicial, na prática do direito brasileiro não há necessidade de justificar o meio de prova que não </w:t>
      </w:r>
      <w:r w:rsidRPr="003A62BD">
        <w:rPr>
          <w:rFonts w:ascii="Times New Roman" w:hAnsi="Times New Roman"/>
          <w:sz w:val="24"/>
          <w:szCs w:val="24"/>
        </w:rPr>
        <w:lastRenderedPageBreak/>
        <w:t>é útil a sentença. Por último, temos o dispositivo judicial em que consiste na obrigatoriedade do acatamento judicial.</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Thiago Gomes de Fillipo (2010, p. 104) é contrário a adoção da vinculação da sentença pelo dispositivo, típico da </w:t>
      </w:r>
      <w:r w:rsidR="00EB5B2D" w:rsidRPr="003A62BD">
        <w:rPr>
          <w:rFonts w:ascii="Times New Roman" w:hAnsi="Times New Roman"/>
          <w:sz w:val="24"/>
          <w:szCs w:val="24"/>
        </w:rPr>
        <w:t xml:space="preserve">estrutura do </w:t>
      </w:r>
      <w:r w:rsidR="00EB5B2D" w:rsidRPr="00EB5B2D">
        <w:rPr>
          <w:rFonts w:ascii="Times New Roman" w:hAnsi="Times New Roman"/>
          <w:i/>
          <w:sz w:val="24"/>
          <w:szCs w:val="24"/>
        </w:rPr>
        <w:t>civil law</w:t>
      </w:r>
      <w:r w:rsidR="00EB5B2D" w:rsidRPr="003A62BD">
        <w:rPr>
          <w:rFonts w:ascii="Times New Roman" w:hAnsi="Times New Roman"/>
          <w:sz w:val="24"/>
          <w:szCs w:val="24"/>
        </w:rPr>
        <w:t xml:space="preserve"> do </w:t>
      </w:r>
      <w:r w:rsidR="00E86CC3">
        <w:rPr>
          <w:rFonts w:ascii="Times New Roman" w:hAnsi="Times New Roman"/>
          <w:sz w:val="24"/>
          <w:szCs w:val="24"/>
        </w:rPr>
        <w:t>Brasil, este teórico</w:t>
      </w:r>
      <w:r w:rsidRPr="003A62BD">
        <w:rPr>
          <w:rFonts w:ascii="Times New Roman" w:hAnsi="Times New Roman"/>
          <w:sz w:val="24"/>
          <w:szCs w:val="24"/>
        </w:rPr>
        <w:t xml:space="preserve"> se demonstra favorável não só a adoção de precedente normativo, como também, da vinculação da fundamentação judicial, típica do sistema </w:t>
      </w:r>
      <w:r w:rsidR="00EB5B2D" w:rsidRPr="003A62BD">
        <w:rPr>
          <w:rFonts w:ascii="Times New Roman" w:hAnsi="Times New Roman"/>
          <w:sz w:val="24"/>
          <w:szCs w:val="24"/>
        </w:rPr>
        <w:t xml:space="preserve">jurídico da </w:t>
      </w:r>
      <w:r w:rsidR="00EB5B2D" w:rsidRPr="00EB5B2D">
        <w:rPr>
          <w:rFonts w:ascii="Times New Roman" w:hAnsi="Times New Roman"/>
          <w:i/>
          <w:sz w:val="24"/>
          <w:szCs w:val="24"/>
        </w:rPr>
        <w:t>commom law</w:t>
      </w:r>
      <w:r w:rsidR="00EB5B2D" w:rsidRPr="003A62BD">
        <w:rPr>
          <w:rFonts w:ascii="Times New Roman" w:hAnsi="Times New Roman"/>
          <w:sz w:val="24"/>
          <w:szCs w:val="24"/>
        </w:rPr>
        <w:t xml:space="preserve">. Porque, na maioria dos casos das sentenças brasileiras, no dispositivo não é mencionado </w:t>
      </w:r>
      <w:r w:rsidRPr="003A62BD">
        <w:rPr>
          <w:rFonts w:ascii="Times New Roman" w:hAnsi="Times New Roman"/>
          <w:sz w:val="24"/>
          <w:szCs w:val="24"/>
        </w:rPr>
        <w:t>sentido algum, tampouco a retomada de sentido da fundamentação judicial, embora a vinculação da sentença às partes processuais, absurdamente, seja o dispositivo com os seus enunciados irrisórios.</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A estrutura da sentença judicial brasileira remonta a lógica. A saber, o relatório acaba sendo comparado com o conceito quanto à apresentação de enunciados ou do histórico da lide. A fundamentação remonta ao interacionismo de proposições de longo e pequeno alcance, especificamente, na analise das questões de fato e de direito. Já a conclusão é uma retomada do sentido demonstrado pela ligação das proposições evidenciadas anteriormente, ou seja, o dispositivo deve, obrigatoriamente, retomar o sentido apresentado na fundamentação judicial. (GOMES DE FILLIPO, 2010, p. 104)</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Essa estrutura lógica é tão pertinente na prática processual brasileira que se um requerente na confecção de uma petição inicial e esta não for lógica, desencadeará na não apreciação da causa, uma vez que o art. 284 do CPC</w:t>
      </w:r>
      <w:r w:rsidRPr="003A62BD">
        <w:rPr>
          <w:rStyle w:val="Refdenotaderodap"/>
          <w:rFonts w:ascii="Times New Roman" w:hAnsi="Times New Roman"/>
          <w:sz w:val="24"/>
          <w:szCs w:val="24"/>
        </w:rPr>
        <w:footnoteReference w:id="8"/>
      </w:r>
      <w:r w:rsidRPr="003A62BD">
        <w:rPr>
          <w:rFonts w:ascii="Times New Roman" w:hAnsi="Times New Roman"/>
          <w:sz w:val="24"/>
          <w:szCs w:val="24"/>
        </w:rPr>
        <w:t xml:space="preserve"> aduz que se o pedido, a conclusão daquilo apresentado na exordial, não for consectâneo, nem retomar as causas de pedir próxima (fatos controvertidos) e a causa de pe</w:t>
      </w:r>
      <w:r w:rsidR="00E86CC3">
        <w:rPr>
          <w:rFonts w:ascii="Times New Roman" w:hAnsi="Times New Roman"/>
          <w:sz w:val="24"/>
          <w:szCs w:val="24"/>
        </w:rPr>
        <w:t>dir remota (</w:t>
      </w:r>
      <w:r w:rsidRPr="003A62BD">
        <w:rPr>
          <w:rFonts w:ascii="Times New Roman" w:hAnsi="Times New Roman"/>
          <w:sz w:val="24"/>
          <w:szCs w:val="24"/>
        </w:rPr>
        <w:t>ao direito questionado: lei, e jurisprudência) da controvérsia judicial, ensejará na extinção do processo sem resolução do mérito, caso não haja a devida correção em 10 dias, uma vez que não se está respeitando o princípio do devido processo legal, especialmente, as condições da ação quanto a possibilidade jurídica do pedido. (GOMES DE FILLIPO, 2010, p. 104)</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lastRenderedPageBreak/>
        <w:t>Luis Guilherme Marinoni (2011,</w:t>
      </w:r>
      <w:r w:rsidR="00E86CC3">
        <w:rPr>
          <w:rFonts w:ascii="Times New Roman" w:hAnsi="Times New Roman"/>
          <w:sz w:val="24"/>
          <w:szCs w:val="24"/>
        </w:rPr>
        <w:t xml:space="preserve"> p. 219) compreende que o princí</w:t>
      </w:r>
      <w:r w:rsidRPr="003A62BD">
        <w:rPr>
          <w:rFonts w:ascii="Times New Roman" w:hAnsi="Times New Roman"/>
          <w:sz w:val="24"/>
          <w:szCs w:val="24"/>
        </w:rPr>
        <w:t xml:space="preserve">pio da segurança jurídica confere estabilidade e certeza jurídica ao instituto processual da coisa julgada tanto do sistema jurídico da </w:t>
      </w:r>
      <w:r w:rsidR="00EB5B2D" w:rsidRPr="00EB5B2D">
        <w:rPr>
          <w:rFonts w:ascii="Times New Roman" w:hAnsi="Times New Roman"/>
          <w:i/>
          <w:sz w:val="24"/>
          <w:szCs w:val="24"/>
        </w:rPr>
        <w:t>commom law</w:t>
      </w:r>
      <w:r w:rsidR="00EB5B2D" w:rsidRPr="003A62BD">
        <w:rPr>
          <w:rFonts w:ascii="Times New Roman" w:hAnsi="Times New Roman"/>
          <w:sz w:val="24"/>
          <w:szCs w:val="24"/>
        </w:rPr>
        <w:t xml:space="preserve"> </w:t>
      </w:r>
      <w:r w:rsidRPr="003A62BD">
        <w:rPr>
          <w:rFonts w:ascii="Times New Roman" w:hAnsi="Times New Roman"/>
          <w:sz w:val="24"/>
          <w:szCs w:val="24"/>
        </w:rPr>
        <w:t xml:space="preserve">e da </w:t>
      </w:r>
      <w:r w:rsidR="00EB5B2D" w:rsidRPr="00EB5B2D">
        <w:rPr>
          <w:rFonts w:ascii="Times New Roman" w:hAnsi="Times New Roman"/>
          <w:i/>
          <w:sz w:val="24"/>
          <w:szCs w:val="24"/>
        </w:rPr>
        <w:t>civil law</w:t>
      </w:r>
      <w:r w:rsidRPr="003A62BD">
        <w:rPr>
          <w:rFonts w:ascii="Times New Roman" w:hAnsi="Times New Roman"/>
          <w:sz w:val="24"/>
          <w:szCs w:val="24"/>
        </w:rPr>
        <w:t>.</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Paradoxalmente, o sistema jurídico da </w:t>
      </w:r>
      <w:r w:rsidR="00EB5B2D" w:rsidRPr="00EB5B2D">
        <w:rPr>
          <w:rFonts w:ascii="Times New Roman" w:hAnsi="Times New Roman"/>
          <w:i/>
          <w:sz w:val="24"/>
          <w:szCs w:val="24"/>
        </w:rPr>
        <w:t>civil law</w:t>
      </w:r>
      <w:r w:rsidR="00EB5B2D" w:rsidRPr="003A62BD">
        <w:rPr>
          <w:rFonts w:ascii="Times New Roman" w:hAnsi="Times New Roman"/>
          <w:sz w:val="24"/>
          <w:szCs w:val="24"/>
        </w:rPr>
        <w:t xml:space="preserve"> </w:t>
      </w:r>
      <w:r w:rsidRPr="003A62BD">
        <w:rPr>
          <w:rFonts w:ascii="Times New Roman" w:hAnsi="Times New Roman"/>
          <w:sz w:val="24"/>
          <w:szCs w:val="24"/>
        </w:rPr>
        <w:t>brasileiro é confuso no tocante à coisa julgada. Em uma sentença ou acórdão o q</w:t>
      </w:r>
      <w:r w:rsidR="007472D3">
        <w:rPr>
          <w:rFonts w:ascii="Times New Roman" w:hAnsi="Times New Roman"/>
          <w:sz w:val="24"/>
          <w:szCs w:val="24"/>
        </w:rPr>
        <w:t>ue vincula é o dispositivo, poré</w:t>
      </w:r>
      <w:r w:rsidRPr="003A62BD">
        <w:rPr>
          <w:rFonts w:ascii="Times New Roman" w:hAnsi="Times New Roman"/>
          <w:sz w:val="24"/>
          <w:szCs w:val="24"/>
        </w:rPr>
        <w:t>m na maioria das decisões judiciais brasileiras, se tem demonstrada irrisória. (MARINONI, 2011, p. 220 a 221)</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Por isso, se deve ter em mente que o instituto da coisa julgada deve remeter a fundamentação do seu julgado, no entanto, há o comprometimento da segurança jurídica, uma vez que o art. 469, inciso I do CPC</w:t>
      </w:r>
      <w:r w:rsidRPr="003A62BD">
        <w:rPr>
          <w:rStyle w:val="Refdenotaderodap"/>
          <w:rFonts w:ascii="Times New Roman" w:hAnsi="Times New Roman"/>
          <w:sz w:val="24"/>
          <w:szCs w:val="24"/>
        </w:rPr>
        <w:footnoteReference w:id="9"/>
      </w:r>
      <w:r w:rsidRPr="003A62BD">
        <w:rPr>
          <w:rFonts w:ascii="Times New Roman" w:hAnsi="Times New Roman"/>
          <w:sz w:val="24"/>
          <w:szCs w:val="24"/>
        </w:rPr>
        <w:t xml:space="preserve"> estabelece que: os motivos ainda que sejam importantes não desencadeiam na vinculação do julgado. (MARINONI, 2011, p. 222 a 223)</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Isso reflete a indignação de Luis Guilherme Marinoni (2011, p. 221 a 223). A estabilidade jurídica da coisa julgada é um engodo, porque pode ensejar na flexibilização do ref</w:t>
      </w:r>
      <w:r w:rsidR="007472D3">
        <w:rPr>
          <w:rFonts w:ascii="Times New Roman" w:hAnsi="Times New Roman"/>
          <w:sz w:val="24"/>
          <w:szCs w:val="24"/>
        </w:rPr>
        <w:t>erido instituto processual. Poré</w:t>
      </w:r>
      <w:r w:rsidRPr="003A62BD">
        <w:rPr>
          <w:rFonts w:ascii="Times New Roman" w:hAnsi="Times New Roman"/>
          <w:sz w:val="24"/>
          <w:szCs w:val="24"/>
        </w:rPr>
        <w:t>m, não deveria prosperar em razão do direito e garantia fundamental constitucional do art. 5º, inciso XXXVI da CF/88</w:t>
      </w:r>
      <w:r w:rsidRPr="003A62BD">
        <w:rPr>
          <w:rStyle w:val="Refdenotaderodap"/>
          <w:rFonts w:ascii="Times New Roman" w:hAnsi="Times New Roman"/>
          <w:sz w:val="24"/>
          <w:szCs w:val="24"/>
        </w:rPr>
        <w:footnoteReference w:id="10"/>
      </w:r>
    </w:p>
    <w:p w:rsidR="00B939D0" w:rsidRPr="003A62BD" w:rsidRDefault="00B939D0" w:rsidP="00B939D0">
      <w:pPr>
        <w:pStyle w:val="NormalWeb"/>
        <w:spacing w:before="0" w:beforeAutospacing="0" w:after="0" w:afterAutospacing="0" w:line="360" w:lineRule="auto"/>
        <w:ind w:firstLine="1134"/>
        <w:jc w:val="both"/>
      </w:pPr>
      <w:r w:rsidRPr="003A62BD">
        <w:t xml:space="preserve">Tanto o sistema da </w:t>
      </w:r>
      <w:r w:rsidR="0032136C" w:rsidRPr="0032136C">
        <w:rPr>
          <w:i/>
        </w:rPr>
        <w:t xml:space="preserve">commom law </w:t>
      </w:r>
      <w:r w:rsidR="0032136C" w:rsidRPr="003A62BD">
        <w:t xml:space="preserve">quanto ao sistema da </w:t>
      </w:r>
      <w:r w:rsidR="0032136C" w:rsidRPr="0032136C">
        <w:rPr>
          <w:i/>
        </w:rPr>
        <w:t>civil law</w:t>
      </w:r>
      <w:r w:rsidR="0032136C" w:rsidRPr="003A62BD">
        <w:t xml:space="preserve"> </w:t>
      </w:r>
      <w:r w:rsidRPr="003A62BD">
        <w:t xml:space="preserve">apresentam divergência quanto as suas decisões, no entanto, o elo desses sistemas esta na tentativa da melhor solução ao caso controvertido. Acredita-se que no sistema </w:t>
      </w:r>
      <w:r w:rsidR="0032136C" w:rsidRPr="003A62BD">
        <w:t xml:space="preserve">da </w:t>
      </w:r>
      <w:r w:rsidR="0032136C" w:rsidRPr="0032136C">
        <w:rPr>
          <w:i/>
        </w:rPr>
        <w:t>civil law</w:t>
      </w:r>
      <w:r w:rsidRPr="003A62BD">
        <w:t xml:space="preserve">, o direito não é somente a lei, (SAUSEN, 2007, p. </w:t>
      </w:r>
      <w:smartTag w:uri="urn:schemas-microsoft-com:office:smarttags" w:element="metricconverter">
        <w:smartTagPr>
          <w:attr w:name="ProductID" w:val="51 a"/>
        </w:smartTagPr>
        <w:r w:rsidRPr="003A62BD">
          <w:t>51 a</w:t>
        </w:r>
      </w:smartTag>
      <w:r w:rsidRPr="003A62BD">
        <w:t xml:space="preserve"> 61), pois, na maioria das conduções das tutelas jurídicas se percebe uma jurisdição contenciosa e a necessidade da elucidação do caso concreto da fase probatória processual, senão, todas as controvérsias judiciais seriam resolvidas pela prolação da sentença, conforme o art. 330, inciso I do CPC</w:t>
      </w:r>
      <w:r w:rsidRPr="003A62BD">
        <w:rPr>
          <w:rStyle w:val="Refdenotaderodap"/>
        </w:rPr>
        <w:footnoteReference w:id="11"/>
      </w:r>
      <w:r w:rsidR="00E86CC3">
        <w:t>.</w:t>
      </w:r>
      <w:r w:rsidRPr="003A62BD">
        <w:t xml:space="preserve"> </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Em atendimento ao modelo de decisão judicial do sistema jurídico do direito anglo-saxão, se concebe que, para alguns pensadores, entre ele o Márcio Louzada Carpena (2012, p. 68 a 69) a decisão judicial é diferente do precedente normativo.</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lastRenderedPageBreak/>
        <w:t xml:space="preserve">A decisão judicial é uma linguagem específica estabelecendo a quem tem o direito. É aplicação do direito ao caso concreto e se restringe, somente, às partes processuais, não gera efeitos perante “toda” a sociedade (efeitos </w:t>
      </w:r>
      <w:r w:rsidRPr="0032136C">
        <w:rPr>
          <w:rFonts w:ascii="Times New Roman" w:hAnsi="Times New Roman"/>
          <w:i/>
          <w:sz w:val="24"/>
          <w:szCs w:val="24"/>
        </w:rPr>
        <w:t>erga omnes</w:t>
      </w:r>
      <w:r w:rsidR="00E86CC3">
        <w:rPr>
          <w:rFonts w:ascii="Times New Roman" w:hAnsi="Times New Roman"/>
          <w:sz w:val="24"/>
          <w:szCs w:val="24"/>
        </w:rPr>
        <w:t>). Ou seja, é</w:t>
      </w:r>
      <w:r w:rsidRPr="003A62BD">
        <w:rPr>
          <w:rFonts w:ascii="Times New Roman" w:hAnsi="Times New Roman"/>
          <w:sz w:val="24"/>
          <w:szCs w:val="24"/>
        </w:rPr>
        <w:t xml:space="preserve"> semelhante às decisões judiciais do direito canônico romano (CARPENA, 2012, p. 68 a 69). </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Nesse sentido, Márcio Carpena (2010, p. 69) depreende que o precedente normativo apresenta uma linguagem abstrata e conceitual em relação à fundamentação da sentença, ou seja, se realiza um julgado de grande amplitude semântica a fim de captar as perspectivas atuais do caso concreto que seja abrangida, também, em uma eventual lide judicial futura. Exige-se o atendimento à estabilidade das relações jurídicas pelo que estabelece o princípio da segurança jurídica.</w:t>
      </w:r>
    </w:p>
    <w:p w:rsidR="00B939D0" w:rsidRPr="003A62BD" w:rsidRDefault="00E86CC3" w:rsidP="00B939D0">
      <w:pPr>
        <w:tabs>
          <w:tab w:val="left" w:pos="851"/>
        </w:tabs>
        <w:spacing w:after="0" w:line="360" w:lineRule="auto"/>
        <w:ind w:firstLine="1134"/>
        <w:jc w:val="both"/>
        <w:rPr>
          <w:rFonts w:ascii="Times New Roman" w:hAnsi="Times New Roman"/>
          <w:sz w:val="24"/>
          <w:szCs w:val="24"/>
        </w:rPr>
      </w:pPr>
      <w:r>
        <w:rPr>
          <w:rFonts w:ascii="Times New Roman" w:hAnsi="Times New Roman"/>
          <w:sz w:val="24"/>
          <w:szCs w:val="24"/>
        </w:rPr>
        <w:t>Diferentemente</w:t>
      </w:r>
      <w:r w:rsidR="00B939D0" w:rsidRPr="003A62BD">
        <w:rPr>
          <w:rFonts w:ascii="Times New Roman" w:hAnsi="Times New Roman"/>
          <w:sz w:val="24"/>
          <w:szCs w:val="24"/>
        </w:rPr>
        <w:t xml:space="preserve"> do posicionamento de Márcio Carpena, Thiago Baldani Gomes de Fillipo (2010, p. 92 a 104) entende de modo diverso, este autor compreende que o precedente normativo admite a classificação de monoprocessual, ou seja, que o precedente normativo seja formado por uma decisão judicial, gerando efeitos </w:t>
      </w:r>
      <w:r w:rsidR="00B939D0" w:rsidRPr="00D433C9">
        <w:rPr>
          <w:rFonts w:ascii="Times New Roman" w:hAnsi="Times New Roman"/>
          <w:i/>
          <w:sz w:val="24"/>
          <w:szCs w:val="24"/>
        </w:rPr>
        <w:t>erga omnes</w:t>
      </w:r>
      <w:r w:rsidR="00B939D0" w:rsidRPr="003A62BD">
        <w:rPr>
          <w:rFonts w:ascii="Times New Roman" w:hAnsi="Times New Roman"/>
          <w:sz w:val="24"/>
          <w:szCs w:val="24"/>
        </w:rPr>
        <w:t xml:space="preserve"> em face da fundamentação da sentença. Como também, admite a classificação do precedente normativo de pluriprocessual em que se verifica a conjugação de várias decisões judiciais</w:t>
      </w:r>
      <w:r w:rsidR="00B939D0" w:rsidRPr="003A62BD">
        <w:rPr>
          <w:rStyle w:val="Refdenotaderodap"/>
          <w:rFonts w:ascii="Times New Roman" w:hAnsi="Times New Roman"/>
          <w:sz w:val="24"/>
          <w:szCs w:val="24"/>
        </w:rPr>
        <w:footnoteReference w:id="12"/>
      </w:r>
      <w:r w:rsidR="00B939D0" w:rsidRPr="003A62BD">
        <w:rPr>
          <w:rFonts w:ascii="Times New Roman" w:hAnsi="Times New Roman"/>
          <w:sz w:val="24"/>
          <w:szCs w:val="24"/>
        </w:rPr>
        <w:t xml:space="preserve"> (GOMES DE FILLIPO, 2010, p. 92) semelhante a</w:t>
      </w:r>
      <w:r>
        <w:rPr>
          <w:rFonts w:ascii="Times New Roman" w:hAnsi="Times New Roman"/>
          <w:sz w:val="24"/>
          <w:szCs w:val="24"/>
        </w:rPr>
        <w:t xml:space="preserve"> apresentação de Márcio Carpena: uma decisão judicial abstrata com amplo alcance semântico capaz de atender às controvérsias atuais e futuras.</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É profícua a meticulosidade da análise dos precedentes normativos, em especial, a da Suprema Corte dos Estados Unidos em que se realiza a secção das decisões em várias partes, para que o próximo Ministro possa aperfeiçoar e amplificar o alcance do julgado as nuances do caso concreto em uma possível controvérsia </w:t>
      </w:r>
      <w:r w:rsidR="00E86CC3">
        <w:rPr>
          <w:rFonts w:ascii="Times New Roman" w:hAnsi="Times New Roman"/>
          <w:sz w:val="24"/>
          <w:szCs w:val="24"/>
        </w:rPr>
        <w:t>judicial futura. Diferentemente</w:t>
      </w:r>
      <w:r w:rsidRPr="003A62BD">
        <w:rPr>
          <w:rFonts w:ascii="Times New Roman" w:hAnsi="Times New Roman"/>
          <w:sz w:val="24"/>
          <w:szCs w:val="24"/>
        </w:rPr>
        <w:t xml:space="preserve"> das sentenças brasileiras quanto ao seu Tribunal Excelso em que os Ministros</w:t>
      </w:r>
      <w:r w:rsidR="00E86CC3">
        <w:rPr>
          <w:rFonts w:ascii="Times New Roman" w:hAnsi="Times New Roman"/>
          <w:sz w:val="24"/>
          <w:szCs w:val="24"/>
        </w:rPr>
        <w:t xml:space="preserve"> do STF</w:t>
      </w:r>
      <w:r w:rsidRPr="003A62BD">
        <w:rPr>
          <w:rFonts w:ascii="Times New Roman" w:hAnsi="Times New Roman"/>
          <w:sz w:val="24"/>
          <w:szCs w:val="24"/>
        </w:rPr>
        <w:t>, na maioria das vezes, se dividem em duas partes em atendimentos às perspectivas das partes processuais (GOMES DE FILLIPO, 2010, p.89)</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tabs>
          <w:tab w:val="left" w:pos="851"/>
        </w:tabs>
        <w:spacing w:after="0" w:line="240" w:lineRule="auto"/>
        <w:ind w:left="2268"/>
        <w:jc w:val="both"/>
        <w:rPr>
          <w:rFonts w:ascii="Times New Roman" w:hAnsi="Times New Roman"/>
          <w:sz w:val="20"/>
          <w:szCs w:val="20"/>
        </w:rPr>
      </w:pPr>
      <w:r w:rsidRPr="003A62BD">
        <w:rPr>
          <w:rFonts w:ascii="Times New Roman" w:hAnsi="Times New Roman"/>
          <w:sz w:val="20"/>
          <w:szCs w:val="20"/>
        </w:rPr>
        <w:t xml:space="preserve">Diz-se, em todos os casos, pois somente haverá observância obrigatória se a decisão for tomada pela maioria da corte também no tocante às razões fundamentais da decisão. Assim, a tomada de decisões pela maioria ocorre nos EUA diferentemente da forma como é feita no Brasil. Aqui, para que haja uma decisão tomada pela maioria, basta coincidência quanto ao dispositivo. Assim, se um julgador chegar à mesma conclusão (dispositivo) a </w:t>
      </w:r>
      <w:r w:rsidRPr="003A62BD">
        <w:rPr>
          <w:rFonts w:ascii="Times New Roman" w:hAnsi="Times New Roman"/>
          <w:sz w:val="20"/>
          <w:szCs w:val="20"/>
        </w:rPr>
        <w:lastRenderedPageBreak/>
        <w:t>que chegou outro, haverá, de todo o modo, maioria, independentemente se divergiram , ou não, quanto à fundamentação. Nos EUA, a coincidência deve se dar, também, quanto às razões em várias partes (Parte I, II, III etc.) para que outro julgador possa concordar com a Parte I, por exemplo, e, mesmo que discorde das razões expostas na Parte II, por hipótese, mas chegue à mesma conclusão, as razões expostas na Parte I podem ser contadas para somar à maioria. (GOMES DE FILLIPO, 2010, p. 89)</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Em face dessa linguagem abstrata e conceitual do precedente normativo para atender a “toda” sociedade, por causa dos efeitos </w:t>
      </w:r>
      <w:r w:rsidRPr="00D433C9">
        <w:rPr>
          <w:rFonts w:ascii="Times New Roman" w:hAnsi="Times New Roman"/>
          <w:i/>
          <w:sz w:val="24"/>
          <w:szCs w:val="24"/>
        </w:rPr>
        <w:t>erga omnes</w:t>
      </w:r>
      <w:r w:rsidRPr="003A62BD">
        <w:rPr>
          <w:rFonts w:ascii="Times New Roman" w:hAnsi="Times New Roman"/>
          <w:sz w:val="24"/>
          <w:szCs w:val="24"/>
        </w:rPr>
        <w:t xml:space="preserve"> desse julgado vinculativo. Nos precedentes normativos existem duas partes distintas em uma mesma fundamentação: as razões fundamentais e as razões periféricas (GOMES DE FILLIPO, 2010, p. 89 a 90).</w:t>
      </w:r>
    </w:p>
    <w:p w:rsidR="00B939D0" w:rsidRPr="003A62BD" w:rsidRDefault="00E86CC3" w:rsidP="00B939D0">
      <w:pPr>
        <w:tabs>
          <w:tab w:val="left" w:pos="851"/>
        </w:tabs>
        <w:spacing w:after="0" w:line="360" w:lineRule="auto"/>
        <w:ind w:firstLine="1134"/>
        <w:jc w:val="both"/>
        <w:rPr>
          <w:rFonts w:ascii="Times New Roman" w:hAnsi="Times New Roman"/>
          <w:sz w:val="24"/>
          <w:szCs w:val="24"/>
        </w:rPr>
      </w:pPr>
      <w:r>
        <w:rPr>
          <w:rFonts w:ascii="Times New Roman" w:hAnsi="Times New Roman"/>
          <w:sz w:val="24"/>
          <w:szCs w:val="24"/>
        </w:rPr>
        <w:t>Paradoxalmente, essa</w:t>
      </w:r>
      <w:r w:rsidR="00B939D0" w:rsidRPr="003A62BD">
        <w:rPr>
          <w:rFonts w:ascii="Times New Roman" w:hAnsi="Times New Roman"/>
          <w:sz w:val="24"/>
          <w:szCs w:val="24"/>
        </w:rPr>
        <w:t xml:space="preserve"> identificação das razões fundamentais (</w:t>
      </w:r>
      <w:r w:rsidR="00B939D0" w:rsidRPr="00D433C9">
        <w:rPr>
          <w:rFonts w:ascii="Times New Roman" w:hAnsi="Times New Roman"/>
          <w:i/>
          <w:sz w:val="24"/>
          <w:szCs w:val="24"/>
        </w:rPr>
        <w:t>holding</w:t>
      </w:r>
      <w:r w:rsidR="00B939D0" w:rsidRPr="003A62BD">
        <w:rPr>
          <w:rFonts w:ascii="Times New Roman" w:hAnsi="Times New Roman"/>
          <w:sz w:val="24"/>
          <w:szCs w:val="24"/>
        </w:rPr>
        <w:t xml:space="preserve"> ou </w:t>
      </w:r>
      <w:r w:rsidR="00B939D0" w:rsidRPr="00D433C9">
        <w:rPr>
          <w:rFonts w:ascii="Times New Roman" w:hAnsi="Times New Roman"/>
          <w:i/>
          <w:sz w:val="24"/>
          <w:szCs w:val="24"/>
        </w:rPr>
        <w:t>ratio decidendi</w:t>
      </w:r>
      <w:r w:rsidR="00B939D0" w:rsidRPr="003A62BD">
        <w:rPr>
          <w:rFonts w:ascii="Times New Roman" w:hAnsi="Times New Roman"/>
          <w:sz w:val="24"/>
          <w:szCs w:val="24"/>
        </w:rPr>
        <w:t>) e as razões periféricas (</w:t>
      </w:r>
      <w:r w:rsidR="00B939D0" w:rsidRPr="00D433C9">
        <w:rPr>
          <w:rFonts w:ascii="Times New Roman" w:hAnsi="Times New Roman"/>
          <w:i/>
          <w:sz w:val="24"/>
          <w:szCs w:val="24"/>
        </w:rPr>
        <w:t>obiter dictum</w:t>
      </w:r>
      <w:r w:rsidR="00B939D0" w:rsidRPr="003A62BD">
        <w:rPr>
          <w:rFonts w:ascii="Times New Roman" w:hAnsi="Times New Roman"/>
          <w:sz w:val="24"/>
          <w:szCs w:val="24"/>
        </w:rPr>
        <w:t>) são complexas e essa distinção deve ocorrer para que o futuro requerente saiba o que lhe pode ser pertinente na equiparação do caso já pacificado com a controvérsia judicial em voga, em consonância ao princípio da igualdade, e na previsão das relações jurídicas no tocante ao princípio da segurança jurídica (MARINONI, 2011, p. 224 a 228)</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É notável o posicionamento de Luiz Guilherme Marinoni (2011, p. 224) quanto aos métodos empregados pelos estudiosos do sistema jurídico da </w:t>
      </w:r>
      <w:r w:rsidR="00D433C9" w:rsidRPr="00D433C9">
        <w:rPr>
          <w:rFonts w:ascii="Times New Roman" w:hAnsi="Times New Roman"/>
          <w:i/>
          <w:sz w:val="24"/>
          <w:szCs w:val="24"/>
        </w:rPr>
        <w:t>commom law</w:t>
      </w:r>
      <w:r w:rsidRPr="003A62BD">
        <w:rPr>
          <w:rFonts w:ascii="Times New Roman" w:hAnsi="Times New Roman"/>
          <w:sz w:val="24"/>
          <w:szCs w:val="24"/>
        </w:rPr>
        <w:t xml:space="preserve">: método </w:t>
      </w:r>
      <w:r w:rsidRPr="003A62BD">
        <w:rPr>
          <w:rFonts w:ascii="Times New Roman" w:hAnsi="Times New Roman" w:cs="Times New Roman"/>
          <w:sz w:val="24"/>
          <w:szCs w:val="24"/>
        </w:rPr>
        <w:t>Wabaught</w:t>
      </w:r>
      <w:r w:rsidRPr="003A62BD">
        <w:rPr>
          <w:rFonts w:ascii="Times New Roman" w:hAnsi="Times New Roman"/>
          <w:sz w:val="24"/>
          <w:szCs w:val="24"/>
        </w:rPr>
        <w:t>, e o método Goodhart.</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O método Wabaught se caracteriza pelo legado lógico (princípio da exclusão lógica). Registra-se que será realizado uma investigação cética (indagativa): será estabelecido um argumento em contrário quanto a aquilo que foi mencionado pelos juízes na fundamentação do precedente (incluindo questões de fato e de direito), se os argumentos resistirem ao teste, logo, se constata a razão fundamental do precedente normativo (</w:t>
      </w:r>
      <w:r w:rsidRPr="00D433C9">
        <w:rPr>
          <w:rFonts w:ascii="Times New Roman" w:hAnsi="Times New Roman"/>
          <w:i/>
          <w:sz w:val="24"/>
          <w:szCs w:val="24"/>
        </w:rPr>
        <w:t>holding</w:t>
      </w:r>
      <w:r w:rsidRPr="003A62BD">
        <w:rPr>
          <w:rFonts w:ascii="Times New Roman" w:hAnsi="Times New Roman"/>
          <w:sz w:val="24"/>
          <w:szCs w:val="24"/>
        </w:rPr>
        <w:t xml:space="preserve"> ou </w:t>
      </w:r>
      <w:r w:rsidRPr="00D433C9">
        <w:rPr>
          <w:rFonts w:ascii="Times New Roman" w:hAnsi="Times New Roman"/>
          <w:i/>
          <w:sz w:val="24"/>
          <w:szCs w:val="24"/>
        </w:rPr>
        <w:t>ratio decidend</w:t>
      </w:r>
      <w:r w:rsidR="00D433C9">
        <w:rPr>
          <w:rFonts w:ascii="Times New Roman" w:hAnsi="Times New Roman"/>
          <w:i/>
          <w:sz w:val="24"/>
          <w:szCs w:val="24"/>
        </w:rPr>
        <w:t>i</w:t>
      </w:r>
      <w:r w:rsidRPr="003A62BD">
        <w:rPr>
          <w:rFonts w:ascii="Times New Roman" w:hAnsi="Times New Roman"/>
          <w:sz w:val="24"/>
          <w:szCs w:val="24"/>
        </w:rPr>
        <w:t>), do contrário, se terá as razões marginais (</w:t>
      </w:r>
      <w:r w:rsidRPr="00D433C9">
        <w:rPr>
          <w:rFonts w:ascii="Times New Roman" w:hAnsi="Times New Roman"/>
          <w:i/>
          <w:sz w:val="24"/>
          <w:szCs w:val="24"/>
        </w:rPr>
        <w:t>obter dictum</w:t>
      </w:r>
      <w:r w:rsidRPr="003A62BD">
        <w:rPr>
          <w:rFonts w:ascii="Times New Roman" w:hAnsi="Times New Roman"/>
          <w:sz w:val="24"/>
          <w:szCs w:val="24"/>
        </w:rPr>
        <w:t>): o argumento do precedente normativo que sucumbiu perante ao teste.(MARINONI, 2011, p. 225 a 228)</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No entanto,</w:t>
      </w:r>
      <w:r w:rsidR="00E86CC3">
        <w:rPr>
          <w:rFonts w:ascii="Times New Roman" w:hAnsi="Times New Roman"/>
          <w:sz w:val="24"/>
          <w:szCs w:val="24"/>
        </w:rPr>
        <w:t xml:space="preserve"> esse método</w:t>
      </w:r>
      <w:r w:rsidRPr="003A62BD">
        <w:rPr>
          <w:rFonts w:ascii="Times New Roman" w:hAnsi="Times New Roman"/>
          <w:sz w:val="24"/>
          <w:szCs w:val="24"/>
        </w:rPr>
        <w:t xml:space="preserve"> tem sofrido inúmeras críticas em virtude da necessidade prática e eficiente em que se exige dos precedentes normativos, uma vez que uma infinitude de argumentos tem gerado dissensos interpretativos (MARINONI, 2011, p.228)</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Já o modelo Goodhart tem por escopo a constatação dos fatos em que se admite a identificação das razões fundamentais (</w:t>
      </w:r>
      <w:r w:rsidRPr="00CA4818">
        <w:rPr>
          <w:rFonts w:ascii="Times New Roman" w:hAnsi="Times New Roman"/>
          <w:i/>
          <w:sz w:val="24"/>
          <w:szCs w:val="24"/>
        </w:rPr>
        <w:t>ratio decidendi</w:t>
      </w:r>
      <w:r w:rsidRPr="003A62BD">
        <w:rPr>
          <w:rFonts w:ascii="Times New Roman" w:hAnsi="Times New Roman"/>
          <w:sz w:val="24"/>
          <w:szCs w:val="24"/>
        </w:rPr>
        <w:t xml:space="preserve">). Em tese, esse modelo </w:t>
      </w:r>
      <w:r w:rsidRPr="003A62BD">
        <w:rPr>
          <w:rFonts w:ascii="Times New Roman" w:hAnsi="Times New Roman"/>
          <w:sz w:val="24"/>
          <w:szCs w:val="24"/>
        </w:rPr>
        <w:lastRenderedPageBreak/>
        <w:t>de interpretação é coerente as exigências sociais e jurídicas dos precedentes normativos, uma vez que é sucinto e eficiente. (MARINONI, 2011, p.230)</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Entretanto, o modelo Goodhart não está imune as críticas dada a negligência as questões de direito, e um teste que tem por modelo os fatos não deve prosperar em razão da irrepetibilidade dos mesmos (MARINONI, 2011, p.230).</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A interpretação dos precedentes normativos, especificamente, na separação das razões fundamentais (</w:t>
      </w:r>
      <w:r w:rsidRPr="00CA4818">
        <w:rPr>
          <w:rFonts w:ascii="Times New Roman" w:hAnsi="Times New Roman"/>
          <w:i/>
          <w:sz w:val="24"/>
          <w:szCs w:val="24"/>
        </w:rPr>
        <w:t>holding</w:t>
      </w:r>
      <w:r w:rsidRPr="003A62BD">
        <w:rPr>
          <w:rFonts w:ascii="Times New Roman" w:hAnsi="Times New Roman"/>
          <w:sz w:val="24"/>
          <w:szCs w:val="24"/>
        </w:rPr>
        <w:t xml:space="preserve"> ou </w:t>
      </w:r>
      <w:r w:rsidRPr="00CA4818">
        <w:rPr>
          <w:rFonts w:ascii="Times New Roman" w:hAnsi="Times New Roman"/>
          <w:i/>
          <w:sz w:val="24"/>
          <w:szCs w:val="24"/>
        </w:rPr>
        <w:t>ratio decidendi</w:t>
      </w:r>
      <w:r w:rsidRPr="003A62BD">
        <w:rPr>
          <w:rFonts w:ascii="Times New Roman" w:hAnsi="Times New Roman"/>
          <w:sz w:val="24"/>
          <w:szCs w:val="24"/>
        </w:rPr>
        <w:t>) e das razões marginais (</w:t>
      </w:r>
      <w:r w:rsidRPr="00CA4818">
        <w:rPr>
          <w:rFonts w:ascii="Times New Roman" w:hAnsi="Times New Roman"/>
          <w:i/>
          <w:sz w:val="24"/>
          <w:szCs w:val="24"/>
        </w:rPr>
        <w:t>obter dictum</w:t>
      </w:r>
      <w:r w:rsidRPr="003A62BD">
        <w:rPr>
          <w:rFonts w:ascii="Times New Roman" w:hAnsi="Times New Roman"/>
          <w:sz w:val="24"/>
          <w:szCs w:val="24"/>
        </w:rPr>
        <w:t xml:space="preserve">) são difíceis e tem estabelecido análises divergentes entre os profissionais da área jurídica. (GOMES DE FILLIPO, 2010, p. 90) </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tabs>
          <w:tab w:val="left" w:pos="851"/>
        </w:tabs>
        <w:spacing w:after="0" w:line="360" w:lineRule="auto"/>
        <w:jc w:val="both"/>
        <w:rPr>
          <w:rFonts w:ascii="Times New Roman" w:hAnsi="Times New Roman"/>
          <w:sz w:val="24"/>
          <w:szCs w:val="24"/>
        </w:rPr>
      </w:pPr>
      <w:r w:rsidRPr="003A62BD">
        <w:rPr>
          <w:rFonts w:ascii="Times New Roman" w:hAnsi="Times New Roman"/>
          <w:b/>
          <w:sz w:val="24"/>
          <w:szCs w:val="24"/>
        </w:rPr>
        <w:t>3 – Diferenciações estruturais da ciência processual no sistem</w:t>
      </w:r>
      <w:r w:rsidR="00CA4818" w:rsidRPr="003A62BD">
        <w:rPr>
          <w:rFonts w:ascii="Times New Roman" w:hAnsi="Times New Roman"/>
          <w:b/>
          <w:sz w:val="24"/>
          <w:szCs w:val="24"/>
        </w:rPr>
        <w:t xml:space="preserve">a jurídico da </w:t>
      </w:r>
      <w:r w:rsidR="00CA4818" w:rsidRPr="003A62BD">
        <w:rPr>
          <w:rFonts w:ascii="Times New Roman" w:hAnsi="Times New Roman"/>
          <w:b/>
          <w:i/>
          <w:sz w:val="24"/>
          <w:szCs w:val="24"/>
        </w:rPr>
        <w:t>civil law</w:t>
      </w:r>
      <w:r w:rsidR="00CA4818" w:rsidRPr="003A62BD">
        <w:rPr>
          <w:rFonts w:ascii="Times New Roman" w:hAnsi="Times New Roman"/>
          <w:b/>
          <w:sz w:val="24"/>
          <w:szCs w:val="24"/>
        </w:rPr>
        <w:t xml:space="preserve"> e </w:t>
      </w:r>
      <w:r w:rsidR="00CA4818" w:rsidRPr="003A62BD">
        <w:rPr>
          <w:rFonts w:ascii="Times New Roman" w:hAnsi="Times New Roman"/>
          <w:b/>
          <w:i/>
          <w:sz w:val="24"/>
          <w:szCs w:val="24"/>
        </w:rPr>
        <w:t>commom law</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É elogiável a constatação da diferenciação dos sistemas jurídicos mais representativos do planeta. Primeiramente,</w:t>
      </w:r>
      <w:r w:rsidR="009443B0">
        <w:rPr>
          <w:rFonts w:ascii="Times New Roman" w:hAnsi="Times New Roman"/>
          <w:sz w:val="24"/>
          <w:szCs w:val="24"/>
        </w:rPr>
        <w:t xml:space="preserve"> </w:t>
      </w:r>
      <w:r w:rsidRPr="003A62BD">
        <w:rPr>
          <w:rFonts w:ascii="Times New Roman" w:hAnsi="Times New Roman"/>
          <w:sz w:val="24"/>
          <w:szCs w:val="24"/>
        </w:rPr>
        <w:t>se acentua que o direito consuetudinário anglo-saxão se caracteriza pela flexibilidade as regras jurídicas, uma vez que o magistrado é responsável pela conexão da regra jurídica perante os anseios da sociedade, diferentemente, do direito romano canônico em que a regra jurídica tem um viés rígido.(CARPENA, 2010, 199)</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Destaca-se que no direito anglo-saxão, o juiz não tem tanta relevância como no sistema do direito romano canônico. No sistema jurídico da </w:t>
      </w:r>
      <w:r w:rsidR="009443B0" w:rsidRPr="003A62BD">
        <w:rPr>
          <w:rFonts w:ascii="Times New Roman" w:hAnsi="Times New Roman"/>
          <w:i/>
          <w:sz w:val="24"/>
          <w:szCs w:val="24"/>
        </w:rPr>
        <w:t>commom law</w:t>
      </w:r>
      <w:r w:rsidR="009443B0" w:rsidRPr="003A62BD">
        <w:rPr>
          <w:rFonts w:ascii="Times New Roman" w:hAnsi="Times New Roman"/>
          <w:sz w:val="24"/>
          <w:szCs w:val="24"/>
        </w:rPr>
        <w:t xml:space="preserve"> </w:t>
      </w:r>
      <w:r w:rsidRPr="003A62BD">
        <w:rPr>
          <w:rFonts w:ascii="Times New Roman" w:hAnsi="Times New Roman"/>
          <w:sz w:val="24"/>
          <w:szCs w:val="24"/>
        </w:rPr>
        <w:t>norte-americano, os advogados são responsáveis pela condução do processo, em contrapartida, são eles é que financiam a controvérsia judicial (CARPENA, 2010, p.199).</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Diante dessa perspectiva capitalista é que muitos advogados ponderam em um cálculo pragmático de custo e benefício se é plausível a assunção de determinada disputa judicial, sendo comum, também, os acordos extrajudiciais como meio de solução de quaisquer controvérsias (CARPENA, 2010, p 199 a 200).</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Ou seja, o direito de ação aos americanos é restrito não só pela disponibilidade do defensor em assumir tal causa, como também, a postura de juízes e </w:t>
      </w:r>
      <w:r w:rsidRPr="003A62BD">
        <w:rPr>
          <w:rFonts w:ascii="Times New Roman" w:hAnsi="Times New Roman"/>
          <w:sz w:val="24"/>
          <w:szCs w:val="24"/>
        </w:rPr>
        <w:lastRenderedPageBreak/>
        <w:t>tribunais quanto ao valor de determinada controvérsia judicial</w:t>
      </w:r>
      <w:r w:rsidRPr="003A62BD">
        <w:rPr>
          <w:rStyle w:val="Refdenotaderodap"/>
          <w:rFonts w:ascii="Times New Roman" w:hAnsi="Times New Roman"/>
          <w:sz w:val="24"/>
          <w:szCs w:val="24"/>
        </w:rPr>
        <w:footnoteReference w:id="13"/>
      </w:r>
      <w:r w:rsidRPr="003A62BD">
        <w:rPr>
          <w:rFonts w:ascii="Times New Roman" w:hAnsi="Times New Roman"/>
          <w:sz w:val="24"/>
          <w:szCs w:val="24"/>
        </w:rPr>
        <w:t>. (CARPENA, 2010, p. 199)</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Já no direito brasileiro, o juiz possui mais prerrogativas que o magistrado estadunidense</w:t>
      </w:r>
      <w:r w:rsidRPr="003A62BD">
        <w:rPr>
          <w:rStyle w:val="Refdenotaderodap"/>
          <w:rFonts w:ascii="Times New Roman" w:hAnsi="Times New Roman"/>
          <w:sz w:val="24"/>
          <w:szCs w:val="24"/>
        </w:rPr>
        <w:footnoteReference w:id="14"/>
      </w:r>
      <w:r w:rsidRPr="003A62BD">
        <w:rPr>
          <w:rFonts w:ascii="Times New Roman" w:hAnsi="Times New Roman"/>
          <w:sz w:val="24"/>
          <w:szCs w:val="24"/>
        </w:rPr>
        <w:t>, entre eles o de conduzir o processo de fase em fase (princípio do impulso oficial), indubitavelmente, após a propositura da ação pelo autor. O advogado não assume os encargos do processo, porém, as partes processuais. (CARPENA, 2010, p. 198 a 199)</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Ademais que pelo direito de ação consagrado no art. 5º, inciso XXXV da CF</w:t>
      </w:r>
      <w:r w:rsidR="00E86CC3">
        <w:rPr>
          <w:rFonts w:ascii="Times New Roman" w:hAnsi="Times New Roman"/>
          <w:sz w:val="24"/>
          <w:szCs w:val="24"/>
        </w:rPr>
        <w:t>/88</w:t>
      </w:r>
      <w:r w:rsidRPr="003A62BD">
        <w:rPr>
          <w:rStyle w:val="Refdenotaderodap"/>
          <w:rFonts w:ascii="Times New Roman" w:hAnsi="Times New Roman"/>
          <w:sz w:val="24"/>
          <w:szCs w:val="24"/>
        </w:rPr>
        <w:footnoteReference w:id="15"/>
      </w:r>
      <w:r w:rsidRPr="003A62BD">
        <w:rPr>
          <w:rFonts w:ascii="Times New Roman" w:hAnsi="Times New Roman"/>
          <w:sz w:val="24"/>
          <w:szCs w:val="24"/>
        </w:rPr>
        <w:t xml:space="preserve"> consagra que todos podem promover a apreciação de sua causa pelo Poder Judiciário, não existe restrição financeira alguma, salvo as exigências legais das condições da ação e entre outras elencadas pela petição inicial do art. 282 a 284 do CPC</w:t>
      </w:r>
      <w:r w:rsidRPr="003A62BD">
        <w:rPr>
          <w:rStyle w:val="Refdenotaderodap"/>
          <w:rFonts w:ascii="Times New Roman" w:hAnsi="Times New Roman"/>
          <w:sz w:val="24"/>
          <w:szCs w:val="24"/>
        </w:rPr>
        <w:footnoteReference w:id="16"/>
      </w:r>
      <w:r w:rsidRPr="003A62BD">
        <w:rPr>
          <w:rFonts w:ascii="Times New Roman" w:hAnsi="Times New Roman"/>
          <w:sz w:val="24"/>
          <w:szCs w:val="24"/>
        </w:rPr>
        <w:t>.(CARPENA, 2010, p. 199)</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No sistema jurídico da </w:t>
      </w:r>
      <w:r w:rsidR="009443B0" w:rsidRPr="009443B0">
        <w:rPr>
          <w:rFonts w:ascii="Times New Roman" w:hAnsi="Times New Roman"/>
          <w:i/>
          <w:sz w:val="24"/>
          <w:szCs w:val="24"/>
        </w:rPr>
        <w:t>commom law</w:t>
      </w:r>
      <w:r w:rsidR="009443B0" w:rsidRPr="003A62BD">
        <w:rPr>
          <w:rFonts w:ascii="Times New Roman" w:hAnsi="Times New Roman"/>
          <w:sz w:val="24"/>
          <w:szCs w:val="24"/>
        </w:rPr>
        <w:t xml:space="preserve"> </w:t>
      </w:r>
      <w:r w:rsidRPr="003A62BD">
        <w:rPr>
          <w:rFonts w:ascii="Times New Roman" w:hAnsi="Times New Roman"/>
          <w:sz w:val="24"/>
          <w:szCs w:val="24"/>
        </w:rPr>
        <w:t>estadunidense, existe uma disciplina específica no tocante a fase probatória. Sendo que no direito brasileiro, em uma grande maioria dos cursos</w:t>
      </w:r>
      <w:r w:rsidR="00E86CC3">
        <w:rPr>
          <w:rFonts w:ascii="Times New Roman" w:hAnsi="Times New Roman"/>
          <w:sz w:val="24"/>
          <w:szCs w:val="24"/>
        </w:rPr>
        <w:t xml:space="preserve"> de direito brasileiro</w:t>
      </w:r>
      <w:r w:rsidRPr="003A62BD">
        <w:rPr>
          <w:rFonts w:ascii="Times New Roman" w:hAnsi="Times New Roman"/>
          <w:sz w:val="24"/>
          <w:szCs w:val="24"/>
        </w:rPr>
        <w:t xml:space="preserve">, não se tem uma disciplina autônoma quanto as </w:t>
      </w:r>
      <w:r w:rsidRPr="003A62BD">
        <w:rPr>
          <w:rFonts w:ascii="Times New Roman" w:hAnsi="Times New Roman"/>
          <w:sz w:val="24"/>
          <w:szCs w:val="24"/>
        </w:rPr>
        <w:lastRenderedPageBreak/>
        <w:t>fase probatória, tampouco a fase probatória, pelo contrário, este ramo de conhecimento está contido nas disciplinas de direito processual.(GOMES DE FILLIPO, 2010, p.84)</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No Brasil, as provas que sejam demonstráveis e comprovadas em juízo são satisfatórias, porque é um dos mecanismos no convencimento do magistrado a favor de uma das partes processuais, assim como no direito norte-americano. Quando se trata de uma prova diabólica ou uma prova duvidosa em que não se pode confirmá-la, esta não tem privilégio no nosso ordenamento jurídico. No direito norte-americano, pelo contrário, ainda pode ter uma certa relevância a depender das circunstâncias do caso. (CARPENA, 2010, p. 214)</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Qualquer atitude que desencadear no retardamento ou quaisquer obstaculização do andamento processual, no direito americano, segundo Márcio Carpena (2010, p. 211) ocasionará em uma ação judicial (</w:t>
      </w:r>
      <w:r w:rsidRPr="003A62BD">
        <w:rPr>
          <w:rFonts w:ascii="Times New Roman" w:hAnsi="Times New Roman"/>
          <w:i/>
          <w:sz w:val="24"/>
          <w:szCs w:val="24"/>
        </w:rPr>
        <w:t>contempt court</w:t>
      </w:r>
      <w:r w:rsidRPr="003A62BD">
        <w:rPr>
          <w:rFonts w:ascii="Times New Roman" w:hAnsi="Times New Roman"/>
          <w:sz w:val="24"/>
          <w:szCs w:val="24"/>
        </w:rPr>
        <w:t>) que propiciará ao advogado infrator da dignidade da justiça pesadas</w:t>
      </w:r>
      <w:r w:rsidR="007472D3">
        <w:rPr>
          <w:rFonts w:ascii="Times New Roman" w:hAnsi="Times New Roman"/>
          <w:sz w:val="24"/>
          <w:szCs w:val="24"/>
        </w:rPr>
        <w:t xml:space="preserve"> multas, que em certas circunstâ</w:t>
      </w:r>
      <w:r w:rsidRPr="003A62BD">
        <w:rPr>
          <w:rFonts w:ascii="Times New Roman" w:hAnsi="Times New Roman"/>
          <w:sz w:val="24"/>
          <w:szCs w:val="24"/>
        </w:rPr>
        <w:t>ncias determinará na sua insolvibilidade financeira.</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r w:rsidRPr="003A62BD">
        <w:rPr>
          <w:rFonts w:ascii="Times New Roman" w:hAnsi="Times New Roman"/>
          <w:sz w:val="24"/>
          <w:szCs w:val="24"/>
        </w:rPr>
        <w:t>Ao passo que no direito</w:t>
      </w:r>
      <w:r w:rsidR="007472D3">
        <w:rPr>
          <w:rFonts w:ascii="Times New Roman" w:hAnsi="Times New Roman"/>
          <w:sz w:val="24"/>
          <w:szCs w:val="24"/>
        </w:rPr>
        <w:t xml:space="preserve"> brasileiro, em certas circunstâ</w:t>
      </w:r>
      <w:r w:rsidRPr="003A62BD">
        <w:rPr>
          <w:rFonts w:ascii="Times New Roman" w:hAnsi="Times New Roman"/>
          <w:sz w:val="24"/>
          <w:szCs w:val="24"/>
        </w:rPr>
        <w:t>ncias de deslealdade processual, poderá permitir na desconsideração de alguma manifestação dessa parte dos autos do processo, como também, em multas, mas que não desencadeia na insolvabilidade financeira do infrator (CARPENA, 2011, p. 211).</w:t>
      </w:r>
    </w:p>
    <w:p w:rsidR="00B939D0" w:rsidRDefault="00B939D0" w:rsidP="00B939D0">
      <w:pPr>
        <w:tabs>
          <w:tab w:val="left" w:pos="851"/>
        </w:tabs>
        <w:spacing w:after="0" w:line="360" w:lineRule="auto"/>
        <w:ind w:firstLine="1134"/>
        <w:jc w:val="both"/>
        <w:rPr>
          <w:rFonts w:ascii="Times New Roman" w:hAnsi="Times New Roman"/>
          <w:sz w:val="24"/>
          <w:szCs w:val="24"/>
        </w:rPr>
      </w:pPr>
    </w:p>
    <w:p w:rsidR="007472D3" w:rsidRPr="003A62BD" w:rsidRDefault="007472D3"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tabs>
          <w:tab w:val="left" w:pos="851"/>
        </w:tabs>
        <w:spacing w:after="0" w:line="360" w:lineRule="auto"/>
        <w:jc w:val="both"/>
        <w:rPr>
          <w:rFonts w:ascii="Times New Roman" w:hAnsi="Times New Roman"/>
          <w:b/>
          <w:sz w:val="24"/>
          <w:szCs w:val="24"/>
        </w:rPr>
      </w:pPr>
      <w:r w:rsidRPr="003A62BD">
        <w:rPr>
          <w:rFonts w:ascii="Times New Roman" w:hAnsi="Times New Roman"/>
          <w:b/>
          <w:sz w:val="24"/>
          <w:szCs w:val="24"/>
        </w:rPr>
        <w:t xml:space="preserve">4 – Classificação dos precedentes normativos pelos estudiosos do direito </w:t>
      </w:r>
      <w:r w:rsidR="007606B4">
        <w:rPr>
          <w:rFonts w:ascii="Times New Roman" w:hAnsi="Times New Roman"/>
          <w:b/>
          <w:sz w:val="24"/>
          <w:szCs w:val="24"/>
        </w:rPr>
        <w:t>brasileiro</w:t>
      </w:r>
    </w:p>
    <w:p w:rsidR="00B939D0" w:rsidRPr="003A62BD" w:rsidRDefault="00B939D0" w:rsidP="00B939D0">
      <w:pPr>
        <w:tabs>
          <w:tab w:val="left" w:pos="851"/>
        </w:tabs>
        <w:spacing w:after="0" w:line="360" w:lineRule="auto"/>
        <w:ind w:firstLine="1134"/>
        <w:jc w:val="both"/>
        <w:rPr>
          <w:rFonts w:ascii="Times New Roman" w:hAnsi="Times New Roman"/>
          <w:sz w:val="24"/>
          <w:szCs w:val="24"/>
        </w:rPr>
      </w:pPr>
    </w:p>
    <w:p w:rsidR="00B939D0" w:rsidRPr="003A62BD" w:rsidRDefault="00B939D0" w:rsidP="00B939D0">
      <w:pPr>
        <w:spacing w:after="0" w:line="360" w:lineRule="auto"/>
        <w:ind w:firstLine="1134"/>
        <w:jc w:val="both"/>
        <w:rPr>
          <w:rFonts w:ascii="Times New Roman" w:hAnsi="Times New Roman"/>
          <w:sz w:val="24"/>
          <w:szCs w:val="24"/>
        </w:rPr>
      </w:pPr>
      <w:r w:rsidRPr="003A62BD">
        <w:rPr>
          <w:rFonts w:ascii="Times New Roman" w:hAnsi="Times New Roman"/>
          <w:sz w:val="24"/>
          <w:szCs w:val="24"/>
        </w:rPr>
        <w:t>Quanto a série de classificações de precedentes normativos, Ricardo Mrad (2010, p. 105) em atendimento as lições da Patrícia Perrone Campos Mello (2012, p. 63 a 66) estabelece as seguintes catalogações dos precedentes normativos, a saber: precedente com eficácia normativa, precedente com eficácia impositiva intermediária, precedentes com eficácia meramente persuasiva.</w:t>
      </w:r>
    </w:p>
    <w:p w:rsidR="00B939D0" w:rsidRPr="003A62BD" w:rsidRDefault="00B939D0" w:rsidP="00B939D0">
      <w:pPr>
        <w:spacing w:after="0" w:line="360" w:lineRule="auto"/>
        <w:ind w:firstLine="1134"/>
        <w:jc w:val="both"/>
        <w:rPr>
          <w:rFonts w:ascii="Times New Roman" w:hAnsi="Times New Roman"/>
          <w:sz w:val="24"/>
          <w:szCs w:val="24"/>
        </w:rPr>
      </w:pPr>
      <w:r w:rsidRPr="003A62BD">
        <w:rPr>
          <w:rFonts w:ascii="Times New Roman" w:hAnsi="Times New Roman"/>
          <w:sz w:val="24"/>
          <w:szCs w:val="24"/>
        </w:rPr>
        <w:t>Os precedentes com eficácia normativa tão comum no sistema jurídico do direito consuetudinário em que se aplica a decisão jurídica aos demais casos análogos, ou seja, a partir de uma norma individual e concreta chega-se a uma norm</w:t>
      </w:r>
      <w:r w:rsidR="00E86CC3">
        <w:rPr>
          <w:rFonts w:ascii="Times New Roman" w:hAnsi="Times New Roman"/>
          <w:sz w:val="24"/>
          <w:szCs w:val="24"/>
        </w:rPr>
        <w:t>a geral e abstrata, entretanto</w:t>
      </w:r>
      <w:r w:rsidRPr="003A62BD">
        <w:rPr>
          <w:rFonts w:ascii="Times New Roman" w:hAnsi="Times New Roman"/>
          <w:sz w:val="24"/>
          <w:szCs w:val="24"/>
        </w:rPr>
        <w:t xml:space="preserve">, esse sistema ainda não tem tanta força no Brasil em razão do primado da lei, como podemos perceber no art. 4º da Lei de Introdução as Normas do Direito Brasileiro: usam-se os costumes na omissão da lei. (MRAD, 2010, p. 105). Ou </w:t>
      </w:r>
      <w:r w:rsidRPr="003A62BD">
        <w:rPr>
          <w:rFonts w:ascii="Times New Roman" w:hAnsi="Times New Roman"/>
          <w:sz w:val="24"/>
          <w:szCs w:val="24"/>
        </w:rPr>
        <w:lastRenderedPageBreak/>
        <w:t>seja, lembra o precedente normativo de Márcio Carpena (2010, p.69) quanto um</w:t>
      </w:r>
      <w:r w:rsidR="007472D3">
        <w:rPr>
          <w:rFonts w:ascii="Times New Roman" w:hAnsi="Times New Roman"/>
          <w:sz w:val="24"/>
          <w:szCs w:val="24"/>
        </w:rPr>
        <w:t>a decisão abstrata e conceitual vinculativa a toda sociedade.</w:t>
      </w:r>
    </w:p>
    <w:p w:rsidR="00B939D0" w:rsidRPr="003A62BD" w:rsidRDefault="00B939D0" w:rsidP="00B939D0">
      <w:pPr>
        <w:spacing w:after="0" w:line="360" w:lineRule="auto"/>
        <w:ind w:firstLine="1134"/>
        <w:jc w:val="both"/>
        <w:rPr>
          <w:rFonts w:ascii="Times New Roman" w:hAnsi="Times New Roman"/>
          <w:sz w:val="24"/>
          <w:szCs w:val="24"/>
        </w:rPr>
      </w:pPr>
      <w:r w:rsidRPr="003A62BD">
        <w:rPr>
          <w:rFonts w:ascii="Times New Roman" w:hAnsi="Times New Roman"/>
          <w:sz w:val="24"/>
          <w:szCs w:val="24"/>
        </w:rPr>
        <w:t xml:space="preserve">Diante dessa definição, </w:t>
      </w:r>
      <w:r w:rsidR="00C3304F">
        <w:rPr>
          <w:rFonts w:ascii="Times New Roman" w:hAnsi="Times New Roman"/>
          <w:sz w:val="24"/>
          <w:szCs w:val="24"/>
        </w:rPr>
        <w:t>menciona-se</w:t>
      </w:r>
      <w:r w:rsidRPr="003A62BD">
        <w:rPr>
          <w:rFonts w:ascii="Times New Roman" w:hAnsi="Times New Roman"/>
          <w:sz w:val="24"/>
          <w:szCs w:val="24"/>
        </w:rPr>
        <w:t xml:space="preserve"> que as decisões de controle de constitucionalidade concreta podem se adequar na definição de precedentes com eficácia normativa, porque a análise do controle de constitucionalidade concreta é abstrata e não ocorre perante a apreciação do caso concreto. Se constata que a referida decisão manifestada pelo STF tem efeitos vinculantes pelo que estabelece o art. 28 da Lei da Ação Declaratória de Inconstitucionalidade e da Ação Direto da Constitucionalidade</w:t>
      </w:r>
      <w:r w:rsidRPr="003A62BD">
        <w:rPr>
          <w:rStyle w:val="Refdenotaderodap"/>
          <w:rFonts w:ascii="Times New Roman" w:hAnsi="Times New Roman"/>
          <w:sz w:val="24"/>
          <w:szCs w:val="24"/>
        </w:rPr>
        <w:footnoteReference w:id="17"/>
      </w:r>
      <w:r w:rsidRPr="003A62BD">
        <w:rPr>
          <w:rFonts w:ascii="Times New Roman" w:hAnsi="Times New Roman"/>
          <w:sz w:val="24"/>
          <w:szCs w:val="24"/>
        </w:rPr>
        <w:t xml:space="preserve"> ( Lei nº 9868/1999) (GOMES DE FILLIPO, 2010, p. 104 )</w:t>
      </w:r>
    </w:p>
    <w:p w:rsidR="00B939D0" w:rsidRPr="003A62BD" w:rsidRDefault="00B939D0" w:rsidP="00B939D0">
      <w:pPr>
        <w:spacing w:after="0" w:line="360" w:lineRule="auto"/>
        <w:ind w:firstLine="1134"/>
        <w:jc w:val="both"/>
        <w:rPr>
          <w:rFonts w:ascii="Times New Roman" w:hAnsi="Times New Roman"/>
          <w:sz w:val="24"/>
          <w:szCs w:val="24"/>
        </w:rPr>
      </w:pPr>
      <w:r w:rsidRPr="003A62BD">
        <w:rPr>
          <w:rFonts w:ascii="Times New Roman" w:hAnsi="Times New Roman"/>
          <w:sz w:val="24"/>
          <w:szCs w:val="24"/>
        </w:rPr>
        <w:t>Além do que a partir da Reclamação Constitucional 1987/DF tem estabelecido as decisões de controle de constitucionalidade concreto que a vinculação da sentença não se efetua perante o dispositivo, mas pela fundamentação da decisão, semelhantemente do que ocorre com o precedente normativo conceitual e abstrato do sistema jurídico do direito anglo-saxão. (GOMES DE FILLIPO, 2010, p. 104)</w:t>
      </w:r>
    </w:p>
    <w:p w:rsidR="00B939D0" w:rsidRPr="003A62BD" w:rsidRDefault="00B939D0" w:rsidP="00B939D0">
      <w:pPr>
        <w:spacing w:after="0" w:line="360" w:lineRule="auto"/>
        <w:ind w:firstLine="1134"/>
        <w:jc w:val="both"/>
        <w:rPr>
          <w:rFonts w:ascii="Times New Roman" w:hAnsi="Times New Roman"/>
          <w:sz w:val="24"/>
          <w:szCs w:val="24"/>
        </w:rPr>
      </w:pPr>
      <w:r w:rsidRPr="003A62BD">
        <w:rPr>
          <w:rFonts w:ascii="Times New Roman" w:hAnsi="Times New Roman"/>
          <w:sz w:val="24"/>
          <w:szCs w:val="24"/>
        </w:rPr>
        <w:t>Os precedentes com eficácia impositiva intermediária não possui força vinculante, sua aplicação não é tão crit</w:t>
      </w:r>
      <w:r w:rsidR="00C3304F">
        <w:rPr>
          <w:rFonts w:ascii="Times New Roman" w:hAnsi="Times New Roman"/>
          <w:sz w:val="24"/>
          <w:szCs w:val="24"/>
        </w:rPr>
        <w:t>icada e a depender das circunstâ</w:t>
      </w:r>
      <w:r w:rsidRPr="003A62BD">
        <w:rPr>
          <w:rFonts w:ascii="Times New Roman" w:hAnsi="Times New Roman"/>
          <w:sz w:val="24"/>
          <w:szCs w:val="24"/>
        </w:rPr>
        <w:t xml:space="preserve">ncias se sujeita à revisão, entre eles temos a jurisprudência própria do sistema jurídico da </w:t>
      </w:r>
      <w:r w:rsidR="007472D3" w:rsidRPr="007472D3">
        <w:rPr>
          <w:rFonts w:ascii="Times New Roman" w:hAnsi="Times New Roman"/>
          <w:i/>
          <w:iCs/>
          <w:sz w:val="24"/>
          <w:szCs w:val="24"/>
        </w:rPr>
        <w:t>civil law</w:t>
      </w:r>
      <w:r w:rsidRPr="003A62BD">
        <w:rPr>
          <w:rFonts w:ascii="Times New Roman" w:hAnsi="Times New Roman"/>
          <w:sz w:val="24"/>
          <w:szCs w:val="24"/>
        </w:rPr>
        <w:t>. (MRAD, 2010, p. 105)</w:t>
      </w:r>
    </w:p>
    <w:p w:rsidR="00B939D0" w:rsidRPr="003A62BD" w:rsidRDefault="00B939D0" w:rsidP="00B939D0">
      <w:pPr>
        <w:spacing w:after="0" w:line="360" w:lineRule="auto"/>
        <w:ind w:firstLine="1134"/>
        <w:jc w:val="both"/>
        <w:rPr>
          <w:rFonts w:ascii="Times New Roman" w:hAnsi="Times New Roman"/>
          <w:sz w:val="24"/>
          <w:szCs w:val="24"/>
        </w:rPr>
      </w:pPr>
      <w:r w:rsidRPr="003A62BD">
        <w:rPr>
          <w:rFonts w:ascii="Times New Roman" w:hAnsi="Times New Roman"/>
          <w:sz w:val="24"/>
          <w:szCs w:val="24"/>
        </w:rPr>
        <w:t>Por último, temos os precedentes com eficácia meramente persuasiva em que os julgados são utilizados para auxiliar no convencimento do magistrado, que irá julgar um caso semelhante, entre elas podemos repensar na citação de jurisprudência nas peças jurídicas a fim de corroborar a tese utilizada pelo advogado. (MRAD, 2010, p. 105)</w:t>
      </w:r>
    </w:p>
    <w:p w:rsidR="00B939D0" w:rsidRDefault="00B939D0" w:rsidP="00B939D0">
      <w:pPr>
        <w:spacing w:after="0" w:line="360" w:lineRule="auto"/>
        <w:ind w:firstLine="1134"/>
        <w:jc w:val="both"/>
        <w:rPr>
          <w:rFonts w:ascii="Times New Roman" w:hAnsi="Times New Roman"/>
          <w:sz w:val="24"/>
          <w:szCs w:val="24"/>
        </w:rPr>
      </w:pPr>
    </w:p>
    <w:p w:rsidR="003433AC" w:rsidRDefault="003433AC" w:rsidP="00B939D0">
      <w:pPr>
        <w:spacing w:after="0" w:line="360" w:lineRule="auto"/>
        <w:ind w:firstLine="1134"/>
        <w:jc w:val="both"/>
        <w:rPr>
          <w:rFonts w:ascii="Times New Roman" w:hAnsi="Times New Roman"/>
          <w:sz w:val="24"/>
          <w:szCs w:val="24"/>
        </w:rPr>
      </w:pPr>
    </w:p>
    <w:p w:rsidR="003433AC" w:rsidRDefault="003433AC" w:rsidP="00B939D0">
      <w:pPr>
        <w:spacing w:after="0" w:line="360" w:lineRule="auto"/>
        <w:ind w:firstLine="1134"/>
        <w:jc w:val="both"/>
        <w:rPr>
          <w:rFonts w:ascii="Times New Roman" w:hAnsi="Times New Roman"/>
          <w:sz w:val="24"/>
          <w:szCs w:val="24"/>
        </w:rPr>
      </w:pPr>
    </w:p>
    <w:p w:rsidR="003433AC" w:rsidRDefault="003433AC" w:rsidP="00B939D0">
      <w:pPr>
        <w:spacing w:after="0" w:line="360" w:lineRule="auto"/>
        <w:ind w:firstLine="1134"/>
        <w:jc w:val="both"/>
        <w:rPr>
          <w:rFonts w:ascii="Times New Roman" w:hAnsi="Times New Roman"/>
          <w:sz w:val="24"/>
          <w:szCs w:val="24"/>
        </w:rPr>
      </w:pPr>
    </w:p>
    <w:p w:rsidR="003433AC" w:rsidRDefault="003433AC" w:rsidP="00B939D0">
      <w:pPr>
        <w:spacing w:after="0" w:line="360" w:lineRule="auto"/>
        <w:ind w:firstLine="1134"/>
        <w:jc w:val="both"/>
        <w:rPr>
          <w:rFonts w:ascii="Times New Roman" w:hAnsi="Times New Roman"/>
          <w:sz w:val="24"/>
          <w:szCs w:val="24"/>
        </w:rPr>
      </w:pPr>
    </w:p>
    <w:p w:rsidR="00C3304F" w:rsidRDefault="00C3304F" w:rsidP="007472D3">
      <w:pPr>
        <w:spacing w:after="0" w:line="360" w:lineRule="auto"/>
        <w:jc w:val="both"/>
        <w:rPr>
          <w:rFonts w:ascii="Times New Roman" w:hAnsi="Times New Roman"/>
          <w:sz w:val="24"/>
          <w:szCs w:val="24"/>
        </w:rPr>
      </w:pPr>
    </w:p>
    <w:p w:rsidR="00B939D0" w:rsidRPr="00B939D0" w:rsidRDefault="00B939D0" w:rsidP="00B939D0">
      <w:pPr>
        <w:spacing w:after="0" w:line="360" w:lineRule="auto"/>
        <w:ind w:firstLine="142"/>
        <w:rPr>
          <w:rFonts w:ascii="Times New Roman" w:hAnsi="Times New Roman"/>
          <w:b/>
          <w:sz w:val="24"/>
          <w:szCs w:val="24"/>
        </w:rPr>
      </w:pPr>
      <w:r w:rsidRPr="00B939D0">
        <w:rPr>
          <w:rFonts w:ascii="Times New Roman" w:hAnsi="Times New Roman"/>
          <w:b/>
          <w:sz w:val="24"/>
          <w:szCs w:val="24"/>
        </w:rPr>
        <w:lastRenderedPageBreak/>
        <w:t>CONSIDERAÇÕES FINAIS</w:t>
      </w:r>
    </w:p>
    <w:p w:rsidR="00B939D0" w:rsidRPr="003A62BD" w:rsidRDefault="00B939D0" w:rsidP="00B939D0">
      <w:pPr>
        <w:spacing w:after="0" w:line="360" w:lineRule="auto"/>
        <w:ind w:firstLine="142"/>
        <w:rPr>
          <w:rFonts w:ascii="Times New Roman" w:hAnsi="Times New Roman"/>
          <w:sz w:val="24"/>
          <w:szCs w:val="24"/>
        </w:rPr>
      </w:pPr>
    </w:p>
    <w:p w:rsidR="00AA3EBB" w:rsidRDefault="007445EB" w:rsidP="00B939D0">
      <w:pPr>
        <w:tabs>
          <w:tab w:val="left" w:pos="851"/>
        </w:tabs>
        <w:spacing w:after="0" w:line="360" w:lineRule="auto"/>
        <w:ind w:firstLine="1134"/>
        <w:jc w:val="both"/>
        <w:rPr>
          <w:rFonts w:ascii="Times New Roman" w:hAnsi="Times New Roman"/>
          <w:sz w:val="24"/>
          <w:szCs w:val="24"/>
        </w:rPr>
      </w:pPr>
      <w:r>
        <w:rPr>
          <w:rFonts w:ascii="Times New Roman" w:hAnsi="Times New Roman"/>
          <w:sz w:val="24"/>
          <w:szCs w:val="24"/>
        </w:rPr>
        <w:t xml:space="preserve">Na evolução e o aperfeiçoamento do sistema jurídico da </w:t>
      </w:r>
      <w:r w:rsidRPr="007445EB">
        <w:rPr>
          <w:rFonts w:ascii="Times New Roman" w:hAnsi="Times New Roman"/>
          <w:i/>
          <w:sz w:val="24"/>
          <w:szCs w:val="24"/>
        </w:rPr>
        <w:t>civil law</w:t>
      </w:r>
      <w:r>
        <w:rPr>
          <w:rFonts w:ascii="Times New Roman" w:hAnsi="Times New Roman"/>
          <w:sz w:val="24"/>
          <w:szCs w:val="24"/>
        </w:rPr>
        <w:t xml:space="preserve"> e da </w:t>
      </w:r>
      <w:r w:rsidRPr="007445EB">
        <w:rPr>
          <w:rFonts w:ascii="Times New Roman" w:hAnsi="Times New Roman"/>
          <w:i/>
          <w:sz w:val="24"/>
          <w:szCs w:val="24"/>
        </w:rPr>
        <w:t>commom law</w:t>
      </w:r>
      <w:r>
        <w:rPr>
          <w:rFonts w:ascii="Times New Roman" w:hAnsi="Times New Roman"/>
          <w:sz w:val="24"/>
          <w:szCs w:val="24"/>
        </w:rPr>
        <w:t xml:space="preserve"> se constatou que as leis e as decisões judiciais são importantes para os aludidos sistemas jurídicos. Demonstra-se que no direito romano canônico não existe negação da decisão judicial como fonte do direito</w:t>
      </w:r>
      <w:r w:rsidR="00F651B5">
        <w:rPr>
          <w:rFonts w:ascii="Times New Roman" w:hAnsi="Times New Roman"/>
          <w:sz w:val="24"/>
          <w:szCs w:val="24"/>
        </w:rPr>
        <w:t>. Ademais que a atuação do Poder Judiciário não representa uma agressão a tripartição clássica dos três poderes, ou seja, não há usurpação da função do Poder Legislativo.</w:t>
      </w:r>
    </w:p>
    <w:p w:rsidR="00F651B5" w:rsidRDefault="00F651B5" w:rsidP="00B939D0">
      <w:pPr>
        <w:tabs>
          <w:tab w:val="left" w:pos="851"/>
        </w:tabs>
        <w:spacing w:after="0" w:line="360" w:lineRule="auto"/>
        <w:ind w:firstLine="1134"/>
        <w:jc w:val="both"/>
        <w:rPr>
          <w:rFonts w:ascii="Times New Roman" w:hAnsi="Times New Roman"/>
          <w:sz w:val="24"/>
          <w:szCs w:val="24"/>
        </w:rPr>
      </w:pPr>
      <w:r>
        <w:rPr>
          <w:rFonts w:ascii="Times New Roman" w:hAnsi="Times New Roman"/>
          <w:sz w:val="24"/>
          <w:szCs w:val="24"/>
        </w:rPr>
        <w:t xml:space="preserve">Diante dessas evidências, é glorioso a demonstração da evolução da sociedade ocidental, que confiou credibilidade perante o Poder Judiciário pela fenomenologia do ativismo judicial frente as necessidades atuais, que não foram </w:t>
      </w:r>
      <w:r w:rsidR="00D74842">
        <w:rPr>
          <w:rFonts w:ascii="Times New Roman" w:hAnsi="Times New Roman"/>
          <w:sz w:val="24"/>
          <w:szCs w:val="24"/>
        </w:rPr>
        <w:t>solucionadas</w:t>
      </w:r>
      <w:r>
        <w:rPr>
          <w:rFonts w:ascii="Times New Roman" w:hAnsi="Times New Roman"/>
          <w:sz w:val="24"/>
          <w:szCs w:val="24"/>
        </w:rPr>
        <w:t xml:space="preserve"> pelos demais poderes.</w:t>
      </w:r>
    </w:p>
    <w:p w:rsidR="00F651B5" w:rsidRDefault="00F651B5" w:rsidP="00B939D0">
      <w:pPr>
        <w:tabs>
          <w:tab w:val="left" w:pos="851"/>
        </w:tabs>
        <w:spacing w:after="0" w:line="360" w:lineRule="auto"/>
        <w:ind w:firstLine="1134"/>
        <w:jc w:val="both"/>
        <w:rPr>
          <w:rFonts w:ascii="Times New Roman" w:hAnsi="Times New Roman"/>
          <w:sz w:val="24"/>
          <w:szCs w:val="24"/>
        </w:rPr>
      </w:pPr>
      <w:r>
        <w:rPr>
          <w:rFonts w:ascii="Times New Roman" w:hAnsi="Times New Roman"/>
          <w:sz w:val="24"/>
          <w:szCs w:val="24"/>
        </w:rPr>
        <w:t xml:space="preserve">Quanto </w:t>
      </w:r>
      <w:r w:rsidR="00D74842">
        <w:rPr>
          <w:rFonts w:ascii="Times New Roman" w:hAnsi="Times New Roman"/>
          <w:sz w:val="24"/>
          <w:szCs w:val="24"/>
        </w:rPr>
        <w:t>às</w:t>
      </w:r>
      <w:r>
        <w:rPr>
          <w:rFonts w:ascii="Times New Roman" w:hAnsi="Times New Roman"/>
          <w:sz w:val="24"/>
          <w:szCs w:val="24"/>
        </w:rPr>
        <w:t xml:space="preserve"> estruturas </w:t>
      </w:r>
      <w:r w:rsidR="00D74842">
        <w:rPr>
          <w:rFonts w:ascii="Times New Roman" w:hAnsi="Times New Roman"/>
          <w:sz w:val="24"/>
          <w:szCs w:val="24"/>
        </w:rPr>
        <w:t xml:space="preserve">das decisões judiciais do direito consuetudinário anglo-saxão e o direito romano canônico se percebe que esses sistemas jurídicos apresentam problemas, mas a confiança na estabilidade e certeza das relações jurídicas tem permitido aos estudiosos no direito uma atenção especial na fundamentação da sentença. No sistema jurídico da </w:t>
      </w:r>
      <w:r w:rsidR="00D74842" w:rsidRPr="00D74842">
        <w:rPr>
          <w:rFonts w:ascii="Times New Roman" w:hAnsi="Times New Roman"/>
          <w:i/>
          <w:sz w:val="24"/>
          <w:szCs w:val="24"/>
        </w:rPr>
        <w:t>commom law</w:t>
      </w:r>
      <w:r w:rsidR="00D74842">
        <w:rPr>
          <w:rFonts w:ascii="Times New Roman" w:hAnsi="Times New Roman"/>
          <w:sz w:val="24"/>
          <w:szCs w:val="24"/>
        </w:rPr>
        <w:t xml:space="preserve">, a fundamentação da decisão judicial é o sustentáculo do precedente enquanto no sistema jurídico da </w:t>
      </w:r>
      <w:r w:rsidR="00D74842" w:rsidRPr="00D74842">
        <w:rPr>
          <w:rFonts w:ascii="Times New Roman" w:hAnsi="Times New Roman"/>
          <w:i/>
          <w:sz w:val="24"/>
          <w:szCs w:val="24"/>
        </w:rPr>
        <w:t>civil law</w:t>
      </w:r>
      <w:r w:rsidR="00D74842">
        <w:rPr>
          <w:rFonts w:ascii="Times New Roman" w:hAnsi="Times New Roman"/>
          <w:sz w:val="24"/>
          <w:szCs w:val="24"/>
        </w:rPr>
        <w:t xml:space="preserve"> pelo fato de ser um dos orientadores ao dispositivo da sentença ou do acórdão.</w:t>
      </w:r>
    </w:p>
    <w:p w:rsidR="00D74842" w:rsidRDefault="00D74842" w:rsidP="00B939D0">
      <w:pPr>
        <w:tabs>
          <w:tab w:val="left" w:pos="851"/>
        </w:tabs>
        <w:spacing w:after="0" w:line="360" w:lineRule="auto"/>
        <w:ind w:firstLine="1134"/>
        <w:jc w:val="both"/>
        <w:rPr>
          <w:rFonts w:ascii="Times New Roman" w:hAnsi="Times New Roman" w:cs="Times New Roman"/>
          <w:sz w:val="24"/>
          <w:szCs w:val="24"/>
        </w:rPr>
      </w:pPr>
      <w:r>
        <w:rPr>
          <w:rFonts w:ascii="Times New Roman" w:hAnsi="Times New Roman"/>
          <w:sz w:val="24"/>
          <w:szCs w:val="24"/>
        </w:rPr>
        <w:t xml:space="preserve">Portanto, se constata que os doutrinadores e demais estudiosos do direito tem se rendido ao sistema jurídico da </w:t>
      </w:r>
      <w:r w:rsidRPr="00D74842">
        <w:rPr>
          <w:rFonts w:ascii="Times New Roman" w:hAnsi="Times New Roman"/>
          <w:i/>
          <w:sz w:val="24"/>
          <w:szCs w:val="24"/>
        </w:rPr>
        <w:t>commom law</w:t>
      </w:r>
      <w:r>
        <w:rPr>
          <w:rFonts w:ascii="Times New Roman" w:hAnsi="Times New Roman"/>
          <w:sz w:val="24"/>
          <w:szCs w:val="24"/>
        </w:rPr>
        <w:t xml:space="preserve"> em face da preocupação pela estabilidade das relações jur</w:t>
      </w:r>
      <w:r w:rsidR="00E06329">
        <w:rPr>
          <w:rFonts w:ascii="Times New Roman" w:hAnsi="Times New Roman"/>
          <w:sz w:val="24"/>
          <w:szCs w:val="24"/>
        </w:rPr>
        <w:t>ídicas</w:t>
      </w:r>
      <w:r>
        <w:rPr>
          <w:rFonts w:ascii="Times New Roman" w:hAnsi="Times New Roman"/>
          <w:sz w:val="24"/>
          <w:szCs w:val="24"/>
        </w:rPr>
        <w:t xml:space="preserve"> que esse sistema jurídico pode oferecer aos países do direito romano canônico.</w:t>
      </w:r>
    </w:p>
    <w:p w:rsidR="00AA3EBB" w:rsidRDefault="00AA3EBB" w:rsidP="00B939D0">
      <w:pPr>
        <w:tabs>
          <w:tab w:val="left" w:pos="851"/>
        </w:tabs>
        <w:spacing w:after="0" w:line="360" w:lineRule="auto"/>
        <w:ind w:firstLine="1134"/>
        <w:jc w:val="both"/>
        <w:rPr>
          <w:rFonts w:ascii="Times New Roman" w:hAnsi="Times New Roman" w:cs="Times New Roman"/>
          <w:sz w:val="24"/>
          <w:szCs w:val="24"/>
        </w:rPr>
      </w:pPr>
    </w:p>
    <w:p w:rsidR="0021729A" w:rsidRDefault="0021729A" w:rsidP="00B939D0">
      <w:pPr>
        <w:tabs>
          <w:tab w:val="left" w:pos="851"/>
        </w:tabs>
        <w:spacing w:after="0" w:line="360" w:lineRule="auto"/>
        <w:ind w:firstLine="1134"/>
        <w:jc w:val="both"/>
        <w:rPr>
          <w:rFonts w:ascii="Times New Roman" w:hAnsi="Times New Roman" w:cs="Times New Roman"/>
          <w:sz w:val="24"/>
          <w:szCs w:val="24"/>
        </w:rPr>
      </w:pPr>
    </w:p>
    <w:p w:rsidR="0021729A" w:rsidRDefault="0021729A" w:rsidP="00B939D0">
      <w:pPr>
        <w:tabs>
          <w:tab w:val="left" w:pos="851"/>
        </w:tabs>
        <w:spacing w:after="0" w:line="360" w:lineRule="auto"/>
        <w:ind w:firstLine="1134"/>
        <w:jc w:val="both"/>
        <w:rPr>
          <w:rFonts w:ascii="Times New Roman" w:hAnsi="Times New Roman" w:cs="Times New Roman"/>
          <w:sz w:val="24"/>
          <w:szCs w:val="24"/>
        </w:rPr>
      </w:pPr>
    </w:p>
    <w:p w:rsidR="0021729A" w:rsidRDefault="0021729A" w:rsidP="00B939D0">
      <w:pPr>
        <w:tabs>
          <w:tab w:val="left" w:pos="851"/>
        </w:tabs>
        <w:spacing w:after="0" w:line="360" w:lineRule="auto"/>
        <w:ind w:firstLine="1134"/>
        <w:jc w:val="both"/>
        <w:rPr>
          <w:rFonts w:ascii="Times New Roman" w:hAnsi="Times New Roman" w:cs="Times New Roman"/>
          <w:sz w:val="24"/>
          <w:szCs w:val="24"/>
        </w:rPr>
      </w:pPr>
    </w:p>
    <w:p w:rsidR="0021729A" w:rsidRDefault="0021729A" w:rsidP="00B939D0">
      <w:pPr>
        <w:tabs>
          <w:tab w:val="left" w:pos="851"/>
        </w:tabs>
        <w:spacing w:after="0" w:line="360" w:lineRule="auto"/>
        <w:ind w:firstLine="1134"/>
        <w:jc w:val="both"/>
        <w:rPr>
          <w:rFonts w:ascii="Times New Roman" w:hAnsi="Times New Roman" w:cs="Times New Roman"/>
          <w:sz w:val="24"/>
          <w:szCs w:val="24"/>
        </w:rPr>
      </w:pPr>
    </w:p>
    <w:p w:rsidR="003433AC" w:rsidRDefault="003433AC" w:rsidP="00B939D0">
      <w:pPr>
        <w:tabs>
          <w:tab w:val="left" w:pos="851"/>
        </w:tabs>
        <w:spacing w:after="0" w:line="360" w:lineRule="auto"/>
        <w:ind w:firstLine="1134"/>
        <w:jc w:val="both"/>
        <w:rPr>
          <w:rFonts w:ascii="Times New Roman" w:hAnsi="Times New Roman" w:cs="Times New Roman"/>
          <w:sz w:val="24"/>
          <w:szCs w:val="24"/>
        </w:rPr>
      </w:pPr>
    </w:p>
    <w:p w:rsidR="003433AC" w:rsidRDefault="003433AC" w:rsidP="00B939D0">
      <w:pPr>
        <w:tabs>
          <w:tab w:val="left" w:pos="851"/>
        </w:tabs>
        <w:spacing w:after="0" w:line="360" w:lineRule="auto"/>
        <w:ind w:firstLine="1134"/>
        <w:jc w:val="both"/>
        <w:rPr>
          <w:rFonts w:ascii="Times New Roman" w:hAnsi="Times New Roman" w:cs="Times New Roman"/>
          <w:sz w:val="24"/>
          <w:szCs w:val="24"/>
        </w:rPr>
      </w:pPr>
    </w:p>
    <w:p w:rsidR="003433AC" w:rsidRDefault="003433AC" w:rsidP="00B939D0">
      <w:pPr>
        <w:tabs>
          <w:tab w:val="left" w:pos="851"/>
        </w:tabs>
        <w:spacing w:after="0" w:line="360" w:lineRule="auto"/>
        <w:ind w:firstLine="1134"/>
        <w:jc w:val="both"/>
        <w:rPr>
          <w:rFonts w:ascii="Times New Roman" w:hAnsi="Times New Roman" w:cs="Times New Roman"/>
          <w:sz w:val="24"/>
          <w:szCs w:val="24"/>
        </w:rPr>
      </w:pPr>
    </w:p>
    <w:p w:rsidR="003433AC" w:rsidRDefault="003433AC" w:rsidP="00B939D0">
      <w:pPr>
        <w:tabs>
          <w:tab w:val="left" w:pos="851"/>
        </w:tabs>
        <w:spacing w:after="0" w:line="360" w:lineRule="auto"/>
        <w:ind w:firstLine="1134"/>
        <w:jc w:val="both"/>
        <w:rPr>
          <w:rFonts w:ascii="Times New Roman" w:hAnsi="Times New Roman" w:cs="Times New Roman"/>
          <w:sz w:val="24"/>
          <w:szCs w:val="24"/>
        </w:rPr>
      </w:pPr>
    </w:p>
    <w:p w:rsidR="003433AC" w:rsidRDefault="003433AC" w:rsidP="00B939D0">
      <w:pPr>
        <w:tabs>
          <w:tab w:val="left" w:pos="851"/>
        </w:tabs>
        <w:spacing w:after="0" w:line="360" w:lineRule="auto"/>
        <w:ind w:firstLine="1134"/>
        <w:jc w:val="both"/>
        <w:rPr>
          <w:rFonts w:ascii="Times New Roman" w:hAnsi="Times New Roman" w:cs="Times New Roman"/>
          <w:sz w:val="24"/>
          <w:szCs w:val="24"/>
        </w:rPr>
      </w:pPr>
    </w:p>
    <w:p w:rsidR="0021729A" w:rsidRDefault="0021729A" w:rsidP="00D74842">
      <w:pPr>
        <w:tabs>
          <w:tab w:val="left" w:pos="851"/>
        </w:tabs>
        <w:spacing w:after="0" w:line="360" w:lineRule="auto"/>
        <w:jc w:val="both"/>
        <w:rPr>
          <w:rFonts w:ascii="Times New Roman" w:hAnsi="Times New Roman" w:cs="Times New Roman"/>
          <w:sz w:val="24"/>
          <w:szCs w:val="24"/>
        </w:rPr>
      </w:pPr>
    </w:p>
    <w:p w:rsidR="00AA3EBB" w:rsidRPr="00AA3EBB" w:rsidRDefault="00AA3EBB" w:rsidP="00AA3EBB">
      <w:pPr>
        <w:tabs>
          <w:tab w:val="left" w:pos="851"/>
        </w:tabs>
        <w:spacing w:after="0" w:line="360" w:lineRule="auto"/>
        <w:jc w:val="both"/>
        <w:rPr>
          <w:rFonts w:ascii="Times New Roman" w:hAnsi="Times New Roman" w:cs="Times New Roman"/>
          <w:b/>
          <w:sz w:val="24"/>
          <w:szCs w:val="24"/>
        </w:rPr>
      </w:pPr>
      <w:r w:rsidRPr="00AA3EBB">
        <w:rPr>
          <w:rFonts w:ascii="Times New Roman" w:hAnsi="Times New Roman" w:cs="Times New Roman"/>
          <w:b/>
          <w:sz w:val="24"/>
          <w:szCs w:val="24"/>
        </w:rPr>
        <w:lastRenderedPageBreak/>
        <w:t>REFERÊNCIAS</w:t>
      </w:r>
    </w:p>
    <w:p w:rsidR="00DB6AD7" w:rsidRDefault="00DB6AD7" w:rsidP="00E921C0">
      <w:pPr>
        <w:spacing w:after="0" w:line="360" w:lineRule="auto"/>
        <w:jc w:val="both"/>
        <w:rPr>
          <w:rFonts w:ascii="Times New Roman" w:hAnsi="Times New Roman"/>
          <w:sz w:val="24"/>
          <w:szCs w:val="24"/>
        </w:rPr>
      </w:pPr>
    </w:p>
    <w:p w:rsidR="00E921C0" w:rsidRDefault="00E921C0" w:rsidP="00E06329">
      <w:pPr>
        <w:pStyle w:val="NormalWeb"/>
        <w:spacing w:before="0" w:beforeAutospacing="0" w:after="0" w:afterAutospacing="0" w:line="360" w:lineRule="auto"/>
        <w:ind w:firstLine="709"/>
      </w:pPr>
      <w:r>
        <w:t>BARROSO, Luis Roberto</w:t>
      </w:r>
      <w:r w:rsidRPr="00DB6AD7">
        <w:rPr>
          <w:b/>
        </w:rPr>
        <w:t>. O CONTROLE DE CONSTITUCIONALIDADE NO DIREITO BRASILEIRO</w:t>
      </w:r>
      <w:r>
        <w:t>. 4ªed. São Paulo: Saraiva, 2009</w:t>
      </w:r>
    </w:p>
    <w:p w:rsidR="00DB6AD7" w:rsidRPr="00FD6C55" w:rsidRDefault="00DB6AD7" w:rsidP="00E06329">
      <w:pPr>
        <w:spacing w:after="0" w:line="360" w:lineRule="auto"/>
        <w:rPr>
          <w:rFonts w:ascii="Times New Roman" w:hAnsi="Times New Roman"/>
          <w:sz w:val="24"/>
          <w:szCs w:val="24"/>
        </w:rPr>
      </w:pPr>
    </w:p>
    <w:p w:rsidR="00ED6C43" w:rsidRDefault="00ED6C43" w:rsidP="00E06329">
      <w:pPr>
        <w:spacing w:after="0" w:line="360" w:lineRule="auto"/>
        <w:ind w:firstLine="708"/>
        <w:rPr>
          <w:rFonts w:ascii="Times New Roman" w:hAnsi="Times New Roman"/>
          <w:sz w:val="24"/>
          <w:szCs w:val="24"/>
        </w:rPr>
      </w:pPr>
      <w:r w:rsidRPr="00FD6C55">
        <w:rPr>
          <w:rFonts w:ascii="Times New Roman" w:hAnsi="Times New Roman"/>
          <w:sz w:val="24"/>
          <w:szCs w:val="24"/>
        </w:rPr>
        <w:t xml:space="preserve">FERRAZ JÚNIOR, Tércio Sampaio. </w:t>
      </w:r>
      <w:r w:rsidRPr="00FD6C55">
        <w:rPr>
          <w:rFonts w:ascii="Times New Roman" w:hAnsi="Times New Roman"/>
          <w:b/>
          <w:sz w:val="24"/>
          <w:szCs w:val="24"/>
        </w:rPr>
        <w:t>Introdução ao Estudo do Direito : técnica, decisão e dominação</w:t>
      </w:r>
      <w:r w:rsidRPr="00FD6C55">
        <w:rPr>
          <w:rFonts w:ascii="Times New Roman" w:hAnsi="Times New Roman"/>
          <w:sz w:val="24"/>
          <w:szCs w:val="24"/>
        </w:rPr>
        <w:t>. 3ªed. São Paulo: Atlas, 2001.</w:t>
      </w:r>
    </w:p>
    <w:p w:rsidR="00ED6C43" w:rsidRDefault="00ED6C43" w:rsidP="00E06329">
      <w:pPr>
        <w:spacing w:after="0" w:line="360" w:lineRule="auto"/>
        <w:ind w:firstLine="708"/>
        <w:rPr>
          <w:rFonts w:ascii="Times New Roman" w:hAnsi="Times New Roman"/>
          <w:sz w:val="24"/>
          <w:szCs w:val="24"/>
        </w:rPr>
      </w:pPr>
    </w:p>
    <w:p w:rsidR="00ED6C43" w:rsidRDefault="00ED6C43" w:rsidP="00E06329">
      <w:pPr>
        <w:spacing w:after="0" w:line="360" w:lineRule="auto"/>
        <w:ind w:firstLine="708"/>
        <w:rPr>
          <w:rFonts w:ascii="Times New Roman" w:hAnsi="Times New Roman"/>
          <w:sz w:val="24"/>
          <w:szCs w:val="24"/>
        </w:rPr>
      </w:pPr>
      <w:r>
        <w:rPr>
          <w:rFonts w:ascii="Times New Roman" w:hAnsi="Times New Roman"/>
          <w:sz w:val="24"/>
          <w:szCs w:val="24"/>
        </w:rPr>
        <w:t xml:space="preserve">GOMES DE FILLIPO, Thiago Baldani. </w:t>
      </w:r>
      <w:r w:rsidRPr="00F8391B">
        <w:rPr>
          <w:rFonts w:ascii="Times New Roman" w:hAnsi="Times New Roman"/>
          <w:b/>
          <w:sz w:val="24"/>
          <w:szCs w:val="24"/>
        </w:rPr>
        <w:t>Do Constitucionalismo ao Neoconstitucionalismo: a necessidade de um sistema brasileiro de precedentes vinculantes</w:t>
      </w:r>
      <w:r>
        <w:rPr>
          <w:rFonts w:ascii="Times New Roman" w:hAnsi="Times New Roman"/>
          <w:sz w:val="24"/>
          <w:szCs w:val="24"/>
        </w:rPr>
        <w:t>. 2010. Dissertação (Mestrado em Direito) – Universidade Estadual do Norte do Paraná – UENP. Faculdade Estadual de Direito do Norte Pioneiro. Jacarezinho –PR. Disponível em</w:t>
      </w:r>
      <w:r w:rsidRPr="00227FB3">
        <w:rPr>
          <w:rFonts w:ascii="Times New Roman" w:hAnsi="Times New Roman"/>
          <w:sz w:val="24"/>
          <w:szCs w:val="24"/>
        </w:rPr>
        <w:t>:</w:t>
      </w:r>
      <w:hyperlink r:id="rId7" w:history="1">
        <w:r w:rsidRPr="00227FB3">
          <w:rPr>
            <w:rStyle w:val="Hyperlink"/>
            <w:rFonts w:ascii="Times New Roman" w:hAnsi="Times New Roman"/>
            <w:color w:val="auto"/>
            <w:sz w:val="24"/>
            <w:szCs w:val="24"/>
          </w:rPr>
          <w:t>www.google.com</w:t>
        </w:r>
      </w:hyperlink>
      <w:r w:rsidRPr="00227FB3">
        <w:rPr>
          <w:rFonts w:ascii="Times New Roman" w:hAnsi="Times New Roman"/>
          <w:sz w:val="24"/>
          <w:szCs w:val="24"/>
        </w:rPr>
        <w:t xml:space="preserve"> Acesso</w:t>
      </w:r>
      <w:r>
        <w:rPr>
          <w:rFonts w:ascii="Times New Roman" w:hAnsi="Times New Roman"/>
          <w:sz w:val="24"/>
          <w:szCs w:val="24"/>
        </w:rPr>
        <w:t xml:space="preserve"> em 05 de abril de 2013</w:t>
      </w:r>
    </w:p>
    <w:p w:rsidR="00ED6C43" w:rsidRDefault="00ED6C43" w:rsidP="00E06329">
      <w:pPr>
        <w:spacing w:after="0" w:line="360" w:lineRule="auto"/>
        <w:ind w:firstLine="708"/>
        <w:rPr>
          <w:rFonts w:ascii="Times New Roman" w:hAnsi="Times New Roman"/>
          <w:sz w:val="24"/>
          <w:szCs w:val="24"/>
        </w:rPr>
      </w:pPr>
    </w:p>
    <w:p w:rsidR="00E921C0" w:rsidRDefault="00E921C0" w:rsidP="00E06329">
      <w:pPr>
        <w:pStyle w:val="NormalWeb"/>
        <w:spacing w:before="0" w:beforeAutospacing="0" w:after="0" w:afterAutospacing="0" w:line="360" w:lineRule="auto"/>
        <w:ind w:firstLine="709"/>
      </w:pPr>
      <w:r>
        <w:t xml:space="preserve">GUIMARÃES JÚNIOR, José Luiz. </w:t>
      </w:r>
      <w:r w:rsidRPr="00DB6AD7">
        <w:rPr>
          <w:b/>
        </w:rPr>
        <w:t>Repercussão Geral</w:t>
      </w:r>
      <w:r>
        <w:t xml:space="preserve">. 2008. Dissertação (Mestrado em Direito) – Pontifícia Universidade Católica de São Paulo, São Paulo – São Paulo. Disponível em: &lt;www.academicoo.com&gt;. Acesso em: 15 de julho de 2012 </w:t>
      </w:r>
    </w:p>
    <w:p w:rsidR="00E921C0" w:rsidRPr="00FD6C55" w:rsidRDefault="00E921C0" w:rsidP="00E06329">
      <w:pPr>
        <w:spacing w:after="0" w:line="360" w:lineRule="auto"/>
        <w:rPr>
          <w:rFonts w:ascii="Times New Roman" w:hAnsi="Times New Roman"/>
          <w:sz w:val="24"/>
          <w:szCs w:val="24"/>
        </w:rPr>
      </w:pPr>
    </w:p>
    <w:p w:rsidR="00ED6C43" w:rsidRDefault="00ED6C43" w:rsidP="00E06329">
      <w:pPr>
        <w:spacing w:after="0" w:line="360" w:lineRule="auto"/>
        <w:ind w:firstLine="708"/>
        <w:rPr>
          <w:rFonts w:ascii="Times New Roman" w:hAnsi="Times New Roman"/>
          <w:sz w:val="24"/>
          <w:szCs w:val="24"/>
        </w:rPr>
      </w:pPr>
      <w:r w:rsidRPr="00FD6C55">
        <w:rPr>
          <w:rFonts w:ascii="Times New Roman" w:hAnsi="Times New Roman"/>
          <w:sz w:val="24"/>
          <w:szCs w:val="24"/>
        </w:rPr>
        <w:t>GUSMÃO, Paulo Dourado de</w:t>
      </w:r>
      <w:r w:rsidRPr="00FD6C55">
        <w:rPr>
          <w:rFonts w:ascii="Times New Roman" w:hAnsi="Times New Roman"/>
          <w:b/>
          <w:sz w:val="24"/>
          <w:szCs w:val="24"/>
        </w:rPr>
        <w:t>. Introdução ao Estudo do Direito</w:t>
      </w:r>
      <w:r w:rsidRPr="00FD6C55">
        <w:rPr>
          <w:rFonts w:ascii="Times New Roman" w:hAnsi="Times New Roman"/>
          <w:sz w:val="24"/>
          <w:szCs w:val="24"/>
        </w:rPr>
        <w:t>. 45ªed. Rio de Janeiro: Ed. Forense, 2012.</w:t>
      </w:r>
    </w:p>
    <w:p w:rsidR="00ED6C43" w:rsidRPr="00FD6C55" w:rsidRDefault="00ED6C43" w:rsidP="00E06329">
      <w:pPr>
        <w:spacing w:after="0" w:line="360" w:lineRule="auto"/>
        <w:rPr>
          <w:rFonts w:ascii="Times New Roman" w:hAnsi="Times New Roman"/>
          <w:sz w:val="24"/>
          <w:szCs w:val="24"/>
        </w:rPr>
      </w:pPr>
    </w:p>
    <w:p w:rsidR="00ED6C43" w:rsidRDefault="00ED6C43" w:rsidP="00E06329">
      <w:pPr>
        <w:spacing w:after="0" w:line="360" w:lineRule="auto"/>
        <w:ind w:firstLine="708"/>
        <w:rPr>
          <w:rFonts w:ascii="Times New Roman" w:hAnsi="Times New Roman"/>
          <w:sz w:val="24"/>
          <w:szCs w:val="24"/>
        </w:rPr>
      </w:pPr>
      <w:r w:rsidRPr="00FD6C55">
        <w:rPr>
          <w:rFonts w:ascii="Times New Roman" w:hAnsi="Times New Roman"/>
          <w:sz w:val="24"/>
          <w:szCs w:val="24"/>
        </w:rPr>
        <w:t xml:space="preserve">MARINONI, Luiz Guilherme. </w:t>
      </w:r>
      <w:r w:rsidRPr="00FD6C55">
        <w:rPr>
          <w:rFonts w:ascii="Times New Roman" w:hAnsi="Times New Roman"/>
          <w:b/>
          <w:sz w:val="24"/>
          <w:szCs w:val="24"/>
        </w:rPr>
        <w:t>PRECEDENTES OBRIGATÓRIOS</w:t>
      </w:r>
      <w:r w:rsidRPr="00FD6C55">
        <w:rPr>
          <w:rFonts w:ascii="Times New Roman" w:hAnsi="Times New Roman"/>
          <w:sz w:val="24"/>
          <w:szCs w:val="24"/>
        </w:rPr>
        <w:t>. 2ª ed. São Paulo: Revista dos Tribunais, 2011.</w:t>
      </w:r>
    </w:p>
    <w:p w:rsidR="00ED6C43" w:rsidRDefault="00ED6C43" w:rsidP="00E06329">
      <w:pPr>
        <w:spacing w:after="0" w:line="360" w:lineRule="auto"/>
        <w:ind w:firstLine="708"/>
        <w:rPr>
          <w:rFonts w:ascii="Times New Roman" w:hAnsi="Times New Roman"/>
          <w:sz w:val="24"/>
          <w:szCs w:val="24"/>
        </w:rPr>
      </w:pPr>
    </w:p>
    <w:p w:rsidR="00ED6C43" w:rsidRDefault="00ED6C43" w:rsidP="00E06329">
      <w:pPr>
        <w:spacing w:after="0" w:line="360" w:lineRule="auto"/>
        <w:ind w:firstLine="708"/>
        <w:rPr>
          <w:rFonts w:ascii="Times New Roman" w:hAnsi="Times New Roman"/>
          <w:sz w:val="24"/>
          <w:szCs w:val="24"/>
        </w:rPr>
      </w:pPr>
      <w:r>
        <w:rPr>
          <w:rFonts w:ascii="Times New Roman" w:hAnsi="Times New Roman"/>
          <w:sz w:val="24"/>
          <w:szCs w:val="24"/>
        </w:rPr>
        <w:t xml:space="preserve">MELLO, Patrícia Perrone Campos. </w:t>
      </w:r>
      <w:r w:rsidRPr="001409CE">
        <w:rPr>
          <w:rFonts w:ascii="Times New Roman" w:hAnsi="Times New Roman"/>
          <w:b/>
          <w:sz w:val="24"/>
          <w:szCs w:val="24"/>
        </w:rPr>
        <w:t>O desenvolvimento judicial do direito no constitucionalismo contemporâneo</w:t>
      </w:r>
      <w:r>
        <w:rPr>
          <w:rFonts w:ascii="Times New Roman" w:hAnsi="Times New Roman"/>
          <w:sz w:val="24"/>
          <w:szCs w:val="24"/>
        </w:rPr>
        <w:t>. Rio de Janeiro: Renovar, 2008</w:t>
      </w:r>
    </w:p>
    <w:p w:rsidR="00ED6C43" w:rsidRDefault="00ED6C43" w:rsidP="00E06329">
      <w:pPr>
        <w:spacing w:after="0" w:line="360" w:lineRule="auto"/>
        <w:ind w:firstLine="708"/>
        <w:rPr>
          <w:rFonts w:ascii="Times New Roman" w:hAnsi="Times New Roman"/>
          <w:sz w:val="24"/>
          <w:szCs w:val="24"/>
        </w:rPr>
      </w:pPr>
    </w:p>
    <w:p w:rsidR="00E921C0" w:rsidRDefault="00E921C0" w:rsidP="00E06329">
      <w:pPr>
        <w:pStyle w:val="NormalWeb"/>
        <w:spacing w:before="0" w:beforeAutospacing="0" w:after="0" w:afterAutospacing="0" w:line="360" w:lineRule="auto"/>
        <w:ind w:firstLine="709"/>
      </w:pPr>
      <w:r>
        <w:t xml:space="preserve">SAULSEN, Dalton. </w:t>
      </w:r>
      <w:r w:rsidRPr="00DB6AD7">
        <w:rPr>
          <w:b/>
        </w:rPr>
        <w:t>A repercussão geral no recurso extaordinário: perspectiva hermenêutica</w:t>
      </w:r>
      <w:r>
        <w:t xml:space="preserve">. Porto Alegre: Dom Quixote, 2007 </w:t>
      </w:r>
    </w:p>
    <w:p w:rsidR="00ED6C43" w:rsidRDefault="00ED6C43" w:rsidP="00E06329">
      <w:pPr>
        <w:spacing w:after="0" w:line="360" w:lineRule="auto"/>
        <w:ind w:firstLine="708"/>
        <w:rPr>
          <w:rFonts w:ascii="Times New Roman" w:hAnsi="Times New Roman"/>
          <w:sz w:val="24"/>
          <w:szCs w:val="24"/>
        </w:rPr>
      </w:pPr>
    </w:p>
    <w:p w:rsidR="00ED6C43" w:rsidRDefault="00ED6C43" w:rsidP="00E06329">
      <w:pPr>
        <w:spacing w:after="0" w:line="360" w:lineRule="auto"/>
        <w:ind w:firstLine="708"/>
        <w:rPr>
          <w:rFonts w:ascii="Times New Roman" w:hAnsi="Times New Roman"/>
          <w:sz w:val="24"/>
          <w:szCs w:val="24"/>
        </w:rPr>
      </w:pPr>
      <w:r w:rsidRPr="00FD6C55">
        <w:rPr>
          <w:rFonts w:ascii="Times New Roman" w:hAnsi="Times New Roman"/>
          <w:sz w:val="24"/>
          <w:szCs w:val="24"/>
        </w:rPr>
        <w:t xml:space="preserve">WAMBIER, Teresa Arruda Alvim; ALVIM, Arruda. </w:t>
      </w:r>
      <w:r w:rsidRPr="00FD6C55">
        <w:rPr>
          <w:rFonts w:ascii="Times New Roman" w:hAnsi="Times New Roman"/>
          <w:b/>
          <w:sz w:val="24"/>
          <w:szCs w:val="24"/>
        </w:rPr>
        <w:t>REVISTA DE PROCESSO</w:t>
      </w:r>
      <w:r>
        <w:rPr>
          <w:rFonts w:ascii="Times New Roman" w:hAnsi="Times New Roman"/>
          <w:sz w:val="24"/>
          <w:szCs w:val="24"/>
        </w:rPr>
        <w:t>. Ano 35, nº 189, nov/2010</w:t>
      </w:r>
      <w:r w:rsidRPr="00FD6C55">
        <w:rPr>
          <w:rFonts w:ascii="Times New Roman" w:hAnsi="Times New Roman"/>
          <w:sz w:val="24"/>
          <w:szCs w:val="24"/>
        </w:rPr>
        <w:t>. São Pa</w:t>
      </w:r>
      <w:r>
        <w:rPr>
          <w:rFonts w:ascii="Times New Roman" w:hAnsi="Times New Roman"/>
          <w:sz w:val="24"/>
          <w:szCs w:val="24"/>
        </w:rPr>
        <w:t>ulo: Revista dos Tribunais, 2010</w:t>
      </w:r>
      <w:r w:rsidRPr="00FD6C55">
        <w:rPr>
          <w:rFonts w:ascii="Times New Roman" w:hAnsi="Times New Roman"/>
          <w:sz w:val="24"/>
          <w:szCs w:val="24"/>
        </w:rPr>
        <w:t xml:space="preserve"> </w:t>
      </w:r>
      <w:r>
        <w:rPr>
          <w:rFonts w:ascii="Times New Roman" w:hAnsi="Times New Roman"/>
          <w:sz w:val="24"/>
          <w:szCs w:val="24"/>
        </w:rPr>
        <w:t>–</w:t>
      </w:r>
      <w:r w:rsidRPr="00FD6C55">
        <w:rPr>
          <w:rFonts w:ascii="Times New Roman" w:hAnsi="Times New Roman"/>
          <w:sz w:val="24"/>
          <w:szCs w:val="24"/>
        </w:rPr>
        <w:t xml:space="preserve"> </w:t>
      </w:r>
      <w:r>
        <w:rPr>
          <w:rFonts w:ascii="Times New Roman" w:hAnsi="Times New Roman"/>
          <w:sz w:val="24"/>
          <w:szCs w:val="24"/>
        </w:rPr>
        <w:t xml:space="preserve">Breves considerações sobre a politização do Judiciário e sobre o panorama de aplicação no direito brasileiro – Análise da convergência entre o </w:t>
      </w:r>
      <w:r w:rsidRPr="00F8391B">
        <w:rPr>
          <w:rFonts w:ascii="Times New Roman" w:hAnsi="Times New Roman"/>
          <w:i/>
          <w:sz w:val="24"/>
          <w:szCs w:val="24"/>
        </w:rPr>
        <w:t>civil law</w:t>
      </w:r>
      <w:r>
        <w:rPr>
          <w:rFonts w:ascii="Times New Roman" w:hAnsi="Times New Roman"/>
          <w:sz w:val="24"/>
          <w:szCs w:val="24"/>
        </w:rPr>
        <w:t xml:space="preserve"> e o </w:t>
      </w:r>
      <w:r>
        <w:rPr>
          <w:rFonts w:ascii="Times New Roman" w:hAnsi="Times New Roman"/>
          <w:i/>
          <w:sz w:val="24"/>
          <w:szCs w:val="24"/>
        </w:rPr>
        <w:t>commo</w:t>
      </w:r>
      <w:r w:rsidR="00E80EA2">
        <w:rPr>
          <w:rFonts w:ascii="Times New Roman" w:hAnsi="Times New Roman"/>
          <w:i/>
          <w:sz w:val="24"/>
          <w:szCs w:val="24"/>
        </w:rPr>
        <w:t>m</w:t>
      </w:r>
      <w:r>
        <w:rPr>
          <w:rFonts w:ascii="Times New Roman" w:hAnsi="Times New Roman"/>
          <w:i/>
          <w:sz w:val="24"/>
          <w:szCs w:val="24"/>
        </w:rPr>
        <w:t xml:space="preserve"> law</w:t>
      </w:r>
      <w:r>
        <w:rPr>
          <w:rFonts w:ascii="Times New Roman" w:hAnsi="Times New Roman"/>
          <w:sz w:val="24"/>
          <w:szCs w:val="24"/>
        </w:rPr>
        <w:t xml:space="preserve"> e dos </w:t>
      </w:r>
      <w:r>
        <w:rPr>
          <w:rFonts w:ascii="Times New Roman" w:hAnsi="Times New Roman"/>
          <w:sz w:val="24"/>
          <w:szCs w:val="24"/>
        </w:rPr>
        <w:lastRenderedPageBreak/>
        <w:t>problemas da padronização decisória – Humberto Theodoro Júnior, Dierle Nunes e Alexandre Bahia</w:t>
      </w:r>
      <w:r w:rsidRPr="00FD6C55">
        <w:rPr>
          <w:rFonts w:ascii="Times New Roman" w:hAnsi="Times New Roman"/>
          <w:sz w:val="24"/>
          <w:szCs w:val="24"/>
        </w:rPr>
        <w:t>.</w:t>
      </w:r>
    </w:p>
    <w:p w:rsidR="00ED6C43" w:rsidRDefault="00ED6C43" w:rsidP="00E06329">
      <w:pPr>
        <w:spacing w:after="0" w:line="360" w:lineRule="auto"/>
        <w:ind w:firstLine="708"/>
        <w:rPr>
          <w:rFonts w:ascii="Times New Roman" w:hAnsi="Times New Roman"/>
          <w:sz w:val="24"/>
          <w:szCs w:val="24"/>
        </w:rPr>
      </w:pPr>
    </w:p>
    <w:p w:rsidR="00ED6C43" w:rsidRDefault="00ED6C43" w:rsidP="00E06329">
      <w:pPr>
        <w:spacing w:after="0" w:line="360" w:lineRule="auto"/>
        <w:ind w:firstLine="708"/>
        <w:rPr>
          <w:rFonts w:ascii="Times New Roman" w:hAnsi="Times New Roman"/>
          <w:sz w:val="24"/>
          <w:szCs w:val="24"/>
        </w:rPr>
      </w:pPr>
      <w:r w:rsidRPr="00FD6C55">
        <w:rPr>
          <w:rFonts w:ascii="Times New Roman" w:hAnsi="Times New Roman"/>
          <w:sz w:val="24"/>
          <w:szCs w:val="24"/>
        </w:rPr>
        <w:t xml:space="preserve">WAMBIER, Teresa Arruda Alvim; ALVIM, Arruda. </w:t>
      </w:r>
      <w:r w:rsidRPr="00FD6C55">
        <w:rPr>
          <w:rFonts w:ascii="Times New Roman" w:hAnsi="Times New Roman"/>
          <w:b/>
          <w:sz w:val="24"/>
          <w:szCs w:val="24"/>
        </w:rPr>
        <w:t>REVISTA DE PROCESSO</w:t>
      </w:r>
      <w:r>
        <w:rPr>
          <w:rFonts w:ascii="Times New Roman" w:hAnsi="Times New Roman"/>
          <w:sz w:val="24"/>
          <w:szCs w:val="24"/>
        </w:rPr>
        <w:t>. Ano 37, nº 206, abril/2012</w:t>
      </w:r>
      <w:r w:rsidRPr="00FD6C55">
        <w:rPr>
          <w:rFonts w:ascii="Times New Roman" w:hAnsi="Times New Roman"/>
          <w:sz w:val="24"/>
          <w:szCs w:val="24"/>
        </w:rPr>
        <w:t>. São Pa</w:t>
      </w:r>
      <w:r>
        <w:rPr>
          <w:rFonts w:ascii="Times New Roman" w:hAnsi="Times New Roman"/>
          <w:sz w:val="24"/>
          <w:szCs w:val="24"/>
        </w:rPr>
        <w:t>ulo: Revista dos Tribunais, 2012</w:t>
      </w:r>
      <w:r w:rsidRPr="00FD6C55">
        <w:rPr>
          <w:rFonts w:ascii="Times New Roman" w:hAnsi="Times New Roman"/>
          <w:sz w:val="24"/>
          <w:szCs w:val="24"/>
        </w:rPr>
        <w:t xml:space="preserve"> </w:t>
      </w:r>
      <w:r>
        <w:rPr>
          <w:rFonts w:ascii="Times New Roman" w:hAnsi="Times New Roman"/>
          <w:sz w:val="24"/>
          <w:szCs w:val="24"/>
        </w:rPr>
        <w:t>–</w:t>
      </w:r>
      <w:r w:rsidRPr="00FD6C55">
        <w:rPr>
          <w:rFonts w:ascii="Times New Roman" w:hAnsi="Times New Roman"/>
          <w:sz w:val="24"/>
          <w:szCs w:val="24"/>
        </w:rPr>
        <w:t xml:space="preserve"> </w:t>
      </w:r>
      <w:r>
        <w:rPr>
          <w:rFonts w:ascii="Times New Roman" w:hAnsi="Times New Roman"/>
          <w:sz w:val="24"/>
          <w:szCs w:val="24"/>
        </w:rPr>
        <w:t>Fundamentação e Precedente – Dois discursos a partir da decisão judicial – Daniel Mitidiero</w:t>
      </w:r>
    </w:p>
    <w:p w:rsidR="00ED6C43" w:rsidRDefault="00ED6C43" w:rsidP="00E06329">
      <w:pPr>
        <w:spacing w:after="0" w:line="360" w:lineRule="auto"/>
        <w:ind w:firstLine="708"/>
        <w:rPr>
          <w:rFonts w:ascii="Times New Roman" w:hAnsi="Times New Roman"/>
          <w:sz w:val="24"/>
          <w:szCs w:val="24"/>
        </w:rPr>
      </w:pPr>
    </w:p>
    <w:p w:rsidR="00ED6C43" w:rsidRPr="00FD6C55" w:rsidRDefault="00ED6C43" w:rsidP="00E06329">
      <w:pPr>
        <w:spacing w:after="0" w:line="360" w:lineRule="auto"/>
        <w:ind w:firstLine="708"/>
        <w:rPr>
          <w:rFonts w:ascii="Times New Roman" w:hAnsi="Times New Roman"/>
          <w:sz w:val="24"/>
          <w:szCs w:val="24"/>
        </w:rPr>
      </w:pPr>
      <w:r w:rsidRPr="00FD6C55">
        <w:rPr>
          <w:rFonts w:ascii="Times New Roman" w:hAnsi="Times New Roman"/>
          <w:sz w:val="24"/>
          <w:szCs w:val="24"/>
        </w:rPr>
        <w:t xml:space="preserve">WAMBIER, Teresa Arruda Alvim; ALVIM, Arruda. </w:t>
      </w:r>
      <w:r w:rsidRPr="00FD6C55">
        <w:rPr>
          <w:rFonts w:ascii="Times New Roman" w:hAnsi="Times New Roman"/>
          <w:b/>
          <w:sz w:val="24"/>
          <w:szCs w:val="24"/>
        </w:rPr>
        <w:t>REVISTA DE PROCESSO</w:t>
      </w:r>
      <w:r>
        <w:rPr>
          <w:rFonts w:ascii="Times New Roman" w:hAnsi="Times New Roman"/>
          <w:sz w:val="24"/>
          <w:szCs w:val="24"/>
        </w:rPr>
        <w:t>. Ano 35, nº 180, fev/2010</w:t>
      </w:r>
      <w:r w:rsidRPr="00FD6C55">
        <w:rPr>
          <w:rFonts w:ascii="Times New Roman" w:hAnsi="Times New Roman"/>
          <w:sz w:val="24"/>
          <w:szCs w:val="24"/>
        </w:rPr>
        <w:t>. São Pa</w:t>
      </w:r>
      <w:r>
        <w:rPr>
          <w:rFonts w:ascii="Times New Roman" w:hAnsi="Times New Roman"/>
          <w:sz w:val="24"/>
          <w:szCs w:val="24"/>
        </w:rPr>
        <w:t>ulo: Revista dos Tribunais, 2010</w:t>
      </w:r>
      <w:r w:rsidRPr="00FD6C55">
        <w:rPr>
          <w:rFonts w:ascii="Times New Roman" w:hAnsi="Times New Roman"/>
          <w:sz w:val="24"/>
          <w:szCs w:val="24"/>
        </w:rPr>
        <w:t xml:space="preserve"> </w:t>
      </w:r>
      <w:r>
        <w:rPr>
          <w:rFonts w:ascii="Times New Roman" w:hAnsi="Times New Roman"/>
          <w:sz w:val="24"/>
          <w:szCs w:val="24"/>
        </w:rPr>
        <w:t>–</w:t>
      </w:r>
      <w:r w:rsidRPr="00FD6C55">
        <w:rPr>
          <w:rFonts w:ascii="Times New Roman" w:hAnsi="Times New Roman"/>
          <w:sz w:val="24"/>
          <w:szCs w:val="24"/>
        </w:rPr>
        <w:t xml:space="preserve"> </w:t>
      </w:r>
      <w:r>
        <w:rPr>
          <w:rFonts w:ascii="Times New Roman" w:hAnsi="Times New Roman"/>
          <w:sz w:val="24"/>
          <w:szCs w:val="24"/>
        </w:rPr>
        <w:t xml:space="preserve">Os poderes do juiz na </w:t>
      </w:r>
      <w:r w:rsidRPr="001409CE">
        <w:rPr>
          <w:rFonts w:ascii="Times New Roman" w:hAnsi="Times New Roman"/>
          <w:i/>
          <w:sz w:val="24"/>
          <w:szCs w:val="24"/>
        </w:rPr>
        <w:t>Commom Law</w:t>
      </w:r>
      <w:r>
        <w:rPr>
          <w:rFonts w:ascii="Times New Roman" w:hAnsi="Times New Roman"/>
          <w:sz w:val="24"/>
          <w:szCs w:val="24"/>
        </w:rPr>
        <w:t xml:space="preserve"> – Márcio Louzada Carpena</w:t>
      </w:r>
    </w:p>
    <w:p w:rsidR="00ED6C43" w:rsidRPr="00FD6C55" w:rsidRDefault="00ED6C43" w:rsidP="00E06329">
      <w:pPr>
        <w:spacing w:after="0" w:line="360" w:lineRule="auto"/>
        <w:ind w:firstLine="708"/>
        <w:rPr>
          <w:rFonts w:ascii="Times New Roman" w:hAnsi="Times New Roman"/>
          <w:sz w:val="24"/>
          <w:szCs w:val="24"/>
        </w:rPr>
      </w:pPr>
    </w:p>
    <w:p w:rsidR="00AA3EBB" w:rsidRDefault="00AA3EBB" w:rsidP="00E06329">
      <w:pPr>
        <w:pStyle w:val="NormalWeb"/>
        <w:spacing w:before="0" w:beforeAutospacing="0" w:after="0" w:afterAutospacing="0" w:line="360" w:lineRule="auto"/>
        <w:ind w:firstLine="1134"/>
      </w:pPr>
    </w:p>
    <w:sectPr w:rsidR="00AA3EBB" w:rsidSect="002F30EA">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328" w:rsidRDefault="00E35328" w:rsidP="00863F61">
      <w:pPr>
        <w:spacing w:after="0" w:line="240" w:lineRule="auto"/>
      </w:pPr>
      <w:r>
        <w:separator/>
      </w:r>
    </w:p>
  </w:endnote>
  <w:endnote w:type="continuationSeparator" w:id="1">
    <w:p w:rsidR="00E35328" w:rsidRDefault="00E35328" w:rsidP="00863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64" w:rsidRDefault="000A7CD7">
    <w:pPr>
      <w:pStyle w:val="Rodap"/>
      <w:jc w:val="right"/>
    </w:pPr>
    <w:fldSimple w:instr=" PAGE   \* MERGEFORMAT ">
      <w:r w:rsidR="00F72AE9">
        <w:rPr>
          <w:noProof/>
        </w:rPr>
        <w:t>14</w:t>
      </w:r>
    </w:fldSimple>
  </w:p>
  <w:p w:rsidR="00841B64" w:rsidRDefault="00841B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328" w:rsidRDefault="00E35328" w:rsidP="00863F61">
      <w:pPr>
        <w:spacing w:after="0" w:line="240" w:lineRule="auto"/>
      </w:pPr>
      <w:r>
        <w:separator/>
      </w:r>
    </w:p>
  </w:footnote>
  <w:footnote w:type="continuationSeparator" w:id="1">
    <w:p w:rsidR="00E35328" w:rsidRDefault="00E35328" w:rsidP="00863F61">
      <w:pPr>
        <w:spacing w:after="0" w:line="240" w:lineRule="auto"/>
      </w:pPr>
      <w:r>
        <w:continuationSeparator/>
      </w:r>
    </w:p>
  </w:footnote>
  <w:footnote w:id="2">
    <w:p w:rsidR="008E0623" w:rsidRPr="002765DB" w:rsidRDefault="008E0623" w:rsidP="008E0623">
      <w:pPr>
        <w:pStyle w:val="Textodenotaderodap"/>
        <w:jc w:val="both"/>
        <w:rPr>
          <w:rFonts w:ascii="Times New Roman" w:hAnsi="Times New Roman" w:cs="Times New Roman"/>
        </w:rPr>
      </w:pPr>
      <w:r w:rsidRPr="002765DB">
        <w:rPr>
          <w:rStyle w:val="Refdenotaderodap"/>
          <w:rFonts w:ascii="Times New Roman" w:hAnsi="Times New Roman" w:cs="Times New Roman"/>
        </w:rPr>
        <w:t>**</w:t>
      </w:r>
      <w:r w:rsidRPr="002765DB">
        <w:rPr>
          <w:rFonts w:ascii="Times New Roman" w:hAnsi="Times New Roman" w:cs="Times New Roman"/>
        </w:rPr>
        <w:t xml:space="preserve"> </w:t>
      </w:r>
      <w:r w:rsidR="00770076" w:rsidRPr="002765DB">
        <w:rPr>
          <w:rFonts w:ascii="Times New Roman" w:hAnsi="Times New Roman" w:cs="Times New Roman"/>
        </w:rPr>
        <w:t xml:space="preserve">Alunos do Curso de Direito da Universidade Dom Bosco </w:t>
      </w:r>
      <w:r w:rsidR="00BF1364" w:rsidRPr="002765DB">
        <w:rPr>
          <w:rFonts w:ascii="Times New Roman" w:hAnsi="Times New Roman" w:cs="Times New Roman"/>
        </w:rPr>
        <w:t>–</w:t>
      </w:r>
      <w:r w:rsidR="00770076" w:rsidRPr="002765DB">
        <w:rPr>
          <w:rFonts w:ascii="Times New Roman" w:hAnsi="Times New Roman" w:cs="Times New Roman"/>
        </w:rPr>
        <w:t xml:space="preserve"> UNDB</w:t>
      </w:r>
    </w:p>
    <w:p w:rsidR="00BF1364" w:rsidRPr="002765DB" w:rsidRDefault="00BF1364" w:rsidP="008E0623">
      <w:pPr>
        <w:pStyle w:val="Textodenotaderodap"/>
        <w:jc w:val="both"/>
        <w:rPr>
          <w:rFonts w:ascii="Times New Roman" w:hAnsi="Times New Roman" w:cs="Times New Roman"/>
        </w:rPr>
      </w:pPr>
    </w:p>
  </w:footnote>
  <w:footnote w:id="3">
    <w:p w:rsidR="00B939D0" w:rsidRDefault="00B939D0" w:rsidP="00B939D0">
      <w:pPr>
        <w:pStyle w:val="Textodenotaderodap"/>
        <w:jc w:val="both"/>
      </w:pPr>
      <w:r w:rsidRPr="002A166A">
        <w:rPr>
          <w:rStyle w:val="Refdenotaderodap"/>
          <w:rFonts w:ascii="Times New Roman" w:hAnsi="Times New Roman"/>
        </w:rPr>
        <w:footnoteRef/>
      </w:r>
      <w:r>
        <w:rPr>
          <w:rFonts w:ascii="Times New Roman" w:hAnsi="Times New Roman"/>
        </w:rPr>
        <w:t xml:space="preserve"> Neste tópico, Té</w:t>
      </w:r>
      <w:r w:rsidRPr="002A166A">
        <w:rPr>
          <w:rFonts w:ascii="Times New Roman" w:hAnsi="Times New Roman"/>
        </w:rPr>
        <w:t>rcio Sampaio</w:t>
      </w:r>
      <w:r>
        <w:rPr>
          <w:rFonts w:ascii="Times New Roman" w:hAnsi="Times New Roman"/>
        </w:rPr>
        <w:t xml:space="preserve"> Ferraz Júnior (2009, p. 241) destaca o desprestí</w:t>
      </w:r>
      <w:r w:rsidRPr="002A166A">
        <w:rPr>
          <w:rFonts w:ascii="Times New Roman" w:hAnsi="Times New Roman"/>
        </w:rPr>
        <w:t>gio e a desconfiança que se tinha contra os magistrados do antigo regime. Na proeminência do positivismo juríd</w:t>
      </w:r>
      <w:r>
        <w:rPr>
          <w:rFonts w:ascii="Times New Roman" w:hAnsi="Times New Roman"/>
        </w:rPr>
        <w:t>ico se exigia fidelidade à lei.</w:t>
      </w:r>
    </w:p>
  </w:footnote>
  <w:footnote w:id="4">
    <w:p w:rsidR="00B939D0" w:rsidRPr="00463F7E" w:rsidRDefault="00B939D0" w:rsidP="00B939D0">
      <w:pPr>
        <w:pStyle w:val="Textodenotaderodap"/>
        <w:jc w:val="both"/>
        <w:rPr>
          <w:rFonts w:ascii="Times New Roman" w:hAnsi="Times New Roman"/>
        </w:rPr>
      </w:pPr>
      <w:r>
        <w:rPr>
          <w:rStyle w:val="Refdenotaderodap"/>
        </w:rPr>
        <w:footnoteRef/>
      </w:r>
      <w:r>
        <w:t xml:space="preserve"> </w:t>
      </w:r>
      <w:r>
        <w:rPr>
          <w:rFonts w:ascii="Times New Roman" w:hAnsi="Times New Roman"/>
        </w:rPr>
        <w:t>É</w:t>
      </w:r>
      <w:r w:rsidRPr="006A5B0A">
        <w:rPr>
          <w:rFonts w:ascii="Times New Roman" w:hAnsi="Times New Roman"/>
        </w:rPr>
        <w:t xml:space="preserve"> o posic</w:t>
      </w:r>
      <w:r w:rsidR="0021729A">
        <w:rPr>
          <w:rFonts w:ascii="Times New Roman" w:hAnsi="Times New Roman"/>
        </w:rPr>
        <w:t xml:space="preserve">ionamento de Ricardo </w:t>
      </w:r>
      <w:r>
        <w:rPr>
          <w:rFonts w:ascii="Times New Roman" w:hAnsi="Times New Roman"/>
        </w:rPr>
        <w:t>Mra</w:t>
      </w:r>
      <w:r w:rsidR="0021729A">
        <w:rPr>
          <w:rFonts w:ascii="Times New Roman" w:hAnsi="Times New Roman"/>
        </w:rPr>
        <w:t>d (</w:t>
      </w:r>
      <w:r>
        <w:rPr>
          <w:rFonts w:ascii="Times New Roman" w:hAnsi="Times New Roman"/>
        </w:rPr>
        <w:t>2010</w:t>
      </w:r>
      <w:r w:rsidRPr="006A5B0A">
        <w:rPr>
          <w:rFonts w:ascii="Times New Roman" w:hAnsi="Times New Roman"/>
        </w:rPr>
        <w:t xml:space="preserve">, p. </w:t>
      </w:r>
      <w:smartTag w:uri="urn:schemas-microsoft-com:office:smarttags" w:element="metricconverter">
        <w:smartTagPr>
          <w:attr w:name="ProductID" w:val="59 a"/>
        </w:smartTagPr>
        <w:r w:rsidRPr="006A5B0A">
          <w:rPr>
            <w:rFonts w:ascii="Times New Roman" w:hAnsi="Times New Roman"/>
          </w:rPr>
          <w:t>59 a</w:t>
        </w:r>
      </w:smartTag>
      <w:r w:rsidRPr="006A5B0A">
        <w:rPr>
          <w:rFonts w:ascii="Times New Roman" w:hAnsi="Times New Roman"/>
        </w:rPr>
        <w:t xml:space="preserve"> 60) quanto à liberdade de atuação do magi</w:t>
      </w:r>
      <w:r>
        <w:rPr>
          <w:rFonts w:ascii="Times New Roman" w:hAnsi="Times New Roman"/>
        </w:rPr>
        <w:t>strado, ao contrá</w:t>
      </w:r>
      <w:r w:rsidRPr="006A5B0A">
        <w:rPr>
          <w:rFonts w:ascii="Times New Roman" w:hAnsi="Times New Roman"/>
        </w:rPr>
        <w:t xml:space="preserve">rio do direito da </w:t>
      </w:r>
      <w:r w:rsidR="003433AC" w:rsidRPr="006A5B0A">
        <w:rPr>
          <w:rFonts w:ascii="Times New Roman" w:hAnsi="Times New Roman"/>
          <w:i/>
          <w:iCs/>
        </w:rPr>
        <w:t>civil law</w:t>
      </w:r>
      <w:r w:rsidR="003433AC">
        <w:rPr>
          <w:rFonts w:ascii="Times New Roman" w:hAnsi="Times New Roman"/>
        </w:rPr>
        <w:t xml:space="preserve"> </w:t>
      </w:r>
      <w:r>
        <w:rPr>
          <w:rFonts w:ascii="Times New Roman" w:hAnsi="Times New Roman"/>
        </w:rPr>
        <w:t xml:space="preserve">em que </w:t>
      </w:r>
      <w:r w:rsidRPr="006A5B0A">
        <w:rPr>
          <w:rFonts w:ascii="Times New Roman" w:hAnsi="Times New Roman"/>
        </w:rPr>
        <w:t>se pr</w:t>
      </w:r>
      <w:r>
        <w:rPr>
          <w:rFonts w:ascii="Times New Roman" w:hAnsi="Times New Roman"/>
        </w:rPr>
        <w:t>esencia a dedução pautada na aná</w:t>
      </w:r>
      <w:r w:rsidRPr="006A5B0A">
        <w:rPr>
          <w:rFonts w:ascii="Times New Roman" w:hAnsi="Times New Roman"/>
        </w:rPr>
        <w:t xml:space="preserve">lise das regras, que é geral e abstrato, perante os fatos controvertidos em que a dedução do juiz verificará se a parte processual tem direito ou não; no sistema da </w:t>
      </w:r>
      <w:r w:rsidR="003433AC">
        <w:rPr>
          <w:rFonts w:ascii="Times New Roman" w:hAnsi="Times New Roman"/>
          <w:i/>
          <w:iCs/>
        </w:rPr>
        <w:t>com</w:t>
      </w:r>
      <w:r w:rsidR="003433AC" w:rsidRPr="00FD779B">
        <w:rPr>
          <w:rFonts w:ascii="Times New Roman" w:hAnsi="Times New Roman"/>
          <w:i/>
          <w:iCs/>
        </w:rPr>
        <w:t>mom law</w:t>
      </w:r>
      <w:r w:rsidR="003433AC" w:rsidRPr="006A5B0A">
        <w:rPr>
          <w:rFonts w:ascii="Times New Roman" w:hAnsi="Times New Roman"/>
        </w:rPr>
        <w:t xml:space="preserve"> </w:t>
      </w:r>
      <w:r w:rsidRPr="006A5B0A">
        <w:rPr>
          <w:rFonts w:ascii="Times New Roman" w:hAnsi="Times New Roman"/>
        </w:rPr>
        <w:t>se percebe a indução a adoção de elementos particulares ao geral, o particular é o julgamento do magistrado orientado por suas convicções pessoais compartilhadas pelos anseios sociais ou parte dele</w:t>
      </w:r>
      <w:r>
        <w:rPr>
          <w:rFonts w:ascii="Times New Roman" w:hAnsi="Times New Roman"/>
        </w:rPr>
        <w:t xml:space="preserve"> (do julgado)</w:t>
      </w:r>
      <w:r w:rsidRPr="006A5B0A">
        <w:rPr>
          <w:rFonts w:ascii="Times New Roman" w:hAnsi="Times New Roman"/>
        </w:rPr>
        <w:t xml:space="preserve"> se direcionando ao geral</w:t>
      </w:r>
      <w:r>
        <w:rPr>
          <w:rFonts w:ascii="Times New Roman" w:hAnsi="Times New Roman"/>
        </w:rPr>
        <w:t xml:space="preserve"> (à sociedade)</w:t>
      </w:r>
      <w:r w:rsidRPr="006A5B0A">
        <w:rPr>
          <w:rFonts w:ascii="Times New Roman" w:hAnsi="Times New Roman"/>
        </w:rPr>
        <w:t>, compreendido no aperfeiçoamento dos precedentes judiciais.</w:t>
      </w:r>
    </w:p>
  </w:footnote>
  <w:footnote w:id="5">
    <w:p w:rsidR="00B939D0" w:rsidRDefault="00B939D0" w:rsidP="00B939D0">
      <w:pPr>
        <w:pStyle w:val="Textodenotaderodap"/>
        <w:jc w:val="both"/>
      </w:pPr>
      <w:r w:rsidRPr="00FB416F">
        <w:rPr>
          <w:rStyle w:val="Refdenotaderodap"/>
          <w:rFonts w:ascii="Times New Roman" w:hAnsi="Times New Roman"/>
        </w:rPr>
        <w:footnoteRef/>
      </w:r>
      <w:r w:rsidRPr="00FB416F">
        <w:rPr>
          <w:rFonts w:ascii="Times New Roman" w:hAnsi="Times New Roman"/>
        </w:rPr>
        <w:t xml:space="preserve"> Refere-se à uniformização jurisprudencial, especificamente, no respeito aos precedentes normativos </w:t>
      </w:r>
      <w:r w:rsidRPr="00472D6C">
        <w:rPr>
          <w:rFonts w:ascii="Times New Roman" w:hAnsi="Times New Roman"/>
        </w:rPr>
        <w:t>constitucionais em</w:t>
      </w:r>
      <w:r>
        <w:rPr>
          <w:rFonts w:ascii="Times New Roman" w:hAnsi="Times New Roman"/>
        </w:rPr>
        <w:t xml:space="preserve"> que</w:t>
      </w:r>
      <w:r w:rsidRPr="00472D6C">
        <w:rPr>
          <w:rFonts w:ascii="Times New Roman" w:hAnsi="Times New Roman"/>
        </w:rPr>
        <w:t xml:space="preserve"> pelo caráter de hierarquia </w:t>
      </w:r>
      <w:r>
        <w:rPr>
          <w:rFonts w:ascii="Times New Roman" w:hAnsi="Times New Roman"/>
        </w:rPr>
        <w:t>se deve exigir</w:t>
      </w:r>
      <w:r w:rsidRPr="00472D6C">
        <w:rPr>
          <w:rFonts w:ascii="Times New Roman" w:hAnsi="Times New Roman"/>
        </w:rPr>
        <w:t xml:space="preserve"> vinculação do magistrado do seio ordinário. (MARINONI, 2011, p. </w:t>
      </w:r>
      <w:smartTag w:uri="urn:schemas-microsoft-com:office:smarttags" w:element="metricconverter">
        <w:smartTagPr>
          <w:attr w:name="ProductID" w:val="89 a"/>
        </w:smartTagPr>
        <w:r w:rsidRPr="00472D6C">
          <w:rPr>
            <w:rFonts w:ascii="Times New Roman" w:hAnsi="Times New Roman"/>
          </w:rPr>
          <w:t>89 a</w:t>
        </w:r>
      </w:smartTag>
      <w:r w:rsidRPr="00472D6C">
        <w:rPr>
          <w:rFonts w:ascii="Times New Roman" w:hAnsi="Times New Roman"/>
        </w:rPr>
        <w:t xml:space="preserve"> 97</w:t>
      </w:r>
      <w:r>
        <w:rPr>
          <w:rFonts w:ascii="Times New Roman" w:hAnsi="Times New Roman"/>
        </w:rPr>
        <w:t>).</w:t>
      </w:r>
      <w:r w:rsidRPr="00472D6C">
        <w:rPr>
          <w:rFonts w:ascii="Times New Roman" w:hAnsi="Times New Roman"/>
        </w:rPr>
        <w:t xml:space="preserve"> Não se confunde com o Sistema da </w:t>
      </w:r>
      <w:r>
        <w:rPr>
          <w:rFonts w:ascii="Times New Roman" w:hAnsi="Times New Roman"/>
          <w:i/>
          <w:iCs/>
        </w:rPr>
        <w:t>Comm</w:t>
      </w:r>
      <w:r w:rsidRPr="00FD779B">
        <w:rPr>
          <w:rFonts w:ascii="Times New Roman" w:hAnsi="Times New Roman"/>
          <w:i/>
          <w:iCs/>
        </w:rPr>
        <w:t>om Law</w:t>
      </w:r>
      <w:r>
        <w:rPr>
          <w:rFonts w:ascii="Times New Roman" w:hAnsi="Times New Roman"/>
          <w:i/>
          <w:iCs/>
        </w:rPr>
        <w:t xml:space="preserve"> </w:t>
      </w:r>
      <w:r>
        <w:rPr>
          <w:rFonts w:ascii="Times New Roman" w:hAnsi="Times New Roman"/>
          <w:iCs/>
        </w:rPr>
        <w:t>clássico</w:t>
      </w:r>
      <w:r w:rsidRPr="00472D6C">
        <w:rPr>
          <w:rFonts w:ascii="Times New Roman" w:hAnsi="Times New Roman"/>
        </w:rPr>
        <w:t xml:space="preserve">, porque antes do advento do constitucionalismo inglês, prevaleciam as decisões declaratórias dos costumes arraigados </w:t>
      </w:r>
      <w:r>
        <w:rPr>
          <w:rFonts w:ascii="Times New Roman" w:hAnsi="Times New Roman"/>
        </w:rPr>
        <w:t>e confirmados pelos juízes em que na vinculação horizontal se atende ao princípio da igualdade em que o requerente, autor da ação, deseja que a sua controvérsia judicial tenha o mesmo tratamento de um precedente já pacificado, tendo em vista da proximidade das questões fáticas e jurídicas do caso já pacificado com a controvérsia em questão</w:t>
      </w:r>
      <w:r w:rsidRPr="00472D6C">
        <w:rPr>
          <w:rFonts w:ascii="Times New Roman" w:hAnsi="Times New Roman"/>
        </w:rPr>
        <w:t xml:space="preserve">, ao passo que o </w:t>
      </w:r>
      <w:r w:rsidRPr="00FD779B">
        <w:rPr>
          <w:rFonts w:ascii="Times New Roman" w:hAnsi="Times New Roman"/>
          <w:i/>
          <w:iCs/>
        </w:rPr>
        <w:t>Stare Decisis</w:t>
      </w:r>
      <w:r w:rsidRPr="00472D6C">
        <w:rPr>
          <w:rFonts w:ascii="Times New Roman" w:hAnsi="Times New Roman"/>
        </w:rPr>
        <w:t xml:space="preserve"> veio a estabelecer a vinculação hierárquica dos demais tribunais perante a Suprema Corte</w:t>
      </w:r>
      <w:r>
        <w:rPr>
          <w:rFonts w:ascii="Times New Roman" w:hAnsi="Times New Roman"/>
        </w:rPr>
        <w:t xml:space="preserve">. O </w:t>
      </w:r>
      <w:r w:rsidRPr="005F42D7">
        <w:rPr>
          <w:rFonts w:ascii="Times New Roman" w:hAnsi="Times New Roman"/>
          <w:i/>
        </w:rPr>
        <w:t>Stare Decisis</w:t>
      </w:r>
      <w:r>
        <w:rPr>
          <w:rFonts w:ascii="Times New Roman" w:hAnsi="Times New Roman"/>
        </w:rPr>
        <w:t xml:space="preserve"> norte-americano estabeleceu perante a sociedade ocidental o legado do controle de constitucionalidade difuso em que cabe ao Tribunal Excelso (Suprema Corte) a higidez do ordenamento jurídico constitucional pautado no conflito do caso concreto. </w:t>
      </w:r>
    </w:p>
  </w:footnote>
  <w:footnote w:id="6">
    <w:p w:rsidR="00B939D0" w:rsidRDefault="00B939D0" w:rsidP="00B939D0">
      <w:pPr>
        <w:spacing w:after="0" w:line="240" w:lineRule="auto"/>
        <w:jc w:val="both"/>
      </w:pPr>
      <w:r w:rsidRPr="00836822">
        <w:rPr>
          <w:rStyle w:val="Refdenotaderodap"/>
          <w:rFonts w:ascii="Times New Roman" w:hAnsi="Times New Roman"/>
        </w:rPr>
        <w:footnoteRef/>
      </w:r>
      <w:r w:rsidRPr="00836822">
        <w:rPr>
          <w:rFonts w:ascii="Times New Roman" w:hAnsi="Times New Roman"/>
        </w:rPr>
        <w:t xml:space="preserve"> </w:t>
      </w:r>
      <w:r>
        <w:rPr>
          <w:rFonts w:ascii="Times New Roman" w:hAnsi="Times New Roman"/>
        </w:rPr>
        <w:t>“</w:t>
      </w:r>
      <w:r w:rsidRPr="003041FA">
        <w:rPr>
          <w:rFonts w:ascii="Times New Roman" w:hAnsi="Times New Roman"/>
          <w:sz w:val="20"/>
          <w:szCs w:val="20"/>
        </w:rPr>
        <w:t xml:space="preserve">A idéia de </w:t>
      </w:r>
      <w:r w:rsidRPr="003041FA">
        <w:rPr>
          <w:rFonts w:ascii="Times New Roman" w:hAnsi="Times New Roman"/>
          <w:i/>
          <w:iCs/>
          <w:sz w:val="20"/>
          <w:szCs w:val="20"/>
        </w:rPr>
        <w:t xml:space="preserve">ativismo judicial </w:t>
      </w:r>
      <w:r w:rsidRPr="003041FA">
        <w:rPr>
          <w:rFonts w:ascii="Times New Roman" w:hAnsi="Times New Roman"/>
          <w:sz w:val="20"/>
          <w:szCs w:val="20"/>
        </w:rPr>
        <w:t xml:space="preserve">está associada a uma participação mais ampla e intensa do Judiciário na concretização dos valores e fins constitucionais, com maior interferência no espaço de atuação dos outros dois Poderes. A postura ativista se manifesta por meio de diferentes condutas, que incluem: (i) a aplicação direta da Constituição a situações não expressamente contempladas em seu texto e independentemente de manifestação do legislador ordinário; (ii) a declaração de inconstitucionalidade de atos normativos emanados do legislador, com base em critérios menos rígidos que os de patente e ostensiva violação da Constituição; (iii) a imposição de </w:t>
      </w:r>
      <w:r w:rsidRPr="002A166A">
        <w:rPr>
          <w:rFonts w:ascii="Times New Roman" w:hAnsi="Times New Roman"/>
          <w:sz w:val="20"/>
          <w:szCs w:val="20"/>
        </w:rPr>
        <w:t xml:space="preserve">condutas ou </w:t>
      </w:r>
      <w:r w:rsidRPr="00651337">
        <w:rPr>
          <w:rFonts w:ascii="Times New Roman" w:hAnsi="Times New Roman"/>
          <w:sz w:val="20"/>
          <w:szCs w:val="20"/>
        </w:rPr>
        <w:t>de abstenções ao Poder Público, notadamente em matéria de políticas públicas</w:t>
      </w:r>
      <w:r>
        <w:rPr>
          <w:rFonts w:ascii="Times New Roman" w:hAnsi="Times New Roman"/>
          <w:sz w:val="20"/>
          <w:szCs w:val="20"/>
        </w:rPr>
        <w:t>” (</w:t>
      </w:r>
      <w:r w:rsidRPr="00651337">
        <w:rPr>
          <w:rFonts w:ascii="Times New Roman" w:hAnsi="Times New Roman"/>
          <w:sz w:val="20"/>
          <w:szCs w:val="20"/>
        </w:rPr>
        <w:t>BARROSO, 2009, p. 335).</w:t>
      </w:r>
    </w:p>
  </w:footnote>
  <w:footnote w:id="7">
    <w:p w:rsidR="00B939D0" w:rsidRPr="00C86A8C" w:rsidRDefault="00B939D0" w:rsidP="00B939D0">
      <w:pPr>
        <w:pStyle w:val="NormalWeb"/>
        <w:spacing w:before="0" w:beforeAutospacing="0" w:after="0" w:afterAutospacing="0"/>
        <w:jc w:val="both"/>
        <w:rPr>
          <w:sz w:val="20"/>
          <w:szCs w:val="20"/>
        </w:rPr>
      </w:pPr>
      <w:r w:rsidRPr="00C86A8C">
        <w:rPr>
          <w:rStyle w:val="Refdenotaderodap"/>
          <w:sz w:val="20"/>
          <w:szCs w:val="20"/>
        </w:rPr>
        <w:footnoteRef/>
      </w:r>
      <w:r w:rsidRPr="00C86A8C">
        <w:rPr>
          <w:sz w:val="20"/>
          <w:szCs w:val="20"/>
        </w:rPr>
        <w:t xml:space="preserve"> </w:t>
      </w:r>
      <w:r>
        <w:rPr>
          <w:sz w:val="20"/>
          <w:szCs w:val="20"/>
        </w:rPr>
        <w:t xml:space="preserve">Art.458. </w:t>
      </w:r>
      <w:r w:rsidRPr="00C86A8C">
        <w:rPr>
          <w:sz w:val="20"/>
          <w:szCs w:val="20"/>
        </w:rPr>
        <w:t>São requisitos essenciais da sentença:</w:t>
      </w:r>
    </w:p>
    <w:p w:rsidR="00B939D0" w:rsidRPr="00C86A8C" w:rsidRDefault="00B939D0" w:rsidP="00B939D0">
      <w:pPr>
        <w:pStyle w:val="NormalWeb"/>
        <w:spacing w:before="0" w:beforeAutospacing="0" w:after="0" w:afterAutospacing="0"/>
        <w:jc w:val="both"/>
        <w:rPr>
          <w:sz w:val="20"/>
          <w:szCs w:val="20"/>
        </w:rPr>
      </w:pPr>
      <w:r>
        <w:rPr>
          <w:sz w:val="20"/>
          <w:szCs w:val="20"/>
        </w:rPr>
        <w:t xml:space="preserve">I - </w:t>
      </w:r>
      <w:r w:rsidRPr="00C86A8C">
        <w:rPr>
          <w:sz w:val="20"/>
          <w:szCs w:val="20"/>
        </w:rPr>
        <w:t>o relatório, que conterá os nomes das partes, a suma do pedido e da resposta do réu, bem como o registro das principais ocorrências havidas no andamento do processo;</w:t>
      </w:r>
    </w:p>
    <w:p w:rsidR="00B939D0" w:rsidRPr="00C86A8C" w:rsidRDefault="00B939D0" w:rsidP="00B939D0">
      <w:pPr>
        <w:pStyle w:val="NormalWeb"/>
        <w:spacing w:before="0" w:beforeAutospacing="0" w:after="0" w:afterAutospacing="0"/>
        <w:jc w:val="both"/>
        <w:rPr>
          <w:sz w:val="20"/>
          <w:szCs w:val="20"/>
        </w:rPr>
      </w:pPr>
      <w:r>
        <w:rPr>
          <w:sz w:val="20"/>
          <w:szCs w:val="20"/>
        </w:rPr>
        <w:t>II -</w:t>
      </w:r>
      <w:r w:rsidRPr="00C86A8C">
        <w:rPr>
          <w:sz w:val="20"/>
          <w:szCs w:val="20"/>
        </w:rPr>
        <w:t>os fundamentos, em que o juiz analisará as questões de fato e de direito;</w:t>
      </w:r>
    </w:p>
    <w:p w:rsidR="00B939D0" w:rsidRPr="00E6798B" w:rsidRDefault="00B939D0" w:rsidP="00B939D0">
      <w:pPr>
        <w:pStyle w:val="NormalWeb"/>
        <w:spacing w:before="0" w:beforeAutospacing="0" w:after="0" w:afterAutospacing="0"/>
        <w:jc w:val="both"/>
        <w:rPr>
          <w:sz w:val="20"/>
          <w:szCs w:val="20"/>
        </w:rPr>
      </w:pPr>
      <w:r>
        <w:rPr>
          <w:sz w:val="20"/>
          <w:szCs w:val="20"/>
        </w:rPr>
        <w:t xml:space="preserve">III - </w:t>
      </w:r>
      <w:r w:rsidRPr="00C86A8C">
        <w:rPr>
          <w:sz w:val="20"/>
          <w:szCs w:val="20"/>
        </w:rPr>
        <w:t>o dispositivo, em que o juiz resolverá as questões, que as partes Ihe submeterem.</w:t>
      </w:r>
    </w:p>
  </w:footnote>
  <w:footnote w:id="8">
    <w:p w:rsidR="00B939D0" w:rsidRPr="005B680A" w:rsidRDefault="00B939D0" w:rsidP="00B939D0">
      <w:pPr>
        <w:pStyle w:val="NormalWeb"/>
        <w:spacing w:before="0" w:beforeAutospacing="0" w:after="0" w:afterAutospacing="0"/>
        <w:jc w:val="both"/>
        <w:rPr>
          <w:sz w:val="20"/>
          <w:szCs w:val="20"/>
        </w:rPr>
      </w:pPr>
      <w:r w:rsidRPr="005B680A">
        <w:rPr>
          <w:rStyle w:val="Refdenotaderodap"/>
          <w:sz w:val="20"/>
          <w:szCs w:val="20"/>
        </w:rPr>
        <w:footnoteRef/>
      </w:r>
      <w:r w:rsidRPr="005B680A">
        <w:rPr>
          <w:sz w:val="20"/>
          <w:szCs w:val="20"/>
        </w:rPr>
        <w:t xml:space="preserve"> </w:t>
      </w:r>
      <w:r>
        <w:rPr>
          <w:sz w:val="20"/>
          <w:szCs w:val="20"/>
        </w:rPr>
        <w:t xml:space="preserve">Art. 282. </w:t>
      </w:r>
      <w:r w:rsidRPr="005B680A">
        <w:rPr>
          <w:sz w:val="20"/>
          <w:szCs w:val="20"/>
        </w:rPr>
        <w:t>A petição inicial indicará:</w:t>
      </w:r>
      <w:r>
        <w:rPr>
          <w:sz w:val="20"/>
          <w:szCs w:val="20"/>
        </w:rPr>
        <w:t xml:space="preserve"> (...)</w:t>
      </w:r>
    </w:p>
    <w:p w:rsidR="00B939D0" w:rsidRDefault="00B939D0" w:rsidP="00B939D0">
      <w:pPr>
        <w:pStyle w:val="NormalWeb"/>
        <w:spacing w:before="0" w:beforeAutospacing="0" w:after="0" w:afterAutospacing="0"/>
        <w:jc w:val="both"/>
        <w:rPr>
          <w:sz w:val="20"/>
          <w:szCs w:val="20"/>
        </w:rPr>
      </w:pPr>
      <w:r>
        <w:rPr>
          <w:sz w:val="20"/>
          <w:szCs w:val="20"/>
        </w:rPr>
        <w:t xml:space="preserve">III - </w:t>
      </w:r>
      <w:r w:rsidRPr="005B680A">
        <w:rPr>
          <w:sz w:val="20"/>
          <w:szCs w:val="20"/>
        </w:rPr>
        <w:t>o fato e os fundamentos jurídicos do pedido;</w:t>
      </w:r>
    </w:p>
    <w:p w:rsidR="00B939D0" w:rsidRPr="005B680A" w:rsidRDefault="00B939D0" w:rsidP="00B939D0">
      <w:pPr>
        <w:pStyle w:val="NormalWeb"/>
        <w:spacing w:before="0" w:beforeAutospacing="0" w:after="0" w:afterAutospacing="0"/>
        <w:jc w:val="both"/>
        <w:rPr>
          <w:sz w:val="20"/>
          <w:szCs w:val="20"/>
        </w:rPr>
      </w:pPr>
      <w:r>
        <w:rPr>
          <w:sz w:val="20"/>
          <w:szCs w:val="20"/>
        </w:rPr>
        <w:t xml:space="preserve">IV - </w:t>
      </w:r>
      <w:r w:rsidRPr="005B680A">
        <w:rPr>
          <w:sz w:val="20"/>
          <w:szCs w:val="20"/>
        </w:rPr>
        <w:t>o pedido, com as suas especificações;</w:t>
      </w:r>
      <w:r>
        <w:rPr>
          <w:sz w:val="20"/>
          <w:szCs w:val="20"/>
        </w:rPr>
        <w:t xml:space="preserve"> (...)</w:t>
      </w:r>
    </w:p>
    <w:p w:rsidR="00B939D0" w:rsidRPr="005B680A" w:rsidRDefault="00B939D0" w:rsidP="00B939D0">
      <w:pPr>
        <w:pStyle w:val="NormalWeb"/>
        <w:spacing w:before="0" w:beforeAutospacing="0" w:after="0" w:afterAutospacing="0"/>
        <w:jc w:val="both"/>
        <w:rPr>
          <w:sz w:val="20"/>
          <w:szCs w:val="20"/>
        </w:rPr>
      </w:pPr>
      <w:r>
        <w:rPr>
          <w:sz w:val="20"/>
          <w:szCs w:val="20"/>
        </w:rPr>
        <w:t xml:space="preserve">Art. 283. </w:t>
      </w:r>
      <w:r w:rsidRPr="005B680A">
        <w:rPr>
          <w:sz w:val="20"/>
          <w:szCs w:val="20"/>
        </w:rPr>
        <w:t>A petição inicial será instruída com os documentos indispensáveis à propositura da ação.</w:t>
      </w:r>
    </w:p>
    <w:p w:rsidR="00B939D0" w:rsidRPr="005B680A" w:rsidRDefault="00B939D0" w:rsidP="00B939D0">
      <w:pPr>
        <w:pStyle w:val="NormalWeb"/>
        <w:spacing w:before="0" w:beforeAutospacing="0" w:after="0" w:afterAutospacing="0"/>
        <w:jc w:val="both"/>
        <w:rPr>
          <w:sz w:val="20"/>
          <w:szCs w:val="20"/>
        </w:rPr>
      </w:pPr>
      <w:r>
        <w:rPr>
          <w:sz w:val="20"/>
          <w:szCs w:val="20"/>
        </w:rPr>
        <w:t xml:space="preserve">Art. 284. </w:t>
      </w:r>
      <w:r w:rsidRPr="005B680A">
        <w:rPr>
          <w:sz w:val="20"/>
          <w:szCs w:val="20"/>
        </w:rPr>
        <w:t>Verificando o juiz que a petição inicial não preenche os requisitos exigidos nos arts. 282 e 283, ou que apresenta defeitos e irregularidades capazes de dificultar o julgamento de mérito, determinará que o autor a emende, ou a complete, no prazo de 10 (dez) dias.</w:t>
      </w:r>
    </w:p>
    <w:p w:rsidR="00B939D0" w:rsidRPr="00B67476" w:rsidRDefault="00B939D0" w:rsidP="00B939D0">
      <w:pPr>
        <w:pStyle w:val="NormalWeb"/>
        <w:spacing w:before="0" w:beforeAutospacing="0" w:after="0" w:afterAutospacing="0"/>
        <w:jc w:val="both"/>
        <w:rPr>
          <w:sz w:val="20"/>
          <w:szCs w:val="20"/>
        </w:rPr>
      </w:pPr>
      <w:r w:rsidRPr="00B67476">
        <w:rPr>
          <w:sz w:val="20"/>
          <w:szCs w:val="20"/>
        </w:rPr>
        <w:t>Parágrafo único. Se o autor não cumprir a diligência, o juiz indeferirá a petição inicial.</w:t>
      </w:r>
    </w:p>
  </w:footnote>
  <w:footnote w:id="9">
    <w:p w:rsidR="00B939D0" w:rsidRPr="00443933" w:rsidRDefault="00B939D0" w:rsidP="00B939D0">
      <w:pPr>
        <w:pStyle w:val="NormalWeb"/>
        <w:spacing w:before="0" w:beforeAutospacing="0" w:after="0" w:afterAutospacing="0"/>
        <w:jc w:val="both"/>
        <w:rPr>
          <w:sz w:val="20"/>
          <w:szCs w:val="20"/>
        </w:rPr>
      </w:pPr>
      <w:r w:rsidRPr="00443933">
        <w:rPr>
          <w:rStyle w:val="Refdenotaderodap"/>
          <w:sz w:val="20"/>
          <w:szCs w:val="20"/>
        </w:rPr>
        <w:footnoteRef/>
      </w:r>
      <w:r w:rsidRPr="00443933">
        <w:rPr>
          <w:sz w:val="20"/>
          <w:szCs w:val="20"/>
        </w:rPr>
        <w:t xml:space="preserve"> Art. 469. Não fazem coisa julgada:</w:t>
      </w:r>
    </w:p>
    <w:p w:rsidR="00B939D0" w:rsidRPr="00443933" w:rsidRDefault="00B939D0" w:rsidP="00B939D0">
      <w:pPr>
        <w:pStyle w:val="NormalWeb"/>
        <w:spacing w:before="0" w:beforeAutospacing="0" w:after="0" w:afterAutospacing="0"/>
        <w:jc w:val="both"/>
        <w:rPr>
          <w:sz w:val="20"/>
          <w:szCs w:val="20"/>
        </w:rPr>
      </w:pPr>
      <w:r w:rsidRPr="00443933">
        <w:rPr>
          <w:sz w:val="20"/>
          <w:szCs w:val="20"/>
        </w:rPr>
        <w:t>I - os motivos, ainda que importantes para determinar o alcance da parte dispositiva da sentença;</w:t>
      </w:r>
    </w:p>
    <w:p w:rsidR="00B939D0" w:rsidRPr="00443933" w:rsidRDefault="00B939D0" w:rsidP="00B939D0">
      <w:pPr>
        <w:pStyle w:val="NormalWeb"/>
        <w:spacing w:before="0" w:beforeAutospacing="0" w:after="0" w:afterAutospacing="0"/>
        <w:jc w:val="both"/>
        <w:rPr>
          <w:sz w:val="20"/>
          <w:szCs w:val="20"/>
        </w:rPr>
      </w:pPr>
      <w:r w:rsidRPr="00443933">
        <w:rPr>
          <w:sz w:val="20"/>
          <w:szCs w:val="20"/>
        </w:rPr>
        <w:t>Il - a verdade dos fatos, estabelecida como fundamento da sentença;</w:t>
      </w:r>
    </w:p>
    <w:p w:rsidR="00B939D0" w:rsidRPr="00443933" w:rsidRDefault="00B939D0" w:rsidP="00B939D0">
      <w:pPr>
        <w:pStyle w:val="NormalWeb"/>
        <w:spacing w:before="0" w:beforeAutospacing="0" w:after="0" w:afterAutospacing="0"/>
        <w:jc w:val="both"/>
        <w:rPr>
          <w:rFonts w:ascii="Arial" w:hAnsi="Arial" w:cs="Arial"/>
          <w:sz w:val="20"/>
          <w:szCs w:val="20"/>
        </w:rPr>
      </w:pPr>
      <w:r w:rsidRPr="00443933">
        <w:rPr>
          <w:sz w:val="20"/>
          <w:szCs w:val="20"/>
        </w:rPr>
        <w:t>III - a apreciação da questão prejudicial, decidida incidentemente no processo.</w:t>
      </w:r>
    </w:p>
  </w:footnote>
  <w:footnote w:id="10">
    <w:p w:rsidR="00B939D0" w:rsidRPr="00B67476" w:rsidRDefault="00B939D0" w:rsidP="00B939D0">
      <w:pPr>
        <w:pStyle w:val="Textodenotaderodap"/>
        <w:jc w:val="both"/>
        <w:rPr>
          <w:rFonts w:ascii="Times New Roman" w:hAnsi="Times New Roman"/>
        </w:rPr>
      </w:pPr>
      <w:r w:rsidRPr="00B67476">
        <w:rPr>
          <w:rStyle w:val="Refdenotaderodap"/>
          <w:rFonts w:ascii="Times New Roman" w:hAnsi="Times New Roman"/>
        </w:rPr>
        <w:footnoteRef/>
      </w:r>
      <w:r w:rsidRPr="00B67476">
        <w:rPr>
          <w:rFonts w:ascii="Times New Roman" w:hAnsi="Times New Roman"/>
        </w:rPr>
        <w:t xml:space="preserve"> Art. 5º Todos são iguais perante a lei, sem distinção de qualquer natureza, garantindo-se aos brasileiros e aos estrangeiros residentes no País a inviolabilidade do direito à vida, à liberdade, à igualdade, à segurança e à propriedade, nos termos seguintes:</w:t>
      </w:r>
    </w:p>
    <w:p w:rsidR="00B939D0" w:rsidRDefault="00B939D0" w:rsidP="00B939D0">
      <w:pPr>
        <w:pStyle w:val="Textodenotaderodap"/>
        <w:jc w:val="both"/>
      </w:pPr>
      <w:r w:rsidRPr="00B67476">
        <w:rPr>
          <w:rFonts w:ascii="Times New Roman" w:hAnsi="Times New Roman"/>
        </w:rPr>
        <w:t>XXXVI - a lei não prejudicará o direito adquirido, o ato jurídico perfeito e a coisa julgada;</w:t>
      </w:r>
    </w:p>
  </w:footnote>
  <w:footnote w:id="11">
    <w:p w:rsidR="00B939D0" w:rsidRPr="008C22EE" w:rsidRDefault="00B939D0" w:rsidP="00B939D0">
      <w:pPr>
        <w:pStyle w:val="NormalWeb"/>
        <w:spacing w:before="0" w:beforeAutospacing="0" w:after="0" w:afterAutospacing="0"/>
        <w:rPr>
          <w:sz w:val="20"/>
          <w:szCs w:val="20"/>
        </w:rPr>
      </w:pPr>
      <w:r w:rsidRPr="008C22EE">
        <w:rPr>
          <w:rStyle w:val="Refdenotaderodap"/>
        </w:rPr>
        <w:footnoteRef/>
      </w:r>
      <w:r w:rsidRPr="008C22EE">
        <w:t xml:space="preserve"> </w:t>
      </w:r>
      <w:r w:rsidRPr="008C22EE">
        <w:rPr>
          <w:sz w:val="20"/>
          <w:szCs w:val="20"/>
        </w:rPr>
        <w:t xml:space="preserve">Art.330 O juiz conhecerá diretamente do pedido, proferindo sentença: </w:t>
      </w:r>
    </w:p>
    <w:p w:rsidR="00B939D0" w:rsidRDefault="00B939D0" w:rsidP="00B939D0">
      <w:pPr>
        <w:pStyle w:val="NormalWeb"/>
        <w:spacing w:before="0" w:beforeAutospacing="0" w:after="0" w:afterAutospacing="0"/>
      </w:pPr>
      <w:r w:rsidRPr="008C22EE">
        <w:rPr>
          <w:sz w:val="20"/>
          <w:szCs w:val="20"/>
        </w:rPr>
        <w:t xml:space="preserve"> I - quando a questão de mérito for unicamente de direito, ou, sendo de direito e de fato, não houver necessidade de produzir prova em audiência;</w:t>
      </w:r>
    </w:p>
  </w:footnote>
  <w:footnote w:id="12">
    <w:p w:rsidR="00B939D0" w:rsidRPr="006E29FA" w:rsidRDefault="00B939D0" w:rsidP="00B939D0">
      <w:pPr>
        <w:pStyle w:val="Textodenotaderodap"/>
        <w:jc w:val="both"/>
        <w:rPr>
          <w:rFonts w:ascii="Times New Roman" w:hAnsi="Times New Roman"/>
        </w:rPr>
      </w:pPr>
      <w:r w:rsidRPr="006E29FA">
        <w:rPr>
          <w:rStyle w:val="Refdenotaderodap"/>
          <w:rFonts w:ascii="Times New Roman" w:hAnsi="Times New Roman"/>
        </w:rPr>
        <w:footnoteRef/>
      </w:r>
      <w:r w:rsidRPr="006E29FA">
        <w:rPr>
          <w:rFonts w:ascii="Times New Roman" w:hAnsi="Times New Roman"/>
        </w:rPr>
        <w:t xml:space="preserve"> O Márcio Louzada Carpena (2010, p. 203) compreende que a escolha dos julgados para a formação de um preceden</w:t>
      </w:r>
      <w:r>
        <w:rPr>
          <w:rFonts w:ascii="Times New Roman" w:hAnsi="Times New Roman"/>
        </w:rPr>
        <w:t>te normativo obedecem a um crité</w:t>
      </w:r>
      <w:r w:rsidRPr="006E29FA">
        <w:rPr>
          <w:rFonts w:ascii="Times New Roman" w:hAnsi="Times New Roman"/>
        </w:rPr>
        <w:t>rio eletivo dos magistrados quanto a proximidade destes nos tocante as questões de fato e de direito.</w:t>
      </w:r>
    </w:p>
  </w:footnote>
  <w:footnote w:id="13">
    <w:p w:rsidR="00B939D0" w:rsidRPr="00B425D2" w:rsidRDefault="00B939D0" w:rsidP="00B939D0">
      <w:pPr>
        <w:pStyle w:val="Textodenotaderodap"/>
        <w:jc w:val="both"/>
        <w:rPr>
          <w:rFonts w:ascii="Times New Roman" w:hAnsi="Times New Roman"/>
        </w:rPr>
      </w:pPr>
      <w:r w:rsidRPr="00B425D2">
        <w:rPr>
          <w:rStyle w:val="Refdenotaderodap"/>
          <w:rFonts w:ascii="Times New Roman" w:hAnsi="Times New Roman"/>
        </w:rPr>
        <w:footnoteRef/>
      </w:r>
      <w:r w:rsidRPr="00B425D2">
        <w:rPr>
          <w:rFonts w:ascii="Times New Roman" w:hAnsi="Times New Roman"/>
        </w:rPr>
        <w:t xml:space="preserve"> Diante disso, se permitiu que o magistrado reunisse casos de pequeno valor financeiro, ensejando a conjugação de todos esses processos perante aquele mais representativo da causa ou aquele em que demonstrasse a solvabilidade financeira do advogado para a formação de uma ação coletiva ( CARPENA, 2010, p. 215 a 218)</w:t>
      </w:r>
    </w:p>
  </w:footnote>
  <w:footnote w:id="14">
    <w:p w:rsidR="00B939D0" w:rsidRPr="00C85806" w:rsidRDefault="00B939D0" w:rsidP="00B939D0">
      <w:pPr>
        <w:pStyle w:val="Textodenotaderodap"/>
        <w:jc w:val="both"/>
        <w:rPr>
          <w:rFonts w:ascii="Times New Roman" w:hAnsi="Times New Roman"/>
        </w:rPr>
      </w:pPr>
      <w:r w:rsidRPr="00B425D2">
        <w:rPr>
          <w:rStyle w:val="Refdenotaderodap"/>
          <w:rFonts w:ascii="Times New Roman" w:hAnsi="Times New Roman"/>
        </w:rPr>
        <w:footnoteRef/>
      </w:r>
      <w:r w:rsidRPr="00B425D2">
        <w:rPr>
          <w:rFonts w:ascii="Times New Roman" w:hAnsi="Times New Roman"/>
        </w:rPr>
        <w:t xml:space="preserve"> Márcio Louzada</w:t>
      </w:r>
      <w:r w:rsidRPr="00C85806">
        <w:rPr>
          <w:rFonts w:ascii="Times New Roman" w:hAnsi="Times New Roman"/>
        </w:rPr>
        <w:t xml:space="preserve"> Carpena (2010, p. 198 a 199) na apresentação do seu artigo </w:t>
      </w:r>
      <w:r w:rsidRPr="00C85806">
        <w:rPr>
          <w:rFonts w:ascii="Times New Roman" w:hAnsi="Times New Roman"/>
          <w:i/>
        </w:rPr>
        <w:t>Os poderes do juiz na Commom Law</w:t>
      </w:r>
      <w:r>
        <w:rPr>
          <w:rFonts w:ascii="Times New Roman" w:hAnsi="Times New Roman"/>
        </w:rPr>
        <w:t xml:space="preserve"> faz referê</w:t>
      </w:r>
      <w:r w:rsidRPr="00C85806">
        <w:rPr>
          <w:rFonts w:ascii="Times New Roman" w:hAnsi="Times New Roman"/>
        </w:rPr>
        <w:t>ncia</w:t>
      </w:r>
      <w:r>
        <w:rPr>
          <w:rFonts w:ascii="Times New Roman" w:hAnsi="Times New Roman"/>
        </w:rPr>
        <w:t xml:space="preserve"> a</w:t>
      </w:r>
      <w:r w:rsidRPr="00C85806">
        <w:rPr>
          <w:rFonts w:ascii="Times New Roman" w:hAnsi="Times New Roman"/>
        </w:rPr>
        <w:t xml:space="preserve"> essa distinção da atividade do juiz e do advogado, entre elas a importância do magistrado no nosso ordenamento jurídico, esse posicionamento não significa o desprestígio da advocacia, uma vez que no ordenamento jurídico brasileiro não existe hierarquia entre o juiz, os promotores de justiça, e os advogados das partes processuais, segundo o art. 6º do Estatuto dos Advogados.</w:t>
      </w:r>
    </w:p>
    <w:p w:rsidR="00B939D0" w:rsidRPr="00C85806" w:rsidRDefault="00B939D0" w:rsidP="00B939D0">
      <w:pPr>
        <w:pStyle w:val="Textodenotaderodap"/>
        <w:jc w:val="both"/>
        <w:rPr>
          <w:rFonts w:ascii="Times New Roman" w:hAnsi="Times New Roman"/>
        </w:rPr>
      </w:pPr>
      <w:r w:rsidRPr="00C85806">
        <w:rPr>
          <w:rFonts w:ascii="Times New Roman" w:hAnsi="Times New Roman"/>
        </w:rPr>
        <w:t>Lei 8906/1994</w:t>
      </w:r>
    </w:p>
    <w:p w:rsidR="00B939D0" w:rsidRPr="00C85806" w:rsidRDefault="00B939D0" w:rsidP="00B939D0">
      <w:pPr>
        <w:pStyle w:val="Textodenotaderodap"/>
        <w:jc w:val="both"/>
        <w:rPr>
          <w:rFonts w:ascii="Times New Roman" w:hAnsi="Times New Roman"/>
        </w:rPr>
      </w:pPr>
      <w:r w:rsidRPr="00C85806">
        <w:rPr>
          <w:rFonts w:ascii="Times New Roman" w:hAnsi="Times New Roman"/>
        </w:rPr>
        <w:t>Art. 6º Não há hierarquia nem subordinação entre advogados, magistrados e membros do Ministério Público, devendo todos tratar-se com consideração e respeito recíprocos.</w:t>
      </w:r>
    </w:p>
  </w:footnote>
  <w:footnote w:id="15">
    <w:p w:rsidR="00B939D0" w:rsidRPr="00C85806" w:rsidRDefault="00B939D0" w:rsidP="00B939D0">
      <w:pPr>
        <w:pStyle w:val="Textodenotaderodap"/>
        <w:jc w:val="both"/>
        <w:rPr>
          <w:rFonts w:ascii="Times New Roman" w:hAnsi="Times New Roman"/>
        </w:rPr>
      </w:pPr>
      <w:r w:rsidRPr="00C85806">
        <w:rPr>
          <w:rStyle w:val="Refdenotaderodap"/>
          <w:rFonts w:ascii="Times New Roman" w:hAnsi="Times New Roman"/>
        </w:rPr>
        <w:footnoteRef/>
      </w:r>
      <w:r w:rsidRPr="00C85806">
        <w:rPr>
          <w:rFonts w:ascii="Times New Roman" w:hAnsi="Times New Roman"/>
        </w:rPr>
        <w:t xml:space="preserve"> Art. 5º Todos são iguais perante a lei, sem distinção de qualquer natureza, garantindo-se aos brasileiros e aos estrangeiros residentes no País a inviolabilidade do direito à vida, à liberdade, à igualdade, à segurança e à propriedade, nos termos seguintes</w:t>
      </w:r>
    </w:p>
    <w:p w:rsidR="00B939D0" w:rsidRPr="00C85806" w:rsidRDefault="00B939D0" w:rsidP="00B939D0">
      <w:pPr>
        <w:pStyle w:val="Textodenotaderodap"/>
        <w:jc w:val="both"/>
        <w:rPr>
          <w:rFonts w:ascii="Times New Roman" w:hAnsi="Times New Roman"/>
        </w:rPr>
      </w:pPr>
      <w:r w:rsidRPr="00C85806">
        <w:rPr>
          <w:rFonts w:ascii="Times New Roman" w:hAnsi="Times New Roman"/>
        </w:rPr>
        <w:t>XXXV - a lei não excluirá da apreciação do Poder Judiciário lesão ou ameaça a direito;</w:t>
      </w:r>
    </w:p>
  </w:footnote>
  <w:footnote w:id="16">
    <w:p w:rsidR="00B939D0" w:rsidRPr="00C85806" w:rsidRDefault="00B939D0" w:rsidP="00B939D0">
      <w:pPr>
        <w:pStyle w:val="NormalWeb"/>
        <w:spacing w:before="0" w:beforeAutospacing="0" w:after="0" w:afterAutospacing="0"/>
        <w:jc w:val="both"/>
        <w:rPr>
          <w:sz w:val="20"/>
          <w:szCs w:val="20"/>
        </w:rPr>
      </w:pPr>
      <w:r w:rsidRPr="00C85806">
        <w:rPr>
          <w:rStyle w:val="Refdenotaderodap"/>
          <w:sz w:val="20"/>
          <w:szCs w:val="20"/>
        </w:rPr>
        <w:footnoteRef/>
      </w:r>
      <w:r w:rsidRPr="00C85806">
        <w:rPr>
          <w:sz w:val="20"/>
          <w:szCs w:val="20"/>
        </w:rPr>
        <w:t xml:space="preserve"> Art.282. A petição inicial indicará:</w:t>
      </w:r>
    </w:p>
    <w:p w:rsidR="00B939D0" w:rsidRPr="00FC03BA" w:rsidRDefault="00B939D0" w:rsidP="00B939D0">
      <w:pPr>
        <w:pStyle w:val="NormalWeb"/>
        <w:spacing w:before="0" w:beforeAutospacing="0" w:after="0" w:afterAutospacing="0"/>
        <w:jc w:val="both"/>
        <w:rPr>
          <w:sz w:val="20"/>
          <w:szCs w:val="20"/>
        </w:rPr>
      </w:pPr>
      <w:r w:rsidRPr="00C85806">
        <w:rPr>
          <w:sz w:val="20"/>
          <w:szCs w:val="20"/>
        </w:rPr>
        <w:t>I - o juiz ou tribunal, a que é dirigida</w:t>
      </w:r>
      <w:r w:rsidRPr="00FC03BA">
        <w:rPr>
          <w:sz w:val="20"/>
          <w:szCs w:val="20"/>
        </w:rPr>
        <w:t>;</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II -os nomes, prenomes, estado civil, profissão, domicílio e residência do autor e do réu;</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III - o fato e os fundamentos jurídicos do pedido;</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IV - o pedido, com as suas especificações;</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V - o valor da causa;</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VI - as provas com que o autor pretende demonstrar a verdade dos fatos alegados;</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VII - o requerimento para a citação do réu.</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Art.283. A petição inicial será instruída com os documentos indispensáveis à propositura da ação.</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Art. 284. Verificando o juiz que a petição inicial não preenche os requisitos exigidos nos arts. 282 e 283, ou que apresenta defeitos e irregularidades capazes de dificultar o julgamento de mérito, determinará que o autor a emende, ou a complete, no prazo de 10 (dez) dias.</w:t>
      </w:r>
    </w:p>
    <w:p w:rsidR="00B939D0" w:rsidRPr="00FC03BA" w:rsidRDefault="00B939D0" w:rsidP="00B939D0">
      <w:pPr>
        <w:pStyle w:val="NormalWeb"/>
        <w:spacing w:before="0" w:beforeAutospacing="0" w:after="0" w:afterAutospacing="0"/>
        <w:jc w:val="both"/>
        <w:rPr>
          <w:sz w:val="20"/>
          <w:szCs w:val="20"/>
        </w:rPr>
      </w:pPr>
      <w:r w:rsidRPr="00FC03BA">
        <w:rPr>
          <w:sz w:val="20"/>
          <w:szCs w:val="20"/>
        </w:rPr>
        <w:t>Parágrafo único. Se o autor não cumprir a diligência, o juiz indeferirá a petição inicial.</w:t>
      </w:r>
    </w:p>
  </w:footnote>
  <w:footnote w:id="17">
    <w:p w:rsidR="00B939D0" w:rsidRPr="00A55064" w:rsidRDefault="00B939D0" w:rsidP="00B939D0">
      <w:pPr>
        <w:pStyle w:val="NormalWeb"/>
        <w:spacing w:before="0" w:beforeAutospacing="0" w:after="0" w:afterAutospacing="0"/>
        <w:jc w:val="both"/>
        <w:rPr>
          <w:sz w:val="20"/>
          <w:szCs w:val="20"/>
        </w:rPr>
      </w:pPr>
      <w:r w:rsidRPr="00A55064">
        <w:rPr>
          <w:rStyle w:val="Refdenotaderodap"/>
          <w:sz w:val="20"/>
          <w:szCs w:val="20"/>
        </w:rPr>
        <w:footnoteRef/>
      </w:r>
      <w:r w:rsidRPr="00A55064">
        <w:rPr>
          <w:sz w:val="20"/>
          <w:szCs w:val="20"/>
        </w:rPr>
        <w:t xml:space="preserve"> Art. 28. Dentro do prazo de dez dias após o trânsito em julgado da decisão, o Supremo Tribunal Federal fará publicar em seção especial do Diário da Justiça e do Diário Oficial da União a parte dispositiva do acórdão.</w:t>
      </w:r>
    </w:p>
    <w:p w:rsidR="00B939D0" w:rsidRDefault="00B939D0" w:rsidP="00B939D0">
      <w:pPr>
        <w:pStyle w:val="Textodenotaderodap"/>
      </w:pPr>
      <w:r w:rsidRPr="00A55064">
        <w:rPr>
          <w:rFonts w:ascii="Times New Roman" w:hAnsi="Times New Roman"/>
        </w:rPr>
        <w:t>Parágrafo único. A declaração de constitucionalidade ou de inconstitucionalidade, inclusive a interpretação conforme a Constituição e a declaração parcial de inconstitucionalidade sem redução de texto, têm eficácia contra todos e efeito vinculante em relação aos órgãos do Poder Judiciário e à Administração Pública federal, estadual e municipal</w:t>
      </w:r>
      <w:r w:rsidRPr="00433FDB">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F61"/>
    <w:rsid w:val="00001880"/>
    <w:rsid w:val="00015841"/>
    <w:rsid w:val="00070517"/>
    <w:rsid w:val="00073B63"/>
    <w:rsid w:val="000914FE"/>
    <w:rsid w:val="00093A37"/>
    <w:rsid w:val="000947AC"/>
    <w:rsid w:val="000A511E"/>
    <w:rsid w:val="000A7CD7"/>
    <w:rsid w:val="000B21C4"/>
    <w:rsid w:val="000C0DAA"/>
    <w:rsid w:val="000D49CD"/>
    <w:rsid w:val="000F2D22"/>
    <w:rsid w:val="001153DF"/>
    <w:rsid w:val="00115890"/>
    <w:rsid w:val="001209F6"/>
    <w:rsid w:val="00127279"/>
    <w:rsid w:val="001360BD"/>
    <w:rsid w:val="00145C80"/>
    <w:rsid w:val="00157577"/>
    <w:rsid w:val="00160C01"/>
    <w:rsid w:val="001832C3"/>
    <w:rsid w:val="0018495B"/>
    <w:rsid w:val="00185777"/>
    <w:rsid w:val="00185E85"/>
    <w:rsid w:val="001B4AD0"/>
    <w:rsid w:val="001C4099"/>
    <w:rsid w:val="001C7C4E"/>
    <w:rsid w:val="001D58A6"/>
    <w:rsid w:val="001E0E4D"/>
    <w:rsid w:val="001E3155"/>
    <w:rsid w:val="001F572D"/>
    <w:rsid w:val="001F6148"/>
    <w:rsid w:val="002105D6"/>
    <w:rsid w:val="0021469B"/>
    <w:rsid w:val="0021729A"/>
    <w:rsid w:val="00220128"/>
    <w:rsid w:val="002261FA"/>
    <w:rsid w:val="00227FB3"/>
    <w:rsid w:val="002569B5"/>
    <w:rsid w:val="00270BB4"/>
    <w:rsid w:val="00274CBB"/>
    <w:rsid w:val="00275BA9"/>
    <w:rsid w:val="002765DB"/>
    <w:rsid w:val="002772C3"/>
    <w:rsid w:val="002816EF"/>
    <w:rsid w:val="002A10B0"/>
    <w:rsid w:val="002A5C2D"/>
    <w:rsid w:val="002C12B1"/>
    <w:rsid w:val="002D6856"/>
    <w:rsid w:val="002E30BE"/>
    <w:rsid w:val="002F30EA"/>
    <w:rsid w:val="003079E1"/>
    <w:rsid w:val="00316548"/>
    <w:rsid w:val="0032136C"/>
    <w:rsid w:val="00324C3F"/>
    <w:rsid w:val="00336131"/>
    <w:rsid w:val="00340453"/>
    <w:rsid w:val="0034239C"/>
    <w:rsid w:val="003423B8"/>
    <w:rsid w:val="003431E9"/>
    <w:rsid w:val="003433AC"/>
    <w:rsid w:val="0035221C"/>
    <w:rsid w:val="00360C35"/>
    <w:rsid w:val="00385018"/>
    <w:rsid w:val="00393350"/>
    <w:rsid w:val="00396732"/>
    <w:rsid w:val="003B11A4"/>
    <w:rsid w:val="003B7EF4"/>
    <w:rsid w:val="003C65F3"/>
    <w:rsid w:val="003D1E07"/>
    <w:rsid w:val="003D78EF"/>
    <w:rsid w:val="003E09DA"/>
    <w:rsid w:val="003E1D00"/>
    <w:rsid w:val="00407638"/>
    <w:rsid w:val="0042187B"/>
    <w:rsid w:val="00442D64"/>
    <w:rsid w:val="004579C9"/>
    <w:rsid w:val="00457ADA"/>
    <w:rsid w:val="00461BD1"/>
    <w:rsid w:val="004708DF"/>
    <w:rsid w:val="004B24E4"/>
    <w:rsid w:val="004C5C9A"/>
    <w:rsid w:val="004D64CB"/>
    <w:rsid w:val="004E035D"/>
    <w:rsid w:val="004E622C"/>
    <w:rsid w:val="004E7062"/>
    <w:rsid w:val="00500B5E"/>
    <w:rsid w:val="00533183"/>
    <w:rsid w:val="0053422A"/>
    <w:rsid w:val="0054224F"/>
    <w:rsid w:val="00542563"/>
    <w:rsid w:val="00542643"/>
    <w:rsid w:val="00573F8A"/>
    <w:rsid w:val="00584CFE"/>
    <w:rsid w:val="0059114E"/>
    <w:rsid w:val="00596BEE"/>
    <w:rsid w:val="005B1DCB"/>
    <w:rsid w:val="005C54D8"/>
    <w:rsid w:val="005C7644"/>
    <w:rsid w:val="005E2BC0"/>
    <w:rsid w:val="005F0073"/>
    <w:rsid w:val="005F033D"/>
    <w:rsid w:val="006106B1"/>
    <w:rsid w:val="00613CD0"/>
    <w:rsid w:val="0064434E"/>
    <w:rsid w:val="00677774"/>
    <w:rsid w:val="0068218D"/>
    <w:rsid w:val="00686EA4"/>
    <w:rsid w:val="006B0BA8"/>
    <w:rsid w:val="006B718E"/>
    <w:rsid w:val="006C1B60"/>
    <w:rsid w:val="006E3DB0"/>
    <w:rsid w:val="00712B4E"/>
    <w:rsid w:val="007218DF"/>
    <w:rsid w:val="0072736C"/>
    <w:rsid w:val="00731F0A"/>
    <w:rsid w:val="007445EB"/>
    <w:rsid w:val="007472D3"/>
    <w:rsid w:val="007606B4"/>
    <w:rsid w:val="007627D4"/>
    <w:rsid w:val="00770076"/>
    <w:rsid w:val="00792808"/>
    <w:rsid w:val="0079782E"/>
    <w:rsid w:val="007B2973"/>
    <w:rsid w:val="007B605D"/>
    <w:rsid w:val="007D180B"/>
    <w:rsid w:val="007D56C5"/>
    <w:rsid w:val="007F74AB"/>
    <w:rsid w:val="008018ED"/>
    <w:rsid w:val="00802DA3"/>
    <w:rsid w:val="00827360"/>
    <w:rsid w:val="00831E38"/>
    <w:rsid w:val="00841B64"/>
    <w:rsid w:val="0084752D"/>
    <w:rsid w:val="00862A43"/>
    <w:rsid w:val="00863F61"/>
    <w:rsid w:val="00866347"/>
    <w:rsid w:val="00887BD4"/>
    <w:rsid w:val="0089249E"/>
    <w:rsid w:val="00895DDD"/>
    <w:rsid w:val="008977CC"/>
    <w:rsid w:val="008A23E1"/>
    <w:rsid w:val="008A710F"/>
    <w:rsid w:val="008B1B17"/>
    <w:rsid w:val="008B5846"/>
    <w:rsid w:val="008C54D0"/>
    <w:rsid w:val="008E0623"/>
    <w:rsid w:val="008F4E28"/>
    <w:rsid w:val="008F6D93"/>
    <w:rsid w:val="008F763E"/>
    <w:rsid w:val="00907EE5"/>
    <w:rsid w:val="009120BC"/>
    <w:rsid w:val="0092616A"/>
    <w:rsid w:val="00926D17"/>
    <w:rsid w:val="009443B0"/>
    <w:rsid w:val="0094567E"/>
    <w:rsid w:val="00962BEF"/>
    <w:rsid w:val="00965141"/>
    <w:rsid w:val="00984838"/>
    <w:rsid w:val="0099065F"/>
    <w:rsid w:val="009920D5"/>
    <w:rsid w:val="00997365"/>
    <w:rsid w:val="009A72CD"/>
    <w:rsid w:val="009C17FC"/>
    <w:rsid w:val="009C488A"/>
    <w:rsid w:val="009C7EF7"/>
    <w:rsid w:val="00A0088E"/>
    <w:rsid w:val="00A03C2E"/>
    <w:rsid w:val="00A14EC3"/>
    <w:rsid w:val="00A17096"/>
    <w:rsid w:val="00A62B6D"/>
    <w:rsid w:val="00A63631"/>
    <w:rsid w:val="00AA3EBB"/>
    <w:rsid w:val="00AB0E75"/>
    <w:rsid w:val="00AC4154"/>
    <w:rsid w:val="00AC5585"/>
    <w:rsid w:val="00AE1E82"/>
    <w:rsid w:val="00AE2A8D"/>
    <w:rsid w:val="00B24973"/>
    <w:rsid w:val="00B31AFD"/>
    <w:rsid w:val="00B42581"/>
    <w:rsid w:val="00B8015A"/>
    <w:rsid w:val="00B833FC"/>
    <w:rsid w:val="00B939D0"/>
    <w:rsid w:val="00B94939"/>
    <w:rsid w:val="00BA6FB8"/>
    <w:rsid w:val="00BB14CE"/>
    <w:rsid w:val="00BB47BB"/>
    <w:rsid w:val="00BB52E3"/>
    <w:rsid w:val="00BF1364"/>
    <w:rsid w:val="00C00EAC"/>
    <w:rsid w:val="00C11642"/>
    <w:rsid w:val="00C117F8"/>
    <w:rsid w:val="00C1234F"/>
    <w:rsid w:val="00C12810"/>
    <w:rsid w:val="00C141C2"/>
    <w:rsid w:val="00C155BC"/>
    <w:rsid w:val="00C2021F"/>
    <w:rsid w:val="00C3304F"/>
    <w:rsid w:val="00C5028C"/>
    <w:rsid w:val="00C54B9D"/>
    <w:rsid w:val="00C57D83"/>
    <w:rsid w:val="00C63566"/>
    <w:rsid w:val="00C76AFD"/>
    <w:rsid w:val="00C86FF9"/>
    <w:rsid w:val="00C97B29"/>
    <w:rsid w:val="00CA4818"/>
    <w:rsid w:val="00CC6AAD"/>
    <w:rsid w:val="00CE584D"/>
    <w:rsid w:val="00CE6D01"/>
    <w:rsid w:val="00CF192C"/>
    <w:rsid w:val="00D04FAF"/>
    <w:rsid w:val="00D433C9"/>
    <w:rsid w:val="00D467DD"/>
    <w:rsid w:val="00D63704"/>
    <w:rsid w:val="00D74842"/>
    <w:rsid w:val="00DA0A71"/>
    <w:rsid w:val="00DA1B6D"/>
    <w:rsid w:val="00DB01B7"/>
    <w:rsid w:val="00DB5583"/>
    <w:rsid w:val="00DB6AD7"/>
    <w:rsid w:val="00DB72D6"/>
    <w:rsid w:val="00DC5AFE"/>
    <w:rsid w:val="00DD69D2"/>
    <w:rsid w:val="00DE2F9A"/>
    <w:rsid w:val="00DE58B4"/>
    <w:rsid w:val="00DF5058"/>
    <w:rsid w:val="00E026E2"/>
    <w:rsid w:val="00E041F9"/>
    <w:rsid w:val="00E05FD0"/>
    <w:rsid w:val="00E06329"/>
    <w:rsid w:val="00E065E9"/>
    <w:rsid w:val="00E06CF5"/>
    <w:rsid w:val="00E17D7E"/>
    <w:rsid w:val="00E30D59"/>
    <w:rsid w:val="00E35328"/>
    <w:rsid w:val="00E419A6"/>
    <w:rsid w:val="00E571BE"/>
    <w:rsid w:val="00E61B45"/>
    <w:rsid w:val="00E66524"/>
    <w:rsid w:val="00E753D8"/>
    <w:rsid w:val="00E77C3F"/>
    <w:rsid w:val="00E80EA2"/>
    <w:rsid w:val="00E85440"/>
    <w:rsid w:val="00E86CC3"/>
    <w:rsid w:val="00E8788D"/>
    <w:rsid w:val="00E90420"/>
    <w:rsid w:val="00E921C0"/>
    <w:rsid w:val="00E94532"/>
    <w:rsid w:val="00E970F3"/>
    <w:rsid w:val="00E97ECC"/>
    <w:rsid w:val="00EA1AAA"/>
    <w:rsid w:val="00EB20E6"/>
    <w:rsid w:val="00EB4467"/>
    <w:rsid w:val="00EB5B2D"/>
    <w:rsid w:val="00ED5F0D"/>
    <w:rsid w:val="00ED6C43"/>
    <w:rsid w:val="00EE51BC"/>
    <w:rsid w:val="00EE7562"/>
    <w:rsid w:val="00F12E1E"/>
    <w:rsid w:val="00F23A13"/>
    <w:rsid w:val="00F26FB6"/>
    <w:rsid w:val="00F30491"/>
    <w:rsid w:val="00F31CD3"/>
    <w:rsid w:val="00F331C4"/>
    <w:rsid w:val="00F417BD"/>
    <w:rsid w:val="00F63848"/>
    <w:rsid w:val="00F64953"/>
    <w:rsid w:val="00F651B5"/>
    <w:rsid w:val="00F72AE9"/>
    <w:rsid w:val="00F73BFE"/>
    <w:rsid w:val="00F90C24"/>
    <w:rsid w:val="00FA246A"/>
    <w:rsid w:val="00FA2538"/>
    <w:rsid w:val="00FC372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61"/>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863F61"/>
    <w:pPr>
      <w:spacing w:after="0" w:line="240" w:lineRule="auto"/>
    </w:pPr>
    <w:rPr>
      <w:sz w:val="20"/>
      <w:szCs w:val="20"/>
    </w:rPr>
  </w:style>
  <w:style w:type="character" w:customStyle="1" w:styleId="TextodenotaderodapChar">
    <w:name w:val="Texto de nota de rodapé Char"/>
    <w:basedOn w:val="Fontepargpadro"/>
    <w:link w:val="Textodenotaderodap"/>
    <w:locked/>
    <w:rsid w:val="00863F61"/>
    <w:rPr>
      <w:sz w:val="20"/>
      <w:szCs w:val="20"/>
    </w:rPr>
  </w:style>
  <w:style w:type="character" w:styleId="Refdenotaderodap">
    <w:name w:val="footnote reference"/>
    <w:basedOn w:val="Fontepargpadro"/>
    <w:semiHidden/>
    <w:rsid w:val="00863F61"/>
    <w:rPr>
      <w:vertAlign w:val="superscript"/>
    </w:rPr>
  </w:style>
  <w:style w:type="character" w:styleId="Hyperlink">
    <w:name w:val="Hyperlink"/>
    <w:basedOn w:val="Fontepargpadro"/>
    <w:uiPriority w:val="99"/>
    <w:rsid w:val="00863F61"/>
    <w:rPr>
      <w:color w:val="0000FF"/>
      <w:u w:val="single"/>
    </w:rPr>
  </w:style>
  <w:style w:type="paragraph" w:styleId="NormalWeb">
    <w:name w:val="Normal (Web)"/>
    <w:basedOn w:val="Normal"/>
    <w:uiPriority w:val="99"/>
    <w:rsid w:val="00863F6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uiPriority w:val="99"/>
    <w:rsid w:val="00863F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99"/>
    <w:qFormat/>
    <w:rsid w:val="004D64CB"/>
    <w:rPr>
      <w:b/>
      <w:bCs/>
    </w:rPr>
  </w:style>
  <w:style w:type="paragraph" w:styleId="Cabealho">
    <w:name w:val="header"/>
    <w:basedOn w:val="Normal"/>
    <w:link w:val="CabealhoChar"/>
    <w:uiPriority w:val="99"/>
    <w:semiHidden/>
    <w:rsid w:val="007B60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7B605D"/>
  </w:style>
  <w:style w:type="paragraph" w:styleId="Rodap">
    <w:name w:val="footer"/>
    <w:basedOn w:val="Normal"/>
    <w:link w:val="RodapChar"/>
    <w:uiPriority w:val="99"/>
    <w:rsid w:val="007B605D"/>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B605D"/>
  </w:style>
</w:styles>
</file>

<file path=word/webSettings.xml><?xml version="1.0" encoding="utf-8"?>
<w:webSettings xmlns:r="http://schemas.openxmlformats.org/officeDocument/2006/relationships" xmlns:w="http://schemas.openxmlformats.org/wordprocessingml/2006/main">
  <w:divs>
    <w:div w:id="248542688">
      <w:bodyDiv w:val="1"/>
      <w:marLeft w:val="0"/>
      <w:marRight w:val="0"/>
      <w:marTop w:val="0"/>
      <w:marBottom w:val="0"/>
      <w:divBdr>
        <w:top w:val="none" w:sz="0" w:space="0" w:color="auto"/>
        <w:left w:val="none" w:sz="0" w:space="0" w:color="auto"/>
        <w:bottom w:val="none" w:sz="0" w:space="0" w:color="auto"/>
        <w:right w:val="none" w:sz="0" w:space="0" w:color="auto"/>
      </w:divBdr>
    </w:div>
    <w:div w:id="1271475195">
      <w:marLeft w:val="0"/>
      <w:marRight w:val="0"/>
      <w:marTop w:val="0"/>
      <w:marBottom w:val="0"/>
      <w:divBdr>
        <w:top w:val="none" w:sz="0" w:space="0" w:color="auto"/>
        <w:left w:val="none" w:sz="0" w:space="0" w:color="auto"/>
        <w:bottom w:val="none" w:sz="0" w:space="0" w:color="auto"/>
        <w:right w:val="none" w:sz="0" w:space="0" w:color="auto"/>
      </w:divBdr>
    </w:div>
    <w:div w:id="1271475196">
      <w:marLeft w:val="0"/>
      <w:marRight w:val="0"/>
      <w:marTop w:val="0"/>
      <w:marBottom w:val="0"/>
      <w:divBdr>
        <w:top w:val="none" w:sz="0" w:space="0" w:color="auto"/>
        <w:left w:val="none" w:sz="0" w:space="0" w:color="auto"/>
        <w:bottom w:val="none" w:sz="0" w:space="0" w:color="auto"/>
        <w:right w:val="none" w:sz="0" w:space="0" w:color="auto"/>
      </w:divBdr>
    </w:div>
    <w:div w:id="1271475197">
      <w:marLeft w:val="0"/>
      <w:marRight w:val="0"/>
      <w:marTop w:val="0"/>
      <w:marBottom w:val="0"/>
      <w:divBdr>
        <w:top w:val="none" w:sz="0" w:space="0" w:color="auto"/>
        <w:left w:val="none" w:sz="0" w:space="0" w:color="auto"/>
        <w:bottom w:val="none" w:sz="0" w:space="0" w:color="auto"/>
        <w:right w:val="none" w:sz="0" w:space="0" w:color="auto"/>
      </w:divBdr>
    </w:div>
    <w:div w:id="1271475198">
      <w:marLeft w:val="0"/>
      <w:marRight w:val="0"/>
      <w:marTop w:val="0"/>
      <w:marBottom w:val="0"/>
      <w:divBdr>
        <w:top w:val="none" w:sz="0" w:space="0" w:color="auto"/>
        <w:left w:val="none" w:sz="0" w:space="0" w:color="auto"/>
        <w:bottom w:val="none" w:sz="0" w:space="0" w:color="auto"/>
        <w:right w:val="none" w:sz="0" w:space="0" w:color="auto"/>
      </w:divBdr>
    </w:div>
    <w:div w:id="1271475199">
      <w:marLeft w:val="0"/>
      <w:marRight w:val="0"/>
      <w:marTop w:val="0"/>
      <w:marBottom w:val="0"/>
      <w:divBdr>
        <w:top w:val="none" w:sz="0" w:space="0" w:color="auto"/>
        <w:left w:val="none" w:sz="0" w:space="0" w:color="auto"/>
        <w:bottom w:val="none" w:sz="0" w:space="0" w:color="auto"/>
        <w:right w:val="none" w:sz="0" w:space="0" w:color="auto"/>
      </w:divBdr>
    </w:div>
    <w:div w:id="1271475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C5DF-9641-4203-B4BD-53B64628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18</Pages>
  <Words>5336</Words>
  <Characters>28818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dc:creator>
  <cp:keywords/>
  <dc:description/>
  <cp:lastModifiedBy>Wilfred Arouche</cp:lastModifiedBy>
  <cp:revision>188</cp:revision>
  <cp:lastPrinted>2013-04-24T20:13:00Z</cp:lastPrinted>
  <dcterms:created xsi:type="dcterms:W3CDTF">2013-04-09T20:17:00Z</dcterms:created>
  <dcterms:modified xsi:type="dcterms:W3CDTF">2013-07-04T01:31:00Z</dcterms:modified>
</cp:coreProperties>
</file>